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C046939">
      <w:pPr>
        <w:pStyle w:val="21"/>
        <w:kinsoku w:val="0"/>
        <w:overflowPunct w:val="0"/>
        <w:rPr>
          <w:rFonts w:ascii="Arial" w:hAnsi="Arial" w:cs="Arial"/>
          <w:color w:val="000000" w:themeColor="text1"/>
          <w14:textFill>
            <w14:solidFill>
              <w14:schemeClr w14:val="tx1"/>
            </w14:solidFill>
          </w14:textFill>
        </w:rPr>
      </w:pPr>
      <w:bookmarkStart w:id="0" w:name="_Toc217446030"/>
      <w:bookmarkStart w:id="1" w:name="_Toc183682338"/>
      <w:r>
        <w:rPr>
          <w:rFonts w:hint="default" w:ascii="Arial" w:hAnsi="Arial" w:cs="Arial"/>
          <w:color w:val="000000" w:themeColor="text1"/>
          <w14:textFill>
            <w14:solidFill>
              <w14:schemeClr w14:val="tx1"/>
            </w14:solidFill>
          </w14:textFill>
        </w:rPr>
        <w:drawing>
          <wp:anchor distT="0" distB="0" distL="114300" distR="114300" simplePos="0" relativeHeight="251662336" behindDoc="0" locked="0" layoutInCell="1" allowOverlap="1">
            <wp:simplePos x="0" y="0"/>
            <wp:positionH relativeFrom="column">
              <wp:posOffset>533400</wp:posOffset>
            </wp:positionH>
            <wp:positionV relativeFrom="paragraph">
              <wp:posOffset>-179705</wp:posOffset>
            </wp:positionV>
            <wp:extent cx="4654550" cy="584200"/>
            <wp:effectExtent l="0" t="0" r="12700" b="6350"/>
            <wp:wrapNone/>
            <wp:docPr id="7"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1LOGO中英文全称横式"/>
                    <pic:cNvPicPr>
                      <a:picLocks noChangeAspect="1"/>
                    </pic:cNvPicPr>
                  </pic:nvPicPr>
                  <pic:blipFill>
                    <a:blip r:embed="rId18"/>
                    <a:stretch>
                      <a:fillRect/>
                    </a:stretch>
                  </pic:blipFill>
                  <pic:spPr>
                    <a:xfrm>
                      <a:off x="0" y="0"/>
                      <a:ext cx="4654550" cy="584200"/>
                    </a:xfrm>
                    <a:prstGeom prst="rect">
                      <a:avLst/>
                    </a:prstGeom>
                  </pic:spPr>
                </pic:pic>
              </a:graphicData>
            </a:graphic>
          </wp:anchor>
        </w:drawing>
      </w:r>
      <w:r>
        <w:rPr>
          <w:rFonts w:hint="default" w:ascii="Arial" w:hAnsi="Arial" w:cs="Arial"/>
          <w:color w:val="000000" w:themeColor="text1"/>
          <w14:textFill>
            <w14:solidFill>
              <w14:schemeClr w14:val="tx1"/>
            </w14:solidFill>
          </w14:textFill>
        </w:rPr>
        <w:drawing>
          <wp:anchor distT="0" distB="0" distL="114300" distR="114300" simplePos="0" relativeHeight="251661312" behindDoc="1" locked="0" layoutInCell="1" allowOverlap="1">
            <wp:simplePos x="0" y="0"/>
            <wp:positionH relativeFrom="column">
              <wp:posOffset>-933450</wp:posOffset>
            </wp:positionH>
            <wp:positionV relativeFrom="paragraph">
              <wp:posOffset>-915035</wp:posOffset>
            </wp:positionV>
            <wp:extent cx="7752715" cy="10779760"/>
            <wp:effectExtent l="0" t="0" r="635" b="2540"/>
            <wp:wrapNone/>
            <wp:docPr id="6" name="图片 6"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2-3辅助图形3白底"/>
                    <pic:cNvPicPr>
                      <a:picLocks noChangeAspect="1"/>
                    </pic:cNvPicPr>
                  </pic:nvPicPr>
                  <pic:blipFill>
                    <a:blip r:embed="rId19"/>
                    <a:stretch>
                      <a:fillRect/>
                    </a:stretch>
                  </pic:blipFill>
                  <pic:spPr>
                    <a:xfrm>
                      <a:off x="0" y="0"/>
                      <a:ext cx="7752715" cy="10779760"/>
                    </a:xfrm>
                    <a:prstGeom prst="rect">
                      <a:avLst/>
                    </a:prstGeom>
                  </pic:spPr>
                </pic:pic>
              </a:graphicData>
            </a:graphic>
          </wp:anchor>
        </w:drawing>
      </w:r>
    </w:p>
    <w:p w14:paraId="129280A7">
      <w:pPr>
        <w:rPr>
          <w:rFonts w:ascii="Arial" w:hAnsi="Arial" w:cs="Arial"/>
          <w:color w:val="000000" w:themeColor="text1"/>
          <w14:textFill>
            <w14:solidFill>
              <w14:schemeClr w14:val="tx1"/>
            </w14:solidFill>
          </w14:textFill>
        </w:rPr>
      </w:pPr>
    </w:p>
    <w:p w14:paraId="63A39680">
      <w:pPr>
        <w:tabs>
          <w:tab w:val="left" w:pos="1710"/>
        </w:tabs>
        <w:rPr>
          <w:rFonts w:ascii="Arial" w:hAnsi="Arial" w:cs="Arial"/>
          <w:color w:val="000000" w:themeColor="text1"/>
          <w14:textFill>
            <w14:solidFill>
              <w14:schemeClr w14:val="tx1"/>
            </w14:solidFill>
          </w14:textFill>
        </w:rPr>
      </w:pPr>
    </w:p>
    <w:p w14:paraId="465E4944">
      <w:pPr>
        <w:tabs>
          <w:tab w:val="left" w:pos="1710"/>
        </w:tabs>
        <w:rPr>
          <w:rFonts w:ascii="Arial" w:hAnsi="Arial" w:cs="Arial"/>
          <w:color w:val="000000" w:themeColor="text1"/>
          <w14:textFill>
            <w14:solidFill>
              <w14:schemeClr w14:val="tx1"/>
            </w14:solidFill>
          </w14:textFill>
        </w:rPr>
      </w:pPr>
    </w:p>
    <w:p w14:paraId="6C122664">
      <w:pPr>
        <w:tabs>
          <w:tab w:val="left" w:pos="1710"/>
        </w:tabs>
        <w:rPr>
          <w:rFonts w:ascii="Arial" w:hAnsi="Arial" w:cs="Arial"/>
          <w:color w:val="000000" w:themeColor="text1"/>
          <w14:textFill>
            <w14:solidFill>
              <w14:schemeClr w14:val="tx1"/>
            </w14:solidFill>
          </w14:textFill>
        </w:rPr>
      </w:pPr>
    </w:p>
    <w:p w14:paraId="13FB7CB1">
      <w:pPr>
        <w:tabs>
          <w:tab w:val="left" w:pos="1710"/>
        </w:tabs>
        <w:rPr>
          <w:rFonts w:ascii="Arial" w:hAnsi="Arial" w:cs="Arial"/>
          <w:color w:val="000000" w:themeColor="text1"/>
          <w14:textFill>
            <w14:solidFill>
              <w14:schemeClr w14:val="tx1"/>
            </w14:solidFill>
          </w14:textFill>
        </w:rPr>
      </w:pPr>
    </w:p>
    <w:p w14:paraId="00F75AEC">
      <w:pPr>
        <w:tabs>
          <w:tab w:val="left" w:pos="1710"/>
        </w:tabs>
        <w:rPr>
          <w:rFonts w:ascii="Arial" w:hAnsi="Arial" w:cs="Arial"/>
          <w:color w:val="000000" w:themeColor="text1"/>
          <w14:textFill>
            <w14:solidFill>
              <w14:schemeClr w14:val="tx1"/>
            </w14:solidFill>
          </w14:textFill>
        </w:rPr>
      </w:pPr>
    </w:p>
    <w:tbl>
      <w:tblPr>
        <w:tblStyle w:val="54"/>
        <w:tblW w:w="6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9"/>
        <w:gridCol w:w="4768"/>
      </w:tblGrid>
      <w:tr w14:paraId="1F16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6537" w:type="dxa"/>
            <w:gridSpan w:val="2"/>
            <w:tcBorders>
              <w:top w:val="nil"/>
              <w:left w:val="nil"/>
              <w:right w:val="nil"/>
            </w:tcBorders>
          </w:tcPr>
          <w:p w14:paraId="0992438E">
            <w:pPr>
              <w:snapToGrid w:val="0"/>
              <w:spacing w:line="240" w:lineRule="atLeast"/>
              <w:jc w:val="center"/>
              <w:rPr>
                <w:rFonts w:ascii="Arial" w:hAnsi="Arial" w:cs="Arial"/>
                <w:b/>
                <w:color w:val="000000" w:themeColor="text1"/>
                <w:sz w:val="60"/>
                <w:szCs w:val="60"/>
                <w14:textFill>
                  <w14:solidFill>
                    <w14:schemeClr w14:val="tx1"/>
                  </w14:solidFill>
                </w14:textFill>
              </w:rPr>
            </w:pPr>
            <w:r>
              <w:rPr>
                <w:rFonts w:ascii="Arial" w:hAnsi="Arial" w:cs="Arial"/>
                <w:b/>
                <w:color w:val="000000" w:themeColor="text1"/>
                <w:sz w:val="60"/>
                <w:szCs w:val="60"/>
                <w14:textFill>
                  <w14:solidFill>
                    <w14:schemeClr w14:val="tx1"/>
                  </w14:solidFill>
                </w14:textFill>
              </w:rPr>
              <w:t>招  标  文  件</w:t>
            </w:r>
          </w:p>
        </w:tc>
      </w:tr>
      <w:tr w14:paraId="1279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exact"/>
          <w:jc w:val="center"/>
        </w:trPr>
        <w:tc>
          <w:tcPr>
            <w:tcW w:w="1769" w:type="dxa"/>
            <w:vAlign w:val="center"/>
          </w:tcPr>
          <w:p w14:paraId="05A159BF">
            <w:pPr>
              <w:rPr>
                <w:rFonts w:ascii="Arial" w:hAnsi="Arial" w:cs="Arial"/>
                <w:b/>
                <w:color w:val="000000" w:themeColor="text1"/>
                <w:sz w:val="32"/>
                <w:szCs w:val="32"/>
                <w14:textFill>
                  <w14:solidFill>
                    <w14:schemeClr w14:val="tx1"/>
                  </w14:solidFill>
                </w14:textFill>
              </w:rPr>
            </w:pPr>
            <w:r>
              <w:rPr>
                <w:rFonts w:ascii="Arial" w:hAnsi="Arial" w:cs="Arial"/>
                <w:b/>
                <w:color w:val="000000" w:themeColor="text1"/>
                <w:sz w:val="32"/>
                <w:szCs w:val="32"/>
                <w14:textFill>
                  <w14:solidFill>
                    <w14:schemeClr w14:val="tx1"/>
                  </w14:solidFill>
                </w14:textFill>
              </w:rPr>
              <w:t>项目名称：</w:t>
            </w:r>
          </w:p>
        </w:tc>
        <w:tc>
          <w:tcPr>
            <w:tcW w:w="4768" w:type="dxa"/>
            <w:vAlign w:val="center"/>
          </w:tcPr>
          <w:p w14:paraId="2E24AEAA">
            <w:pPr>
              <w:rPr>
                <w:rFonts w:hint="eastAsia" w:ascii="Arial" w:hAnsi="Arial" w:eastAsia="宋体" w:cs="Arial"/>
                <w:b/>
                <w:color w:val="000000" w:themeColor="text1"/>
                <w:sz w:val="32"/>
                <w:szCs w:val="32"/>
                <w:lang w:eastAsia="zh-CN"/>
                <w14:textFill>
                  <w14:solidFill>
                    <w14:schemeClr w14:val="tx1"/>
                  </w14:solidFill>
                </w14:textFill>
              </w:rPr>
            </w:pPr>
            <w:r>
              <w:rPr>
                <w:rFonts w:hint="eastAsia" w:ascii="Arial" w:hAnsi="Arial" w:cs="Arial"/>
                <w:b/>
                <w:color w:val="000000" w:themeColor="text1"/>
                <w:sz w:val="32"/>
                <w:szCs w:val="32"/>
                <w:lang w:eastAsia="zh-CN"/>
                <w14:textFill>
                  <w14:solidFill>
                    <w14:schemeClr w14:val="tx1"/>
                  </w14:solidFill>
                </w14:textFill>
              </w:rPr>
              <w:t>南溪山医院医疗设备一批项目（四）（眼科OCT系统、体外生命支持系统（ECMO））</w:t>
            </w:r>
          </w:p>
        </w:tc>
      </w:tr>
      <w:tr w14:paraId="1FBC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9" w:type="dxa"/>
            <w:vAlign w:val="center"/>
          </w:tcPr>
          <w:p w14:paraId="2361EAAF">
            <w:pPr>
              <w:rPr>
                <w:rFonts w:ascii="Arial" w:hAnsi="Arial" w:cs="Arial"/>
                <w:b/>
                <w:color w:val="000000" w:themeColor="text1"/>
                <w:sz w:val="32"/>
                <w:szCs w:val="32"/>
                <w14:textFill>
                  <w14:solidFill>
                    <w14:schemeClr w14:val="tx1"/>
                  </w14:solidFill>
                </w14:textFill>
              </w:rPr>
            </w:pPr>
            <w:r>
              <w:rPr>
                <w:rFonts w:ascii="Arial" w:hAnsi="Arial" w:cs="Arial"/>
                <w:b/>
                <w:color w:val="000000" w:themeColor="text1"/>
                <w:sz w:val="32"/>
                <w:szCs w:val="32"/>
                <w14:textFill>
                  <w14:solidFill>
                    <w14:schemeClr w14:val="tx1"/>
                  </w14:solidFill>
                </w14:textFill>
              </w:rPr>
              <w:t>项目编号：</w:t>
            </w:r>
          </w:p>
        </w:tc>
        <w:tc>
          <w:tcPr>
            <w:tcW w:w="4768" w:type="dxa"/>
            <w:vAlign w:val="center"/>
          </w:tcPr>
          <w:p w14:paraId="6D9036A2">
            <w:pPr>
              <w:rPr>
                <w:rFonts w:hint="eastAsia" w:ascii="Arial" w:hAnsi="Arial" w:eastAsia="宋体" w:cs="Arial"/>
                <w:b/>
                <w:color w:val="000000" w:themeColor="text1"/>
                <w:sz w:val="32"/>
                <w:szCs w:val="32"/>
                <w:lang w:eastAsia="zh-CN"/>
                <w14:textFill>
                  <w14:solidFill>
                    <w14:schemeClr w14:val="tx1"/>
                  </w14:solidFill>
                </w14:textFill>
              </w:rPr>
            </w:pPr>
            <w:r>
              <w:rPr>
                <w:rFonts w:hint="eastAsia" w:ascii="Arial" w:hAnsi="Arial" w:cs="Arial"/>
                <w:b/>
                <w:color w:val="000000" w:themeColor="text1"/>
                <w:sz w:val="32"/>
                <w:szCs w:val="32"/>
                <w:lang w:eastAsia="zh-CN"/>
                <w14:textFill>
                  <w14:solidFill>
                    <w14:schemeClr w14:val="tx1"/>
                  </w14:solidFill>
                </w14:textFill>
              </w:rPr>
              <w:t>GXZC2026-G1-002968-JDZB</w:t>
            </w:r>
          </w:p>
        </w:tc>
      </w:tr>
      <w:tr w14:paraId="1B74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9" w:type="dxa"/>
            <w:vAlign w:val="center"/>
          </w:tcPr>
          <w:p w14:paraId="0668A956">
            <w:pPr>
              <w:rPr>
                <w:rFonts w:ascii="Arial" w:hAnsi="Arial" w:cs="Arial"/>
                <w:b/>
                <w:color w:val="000000" w:themeColor="text1"/>
                <w:sz w:val="32"/>
                <w:szCs w:val="32"/>
                <w14:textFill>
                  <w14:solidFill>
                    <w14:schemeClr w14:val="tx1"/>
                  </w14:solidFill>
                </w14:textFill>
              </w:rPr>
            </w:pPr>
            <w:r>
              <w:rPr>
                <w:rFonts w:ascii="Arial" w:hAnsi="Arial" w:cs="Arial"/>
                <w:b/>
                <w:color w:val="000000" w:themeColor="text1"/>
                <w:sz w:val="32"/>
                <w:szCs w:val="32"/>
                <w14:textFill>
                  <w14:solidFill>
                    <w14:schemeClr w14:val="tx1"/>
                  </w14:solidFill>
                </w14:textFill>
              </w:rPr>
              <w:t>联系电话：</w:t>
            </w:r>
          </w:p>
        </w:tc>
        <w:tc>
          <w:tcPr>
            <w:tcW w:w="4768" w:type="dxa"/>
            <w:vAlign w:val="center"/>
          </w:tcPr>
          <w:p w14:paraId="3EB4D064">
            <w:pPr>
              <w:rPr>
                <w:rFonts w:ascii="Arial" w:hAnsi="Arial" w:cs="Arial"/>
                <w:b/>
                <w:color w:val="000000" w:themeColor="text1"/>
                <w:sz w:val="32"/>
                <w:szCs w:val="32"/>
                <w14:textFill>
                  <w14:solidFill>
                    <w14:schemeClr w14:val="tx1"/>
                  </w14:solidFill>
                </w14:textFill>
              </w:rPr>
            </w:pPr>
            <w:r>
              <w:rPr>
                <w:rFonts w:ascii="Arial" w:hAnsi="Arial" w:cs="Arial"/>
                <w:b/>
                <w:color w:val="000000" w:themeColor="text1"/>
                <w:sz w:val="32"/>
                <w:szCs w:val="32"/>
                <w14:textFill>
                  <w14:solidFill>
                    <w14:schemeClr w14:val="tx1"/>
                  </w14:solidFill>
                </w14:textFill>
              </w:rPr>
              <w:t>0773-3696789转2</w:t>
            </w:r>
          </w:p>
        </w:tc>
      </w:tr>
    </w:tbl>
    <w:p w14:paraId="2677BD33">
      <w:pPr>
        <w:tabs>
          <w:tab w:val="left" w:pos="1710"/>
        </w:tabs>
        <w:rPr>
          <w:rFonts w:ascii="Arial" w:hAnsi="Arial" w:cs="Arial"/>
          <w:color w:val="000000" w:themeColor="text1"/>
          <w14:textFill>
            <w14:solidFill>
              <w14:schemeClr w14:val="tx1"/>
            </w14:solidFill>
          </w14:textFill>
        </w:rPr>
      </w:pPr>
    </w:p>
    <w:p w14:paraId="382B93C5">
      <w:pPr>
        <w:rPr>
          <w:rFonts w:ascii="Arial" w:hAnsi="Arial" w:cs="Arial"/>
          <w:color w:val="000000" w:themeColor="text1"/>
          <w14:textFill>
            <w14:solidFill>
              <w14:schemeClr w14:val="tx1"/>
            </w14:solidFill>
          </w14:textFill>
        </w:rPr>
      </w:pPr>
    </w:p>
    <w:p w14:paraId="06A76191">
      <w:pPr>
        <w:rPr>
          <w:rFonts w:ascii="Arial" w:hAnsi="Arial" w:cs="Arial"/>
          <w:color w:val="000000" w:themeColor="text1"/>
          <w14:textFill>
            <w14:solidFill>
              <w14:schemeClr w14:val="tx1"/>
            </w14:solidFill>
          </w14:textFill>
        </w:rPr>
      </w:pPr>
    </w:p>
    <w:p w14:paraId="7AD06C1B">
      <w:pPr>
        <w:rPr>
          <w:rFonts w:ascii="Arial" w:hAnsi="Arial" w:cs="Arial"/>
          <w:color w:val="000000" w:themeColor="text1"/>
          <w14:textFill>
            <w14:solidFill>
              <w14:schemeClr w14:val="tx1"/>
            </w14:solidFill>
          </w14:textFill>
        </w:rPr>
      </w:pPr>
    </w:p>
    <w:p w14:paraId="128AC9C1">
      <w:pPr>
        <w:rPr>
          <w:rFonts w:ascii="Arial" w:hAnsi="Arial" w:cs="Arial"/>
          <w:color w:val="000000" w:themeColor="text1"/>
          <w14:textFill>
            <w14:solidFill>
              <w14:schemeClr w14:val="tx1"/>
            </w14:solidFill>
          </w14:textFill>
        </w:rPr>
      </w:pPr>
    </w:p>
    <w:p w14:paraId="3B1F812D">
      <w:pPr>
        <w:widowControl/>
        <w:jc w:val="left"/>
        <w:rPr>
          <w:rFonts w:ascii="Arial" w:hAnsi="Arial" w:cs="Arial"/>
          <w:color w:val="000000" w:themeColor="text1"/>
          <w:kern w:val="0"/>
          <w:sz w:val="24"/>
          <w14:textFill>
            <w14:solidFill>
              <w14:schemeClr w14:val="tx1"/>
            </w14:solidFill>
          </w14:textFill>
        </w:rPr>
      </w:pPr>
    </w:p>
    <w:p w14:paraId="7A984C8A">
      <w:pPr>
        <w:rPr>
          <w:rFonts w:ascii="Arial" w:hAnsi="Arial" w:cs="Arial"/>
          <w:color w:val="000000" w:themeColor="text1"/>
          <w14:textFill>
            <w14:solidFill>
              <w14:schemeClr w14:val="tx1"/>
            </w14:solidFill>
          </w14:textFill>
        </w:rPr>
      </w:pPr>
    </w:p>
    <w:p w14:paraId="75C964F4">
      <w:pPr>
        <w:rPr>
          <w:rFonts w:ascii="Arial" w:hAnsi="Arial" w:cs="Arial"/>
          <w:color w:val="000000" w:themeColor="text1"/>
          <w14:textFill>
            <w14:solidFill>
              <w14:schemeClr w14:val="tx1"/>
            </w14:solidFill>
          </w14:textFill>
        </w:rPr>
      </w:pPr>
    </w:p>
    <w:p w14:paraId="013CEA06">
      <w:pPr>
        <w:rPr>
          <w:rFonts w:ascii="Arial" w:hAnsi="Arial" w:cs="Arial"/>
          <w:color w:val="000000" w:themeColor="text1"/>
          <w14:textFill>
            <w14:solidFill>
              <w14:schemeClr w14:val="tx1"/>
            </w14:solidFill>
          </w14:textFill>
        </w:rPr>
      </w:pPr>
    </w:p>
    <w:p w14:paraId="1321E0B2">
      <w:pPr>
        <w:rPr>
          <w:rFonts w:ascii="Arial" w:hAnsi="Arial" w:cs="Arial"/>
          <w:color w:val="000000" w:themeColor="text1"/>
          <w14:textFill>
            <w14:solidFill>
              <w14:schemeClr w14:val="tx1"/>
            </w14:solidFill>
          </w14:textFill>
        </w:rPr>
      </w:pPr>
    </w:p>
    <w:p w14:paraId="7C9D635E">
      <w:pPr>
        <w:rPr>
          <w:rFonts w:ascii="Arial" w:hAnsi="Arial" w:cs="Arial"/>
          <w:color w:val="000000" w:themeColor="text1"/>
          <w14:textFill>
            <w14:solidFill>
              <w14:schemeClr w14:val="tx1"/>
            </w14:solidFill>
          </w14:textFill>
        </w:rPr>
      </w:pPr>
    </w:p>
    <w:p w14:paraId="4AC86E10">
      <w:pPr>
        <w:rPr>
          <w:rFonts w:ascii="Arial" w:hAnsi="Arial" w:cs="Arial"/>
          <w:color w:val="000000" w:themeColor="text1"/>
          <w14:textFill>
            <w14:solidFill>
              <w14:schemeClr w14:val="tx1"/>
            </w14:solidFill>
          </w14:textFill>
        </w:rPr>
      </w:pPr>
    </w:p>
    <w:p w14:paraId="04291D6F">
      <w:pPr>
        <w:rPr>
          <w:rFonts w:ascii="Arial" w:hAnsi="Arial" w:cs="Arial"/>
          <w:color w:val="000000" w:themeColor="text1"/>
          <w14:textFill>
            <w14:solidFill>
              <w14:schemeClr w14:val="tx1"/>
            </w14:solidFill>
          </w14:textFill>
        </w:rPr>
      </w:pPr>
    </w:p>
    <w:p w14:paraId="2362BFC8">
      <w:pPr>
        <w:rPr>
          <w:rFonts w:ascii="Arial" w:hAnsi="Arial" w:cs="Arial"/>
          <w:color w:val="000000" w:themeColor="text1"/>
          <w14:textFill>
            <w14:solidFill>
              <w14:schemeClr w14:val="tx1"/>
            </w14:solidFill>
          </w14:textFill>
        </w:rPr>
      </w:pPr>
    </w:p>
    <w:p w14:paraId="4014440D">
      <w:pPr>
        <w:rPr>
          <w:rFonts w:ascii="Arial" w:hAnsi="Arial" w:cs="Arial"/>
          <w:color w:val="000000" w:themeColor="text1"/>
          <w14:textFill>
            <w14:solidFill>
              <w14:schemeClr w14:val="tx1"/>
            </w14:solidFill>
          </w14:textFill>
        </w:rPr>
      </w:pPr>
    </w:p>
    <w:tbl>
      <w:tblPr>
        <w:tblStyle w:val="54"/>
        <w:tblW w:w="7712" w:type="dxa"/>
        <w:jc w:val="center"/>
        <w:tblLayout w:type="fixed"/>
        <w:tblCellMar>
          <w:top w:w="0" w:type="dxa"/>
          <w:left w:w="108" w:type="dxa"/>
          <w:bottom w:w="0" w:type="dxa"/>
          <w:right w:w="108" w:type="dxa"/>
        </w:tblCellMar>
      </w:tblPr>
      <w:tblGrid>
        <w:gridCol w:w="2416"/>
        <w:gridCol w:w="5296"/>
      </w:tblGrid>
      <w:tr w14:paraId="6048737D">
        <w:tblPrEx>
          <w:tblCellMar>
            <w:top w:w="0" w:type="dxa"/>
            <w:left w:w="108" w:type="dxa"/>
            <w:bottom w:w="0" w:type="dxa"/>
            <w:right w:w="108" w:type="dxa"/>
          </w:tblCellMar>
        </w:tblPrEx>
        <w:trPr>
          <w:trHeight w:val="1058" w:hRule="atLeast"/>
          <w:jc w:val="center"/>
        </w:trPr>
        <w:tc>
          <w:tcPr>
            <w:tcW w:w="2416" w:type="dxa"/>
            <w:vAlign w:val="center"/>
          </w:tcPr>
          <w:p w14:paraId="4214D2D4">
            <w:pPr>
              <w:autoSpaceDE w:val="0"/>
              <w:autoSpaceDN w:val="0"/>
              <w:adjustRightInd w:val="0"/>
              <w:jc w:val="right"/>
              <w:rPr>
                <w:rFonts w:ascii="Arial" w:hAnsi="Arial" w:cs="Arial"/>
                <w:b/>
                <w:color w:val="000000" w:themeColor="text1"/>
                <w:sz w:val="32"/>
                <w:szCs w:val="32"/>
                <w14:textFill>
                  <w14:solidFill>
                    <w14:schemeClr w14:val="tx1"/>
                  </w14:solidFill>
                </w14:textFill>
              </w:rPr>
            </w:pPr>
            <w:r>
              <w:rPr>
                <w:rFonts w:ascii="Arial" w:hAnsi="Arial" w:cs="Arial"/>
                <w:b/>
                <w:color w:val="000000" w:themeColor="text1"/>
                <w:sz w:val="32"/>
                <w:szCs w:val="32"/>
                <w14:textFill>
                  <w14:solidFill>
                    <w14:schemeClr w14:val="tx1"/>
                  </w14:solidFill>
                </w14:textFill>
              </w:rPr>
              <w:t xml:space="preserve">  采购人：</w:t>
            </w:r>
          </w:p>
        </w:tc>
        <w:tc>
          <w:tcPr>
            <w:tcW w:w="5296" w:type="dxa"/>
            <w:vAlign w:val="center"/>
          </w:tcPr>
          <w:p w14:paraId="26FA8CB8">
            <w:pPr>
              <w:autoSpaceDE w:val="0"/>
              <w:autoSpaceDN w:val="0"/>
              <w:adjustRightInd w:val="0"/>
              <w:jc w:val="left"/>
              <w:rPr>
                <w:rFonts w:ascii="Arial" w:hAnsi="Arial" w:cs="Arial"/>
                <w:b/>
                <w:color w:val="000000" w:themeColor="text1"/>
                <w:sz w:val="32"/>
                <w:szCs w:val="32"/>
                <w14:textFill>
                  <w14:solidFill>
                    <w14:schemeClr w14:val="tx1"/>
                  </w14:solidFill>
                </w14:textFill>
              </w:rPr>
            </w:pPr>
            <w:r>
              <w:rPr>
                <w:rFonts w:ascii="Arial" w:hAnsi="Arial" w:cs="Arial"/>
                <w:b/>
                <w:color w:val="000000" w:themeColor="text1"/>
                <w:sz w:val="32"/>
                <w:szCs w:val="32"/>
                <w14:textFill>
                  <w14:solidFill>
                    <w14:schemeClr w14:val="tx1"/>
                  </w14:solidFill>
                </w14:textFill>
              </w:rPr>
              <w:t>广西壮族自治区南溪山医院（广西壮族自治区第二人民医院）</w:t>
            </w:r>
          </w:p>
        </w:tc>
      </w:tr>
      <w:tr w14:paraId="132B0180">
        <w:tblPrEx>
          <w:tblCellMar>
            <w:top w:w="0" w:type="dxa"/>
            <w:left w:w="108" w:type="dxa"/>
            <w:bottom w:w="0" w:type="dxa"/>
            <w:right w:w="108" w:type="dxa"/>
          </w:tblCellMar>
        </w:tblPrEx>
        <w:trPr>
          <w:trHeight w:val="703" w:hRule="atLeast"/>
          <w:jc w:val="center"/>
        </w:trPr>
        <w:tc>
          <w:tcPr>
            <w:tcW w:w="2416" w:type="dxa"/>
          </w:tcPr>
          <w:p w14:paraId="2209B840">
            <w:pPr>
              <w:autoSpaceDE w:val="0"/>
              <w:autoSpaceDN w:val="0"/>
              <w:adjustRightInd w:val="0"/>
              <w:jc w:val="right"/>
              <w:rPr>
                <w:rFonts w:ascii="Arial" w:hAnsi="Arial" w:cs="Arial"/>
                <w:b/>
                <w:color w:val="000000" w:themeColor="text1"/>
                <w:sz w:val="32"/>
                <w:szCs w:val="32"/>
                <w14:textFill>
                  <w14:solidFill>
                    <w14:schemeClr w14:val="tx1"/>
                  </w14:solidFill>
                </w14:textFill>
              </w:rPr>
            </w:pPr>
            <w:r>
              <w:rPr>
                <w:rFonts w:ascii="Arial" w:hAnsi="Arial" w:cs="Arial"/>
                <w:b/>
                <w:color w:val="000000" w:themeColor="text1"/>
                <w:sz w:val="32"/>
                <w:szCs w:val="32"/>
                <w14:textFill>
                  <w14:solidFill>
                    <w14:schemeClr w14:val="tx1"/>
                  </w14:solidFill>
                </w14:textFill>
              </w:rPr>
              <w:t>采购代理机构：</w:t>
            </w:r>
          </w:p>
        </w:tc>
        <w:tc>
          <w:tcPr>
            <w:tcW w:w="5296" w:type="dxa"/>
          </w:tcPr>
          <w:p w14:paraId="5B71580D">
            <w:pPr>
              <w:autoSpaceDE w:val="0"/>
              <w:autoSpaceDN w:val="0"/>
              <w:adjustRightInd w:val="0"/>
              <w:rPr>
                <w:rFonts w:ascii="Arial" w:hAnsi="Arial" w:cs="Arial"/>
                <w:b/>
                <w:color w:val="000000" w:themeColor="text1"/>
                <w:sz w:val="32"/>
                <w:szCs w:val="32"/>
                <w:u w:val="single"/>
                <w14:textFill>
                  <w14:solidFill>
                    <w14:schemeClr w14:val="tx1"/>
                  </w14:solidFill>
                </w14:textFill>
              </w:rPr>
            </w:pPr>
            <w:r>
              <w:rPr>
                <w:rFonts w:ascii="Arial" w:hAnsi="Arial" w:cs="Arial"/>
                <w:b/>
                <w:color w:val="000000" w:themeColor="text1"/>
                <w:sz w:val="32"/>
                <w:szCs w:val="32"/>
                <w14:textFill>
                  <w14:solidFill>
                    <w14:schemeClr w14:val="tx1"/>
                  </w14:solidFill>
                </w14:textFill>
              </w:rPr>
              <w:t>广西机电设备招标有限公司</w:t>
            </w:r>
          </w:p>
        </w:tc>
      </w:tr>
    </w:tbl>
    <w:p w14:paraId="51283985">
      <w:pPr>
        <w:rPr>
          <w:rFonts w:ascii="Arial" w:hAnsi="Arial" w:cs="Arial"/>
          <w:color w:val="000000" w:themeColor="text1"/>
          <w14:textFill>
            <w14:solidFill>
              <w14:schemeClr w14:val="tx1"/>
            </w14:solidFill>
          </w14:textFill>
        </w:rPr>
      </w:pPr>
    </w:p>
    <w:p w14:paraId="1D471492">
      <w:pPr>
        <w:ind w:firstLine="321" w:firstLineChars="100"/>
        <w:jc w:val="center"/>
        <w:rPr>
          <w:rFonts w:ascii="Arial" w:hAnsi="Arial" w:cs="Arial"/>
          <w:b/>
          <w:color w:val="000000" w:themeColor="text1"/>
          <w:sz w:val="32"/>
          <w:szCs w:val="32"/>
          <w14:textFill>
            <w14:solidFill>
              <w14:schemeClr w14:val="tx1"/>
            </w14:solidFill>
          </w14:textFill>
        </w:rPr>
        <w:sectPr>
          <w:headerReference r:id="rId4" w:type="first"/>
          <w:footerReference r:id="rId6" w:type="first"/>
          <w:headerReference r:id="rId3" w:type="even"/>
          <w:footerReference r:id="rId5" w:type="even"/>
          <w:type w:val="nextColumn"/>
          <w:pgSz w:w="11906" w:h="16838"/>
          <w:pgMar w:top="1418" w:right="1418" w:bottom="1246" w:left="1418" w:header="851" w:footer="992" w:gutter="0"/>
          <w:pgNumType w:start="0"/>
          <w:cols w:space="720" w:num="1"/>
          <w:titlePg/>
          <w:docGrid w:linePitch="312" w:charSpace="0"/>
        </w:sectPr>
      </w:pPr>
      <w:r>
        <w:rPr>
          <w:rFonts w:ascii="Arial" w:hAnsi="Arial" w:cs="Arial"/>
          <w:b/>
          <w:color w:val="000000" w:themeColor="text1"/>
          <w:sz w:val="32"/>
          <w:szCs w:val="32"/>
          <w14:textFill>
            <w14:solidFill>
              <w14:schemeClr w14:val="tx1"/>
            </w14:solidFill>
          </w14:textFill>
        </w:rPr>
        <w:t>202</w:t>
      </w:r>
      <w:r>
        <w:rPr>
          <w:rFonts w:hint="eastAsia" w:ascii="Arial" w:hAnsi="Arial" w:cs="Arial"/>
          <w:b/>
          <w:color w:val="000000" w:themeColor="text1"/>
          <w:sz w:val="32"/>
          <w:szCs w:val="32"/>
          <w14:textFill>
            <w14:solidFill>
              <w14:schemeClr w14:val="tx1"/>
            </w14:solidFill>
          </w14:textFill>
        </w:rPr>
        <w:t>6</w:t>
      </w:r>
      <w:r>
        <w:rPr>
          <w:rFonts w:ascii="Arial" w:hAnsi="Arial" w:cs="Arial"/>
          <w:b/>
          <w:color w:val="000000" w:themeColor="text1"/>
          <w:sz w:val="32"/>
          <w:szCs w:val="32"/>
          <w14:textFill>
            <w14:solidFill>
              <w14:schemeClr w14:val="tx1"/>
            </w14:solidFill>
          </w14:textFill>
        </w:rPr>
        <w:t>年</w:t>
      </w:r>
      <w:r>
        <w:rPr>
          <w:rFonts w:hint="eastAsia" w:ascii="Arial" w:hAnsi="Arial" w:cs="Arial"/>
          <w:b/>
          <w:color w:val="000000" w:themeColor="text1"/>
          <w:sz w:val="32"/>
          <w:szCs w:val="32"/>
          <w:lang w:val="en-US" w:eastAsia="zh-CN"/>
          <w14:textFill>
            <w14:solidFill>
              <w14:schemeClr w14:val="tx1"/>
            </w14:solidFill>
          </w14:textFill>
        </w:rPr>
        <w:t>9</w:t>
      </w:r>
      <w:r>
        <w:rPr>
          <w:rFonts w:ascii="Arial" w:hAnsi="Arial" w:cs="Arial"/>
          <w:b/>
          <w:color w:val="000000" w:themeColor="text1"/>
          <w:sz w:val="32"/>
          <w:szCs w:val="32"/>
          <w14:textFill>
            <w14:solidFill>
              <w14:schemeClr w14:val="tx1"/>
            </w14:solidFill>
          </w14:textFill>
        </w:rPr>
        <w:t>月</w:t>
      </w:r>
    </w:p>
    <w:p w14:paraId="18E2BC61">
      <w:pPr>
        <w:spacing w:line="360" w:lineRule="auto"/>
        <w:rPr>
          <w:rFonts w:ascii="Arial" w:hAnsi="Arial" w:cs="Arial"/>
          <w:b/>
          <w:color w:val="000000" w:themeColor="text1"/>
          <w:sz w:val="24"/>
          <w14:textFill>
            <w14:solidFill>
              <w14:schemeClr w14:val="tx1"/>
            </w14:solidFill>
          </w14:textFill>
        </w:rPr>
      </w:pPr>
    </w:p>
    <w:p w14:paraId="392C20C3">
      <w:pPr>
        <w:pStyle w:val="30"/>
        <w:snapToGrid w:val="0"/>
        <w:spacing w:before="120" w:after="120" w:line="320" w:lineRule="exact"/>
        <w:jc w:val="center"/>
        <w:outlineLvl w:val="0"/>
        <w:rPr>
          <w:rFonts w:ascii="Arial" w:hAnsi="Arial" w:cs="Arial"/>
          <w:color w:val="000000" w:themeColor="text1"/>
          <w:sz w:val="32"/>
          <w:szCs w:val="32"/>
          <w14:textFill>
            <w14:solidFill>
              <w14:schemeClr w14:val="tx1"/>
            </w14:solidFill>
          </w14:textFill>
        </w:rPr>
      </w:pPr>
      <w:bookmarkStart w:id="2" w:name="_Toc21026"/>
      <w:bookmarkStart w:id="3" w:name="_Toc5130"/>
      <w:bookmarkStart w:id="4" w:name="_Toc6931"/>
      <w:r>
        <w:rPr>
          <w:rFonts w:ascii="Arial" w:hAnsi="Arial" w:cs="Arial"/>
          <w:color w:val="000000" w:themeColor="text1"/>
          <w:sz w:val="32"/>
          <w:szCs w:val="32"/>
          <w14:textFill>
            <w14:solidFill>
              <w14:schemeClr w14:val="tx1"/>
            </w14:solidFill>
          </w14:textFill>
        </w:rPr>
        <w:t>目录</w:t>
      </w:r>
      <w:bookmarkEnd w:id="2"/>
      <w:bookmarkEnd w:id="3"/>
      <w:bookmarkEnd w:id="4"/>
    </w:p>
    <w:p w14:paraId="49434025">
      <w:pPr>
        <w:pStyle w:val="37"/>
        <w:tabs>
          <w:tab w:val="right" w:leader="dot" w:pos="9354"/>
          <w:tab w:val="clear" w:pos="8398"/>
        </w:tabs>
      </w:pPr>
      <w:r>
        <w:rPr>
          <w:rFonts w:ascii="Arial" w:hAnsi="Arial" w:cs="Arial"/>
          <w:color w:val="000000" w:themeColor="text1"/>
          <w14:textFill>
            <w14:solidFill>
              <w14:schemeClr w14:val="tx1"/>
            </w14:solidFill>
          </w14:textFill>
        </w:rPr>
        <w:fldChar w:fldCharType="begin"/>
      </w:r>
      <w:r>
        <w:rPr>
          <w:rStyle w:val="62"/>
          <w:rFonts w:ascii="Arial" w:hAnsi="Arial" w:cs="Arial"/>
          <w:color w:val="000000" w:themeColor="text1"/>
          <w14:textFill>
            <w14:solidFill>
              <w14:schemeClr w14:val="tx1"/>
            </w14:solidFill>
          </w14:textFill>
        </w:rPr>
        <w:instrText xml:space="preserve"> TOC \o "1-1" \h \z \u </w:instrText>
      </w:r>
      <w:r>
        <w:rPr>
          <w:rFonts w:ascii="Arial" w:hAnsi="Arial" w:cs="Arial"/>
          <w:color w:val="000000" w:themeColor="text1"/>
          <w14:textFill>
            <w14:solidFill>
              <w14:schemeClr w14:val="tx1"/>
            </w14:solidFill>
          </w14:textFill>
        </w:rPr>
        <w:fldChar w:fldCharType="separate"/>
      </w:r>
      <w:r>
        <w:rPr>
          <w:rFonts w:ascii="Arial" w:hAnsi="Arial" w:cs="Arial"/>
          <w:color w:val="000000" w:themeColor="text1"/>
          <w14:textFill>
            <w14:solidFill>
              <w14:schemeClr w14:val="tx1"/>
            </w14:solidFill>
          </w14:textFill>
        </w:rPr>
        <w:fldChar w:fldCharType="begin"/>
      </w:r>
      <w:r>
        <w:rPr>
          <w:rFonts w:ascii="Arial" w:hAnsi="Arial" w:cs="Arial"/>
        </w:rPr>
        <w:instrText xml:space="preserve"> HYPERLINK \l _Toc10173 </w:instrText>
      </w:r>
      <w:r>
        <w:rPr>
          <w:rFonts w:ascii="Arial" w:hAnsi="Arial" w:cs="Arial"/>
        </w:rPr>
        <w:fldChar w:fldCharType="separate"/>
      </w:r>
      <w:r>
        <w:rPr>
          <w:rFonts w:ascii="Arial" w:hAnsi="Arial" w:cs="Arial"/>
          <w:szCs w:val="32"/>
        </w:rPr>
        <w:t>第一章  招标公告</w:t>
      </w:r>
      <w:r>
        <w:tab/>
      </w:r>
      <w:r>
        <w:fldChar w:fldCharType="begin"/>
      </w:r>
      <w:r>
        <w:instrText xml:space="preserve"> PAGEREF _Toc10173 \h </w:instrText>
      </w:r>
      <w:r>
        <w:fldChar w:fldCharType="separate"/>
      </w:r>
      <w:r>
        <w:t>1</w:t>
      </w:r>
      <w:r>
        <w:fldChar w:fldCharType="end"/>
      </w:r>
      <w:r>
        <w:rPr>
          <w:rFonts w:ascii="Arial" w:hAnsi="Arial" w:cs="Arial"/>
          <w:color w:val="000000" w:themeColor="text1"/>
          <w14:textFill>
            <w14:solidFill>
              <w14:schemeClr w14:val="tx1"/>
            </w14:solidFill>
          </w14:textFill>
        </w:rPr>
        <w:fldChar w:fldCharType="end"/>
      </w:r>
    </w:p>
    <w:p w14:paraId="10BC7DE4">
      <w:pPr>
        <w:pStyle w:val="37"/>
        <w:tabs>
          <w:tab w:val="right" w:leader="dot" w:pos="9354"/>
          <w:tab w:val="clear" w:pos="8398"/>
        </w:tabs>
      </w:pPr>
      <w:r>
        <w:rPr>
          <w:rFonts w:ascii="Arial" w:hAnsi="Arial" w:cs="Arial"/>
          <w:color w:val="000000" w:themeColor="text1"/>
          <w14:textFill>
            <w14:solidFill>
              <w14:schemeClr w14:val="tx1"/>
            </w14:solidFill>
          </w14:textFill>
        </w:rPr>
        <w:fldChar w:fldCharType="begin"/>
      </w:r>
      <w:r>
        <w:rPr>
          <w:rFonts w:ascii="Arial" w:hAnsi="Arial" w:cs="Arial"/>
        </w:rPr>
        <w:instrText xml:space="preserve"> HYPERLINK \l _Toc22457 </w:instrText>
      </w:r>
      <w:r>
        <w:rPr>
          <w:rFonts w:ascii="Arial" w:hAnsi="Arial" w:cs="Arial"/>
        </w:rPr>
        <w:fldChar w:fldCharType="separate"/>
      </w:r>
      <w:r>
        <w:rPr>
          <w:rFonts w:ascii="Arial" w:hAnsi="Arial" w:cs="Arial"/>
          <w:szCs w:val="32"/>
        </w:rPr>
        <w:t>第二章  项目采购需求</w:t>
      </w:r>
      <w:r>
        <w:tab/>
      </w:r>
      <w:r>
        <w:fldChar w:fldCharType="begin"/>
      </w:r>
      <w:r>
        <w:instrText xml:space="preserve"> PAGEREF _Toc22457 \h </w:instrText>
      </w:r>
      <w:r>
        <w:fldChar w:fldCharType="separate"/>
      </w:r>
      <w:r>
        <w:t>4</w:t>
      </w:r>
      <w:r>
        <w:fldChar w:fldCharType="end"/>
      </w:r>
      <w:r>
        <w:rPr>
          <w:rFonts w:ascii="Arial" w:hAnsi="Arial" w:cs="Arial"/>
          <w:color w:val="000000" w:themeColor="text1"/>
          <w14:textFill>
            <w14:solidFill>
              <w14:schemeClr w14:val="tx1"/>
            </w14:solidFill>
          </w14:textFill>
        </w:rPr>
        <w:fldChar w:fldCharType="end"/>
      </w:r>
    </w:p>
    <w:p w14:paraId="234AB63B">
      <w:pPr>
        <w:pStyle w:val="37"/>
        <w:tabs>
          <w:tab w:val="right" w:leader="dot" w:pos="9354"/>
          <w:tab w:val="clear" w:pos="8398"/>
        </w:tabs>
      </w:pPr>
      <w:r>
        <w:rPr>
          <w:rFonts w:ascii="Arial" w:hAnsi="Arial" w:cs="Arial"/>
          <w:color w:val="000000" w:themeColor="text1"/>
          <w14:textFill>
            <w14:solidFill>
              <w14:schemeClr w14:val="tx1"/>
            </w14:solidFill>
          </w14:textFill>
        </w:rPr>
        <w:fldChar w:fldCharType="begin"/>
      </w:r>
      <w:r>
        <w:rPr>
          <w:rFonts w:ascii="Arial" w:hAnsi="Arial" w:cs="Arial"/>
        </w:rPr>
        <w:instrText xml:space="preserve"> HYPERLINK \l _Toc13905 </w:instrText>
      </w:r>
      <w:r>
        <w:rPr>
          <w:rFonts w:ascii="Arial" w:hAnsi="Arial" w:cs="Arial"/>
        </w:rPr>
        <w:fldChar w:fldCharType="separate"/>
      </w:r>
      <w:r>
        <w:rPr>
          <w:rFonts w:ascii="Arial" w:hAnsi="Arial" w:cs="Arial"/>
          <w:szCs w:val="32"/>
        </w:rPr>
        <w:t>第三章  供应商须知</w:t>
      </w:r>
      <w:r>
        <w:tab/>
      </w:r>
      <w:r>
        <w:fldChar w:fldCharType="begin"/>
      </w:r>
      <w:r>
        <w:instrText xml:space="preserve"> PAGEREF _Toc13905 \h </w:instrText>
      </w:r>
      <w:r>
        <w:fldChar w:fldCharType="separate"/>
      </w:r>
      <w:r>
        <w:t>16</w:t>
      </w:r>
      <w:r>
        <w:fldChar w:fldCharType="end"/>
      </w:r>
      <w:r>
        <w:rPr>
          <w:rFonts w:ascii="Arial" w:hAnsi="Arial" w:cs="Arial"/>
          <w:color w:val="000000" w:themeColor="text1"/>
          <w14:textFill>
            <w14:solidFill>
              <w14:schemeClr w14:val="tx1"/>
            </w14:solidFill>
          </w14:textFill>
        </w:rPr>
        <w:fldChar w:fldCharType="end"/>
      </w:r>
    </w:p>
    <w:p w14:paraId="59DAC7C4">
      <w:pPr>
        <w:pStyle w:val="37"/>
        <w:tabs>
          <w:tab w:val="right" w:leader="dot" w:pos="9354"/>
          <w:tab w:val="clear" w:pos="8398"/>
        </w:tabs>
      </w:pPr>
      <w:r>
        <w:rPr>
          <w:rFonts w:ascii="Arial" w:hAnsi="Arial" w:cs="Arial"/>
          <w:color w:val="000000" w:themeColor="text1"/>
          <w14:textFill>
            <w14:solidFill>
              <w14:schemeClr w14:val="tx1"/>
            </w14:solidFill>
          </w14:textFill>
        </w:rPr>
        <w:fldChar w:fldCharType="begin"/>
      </w:r>
      <w:r>
        <w:rPr>
          <w:rFonts w:ascii="Arial" w:hAnsi="Arial" w:cs="Arial"/>
        </w:rPr>
        <w:instrText xml:space="preserve"> HYPERLINK \l _Toc3087 </w:instrText>
      </w:r>
      <w:r>
        <w:rPr>
          <w:rFonts w:ascii="Arial" w:hAnsi="Arial" w:cs="Arial"/>
        </w:rPr>
        <w:fldChar w:fldCharType="separate"/>
      </w:r>
      <w:r>
        <w:rPr>
          <w:rFonts w:ascii="Arial" w:hAnsi="Arial" w:cs="Arial"/>
          <w:szCs w:val="32"/>
        </w:rPr>
        <w:t>第四章  评标方法及评标标准</w:t>
      </w:r>
      <w:r>
        <w:tab/>
      </w:r>
      <w:r>
        <w:fldChar w:fldCharType="begin"/>
      </w:r>
      <w:r>
        <w:instrText xml:space="preserve"> PAGEREF _Toc3087 \h </w:instrText>
      </w:r>
      <w:r>
        <w:fldChar w:fldCharType="separate"/>
      </w:r>
      <w:r>
        <w:t>34</w:t>
      </w:r>
      <w:r>
        <w:fldChar w:fldCharType="end"/>
      </w:r>
      <w:r>
        <w:rPr>
          <w:rFonts w:ascii="Arial" w:hAnsi="Arial" w:cs="Arial"/>
          <w:color w:val="000000" w:themeColor="text1"/>
          <w14:textFill>
            <w14:solidFill>
              <w14:schemeClr w14:val="tx1"/>
            </w14:solidFill>
          </w14:textFill>
        </w:rPr>
        <w:fldChar w:fldCharType="end"/>
      </w:r>
    </w:p>
    <w:p w14:paraId="27606ECB">
      <w:pPr>
        <w:pStyle w:val="37"/>
        <w:tabs>
          <w:tab w:val="right" w:leader="dot" w:pos="9354"/>
          <w:tab w:val="clear" w:pos="8398"/>
        </w:tabs>
      </w:pPr>
      <w:r>
        <w:rPr>
          <w:rFonts w:ascii="Arial" w:hAnsi="Arial" w:cs="Arial"/>
          <w:color w:val="000000" w:themeColor="text1"/>
          <w14:textFill>
            <w14:solidFill>
              <w14:schemeClr w14:val="tx1"/>
            </w14:solidFill>
          </w14:textFill>
        </w:rPr>
        <w:fldChar w:fldCharType="begin"/>
      </w:r>
      <w:r>
        <w:rPr>
          <w:rFonts w:ascii="Arial" w:hAnsi="Arial" w:cs="Arial"/>
        </w:rPr>
        <w:instrText xml:space="preserve"> HYPERLINK \l _Toc12782 </w:instrText>
      </w:r>
      <w:r>
        <w:rPr>
          <w:rFonts w:ascii="Arial" w:hAnsi="Arial" w:cs="Arial"/>
        </w:rPr>
        <w:fldChar w:fldCharType="separate"/>
      </w:r>
      <w:r>
        <w:rPr>
          <w:rFonts w:ascii="Arial" w:hAnsi="Arial" w:eastAsia="宋体" w:cs="Arial"/>
          <w:szCs w:val="32"/>
        </w:rPr>
        <w:t>第五章  合同主要条款格式</w:t>
      </w:r>
      <w:r>
        <w:tab/>
      </w:r>
      <w:r>
        <w:fldChar w:fldCharType="begin"/>
      </w:r>
      <w:r>
        <w:instrText xml:space="preserve"> PAGEREF _Toc12782 \h </w:instrText>
      </w:r>
      <w:r>
        <w:fldChar w:fldCharType="separate"/>
      </w:r>
      <w:r>
        <w:t>62</w:t>
      </w:r>
      <w:r>
        <w:fldChar w:fldCharType="end"/>
      </w:r>
      <w:r>
        <w:rPr>
          <w:rFonts w:ascii="Arial" w:hAnsi="Arial" w:cs="Arial"/>
          <w:color w:val="000000" w:themeColor="text1"/>
          <w14:textFill>
            <w14:solidFill>
              <w14:schemeClr w14:val="tx1"/>
            </w14:solidFill>
          </w14:textFill>
        </w:rPr>
        <w:fldChar w:fldCharType="end"/>
      </w:r>
    </w:p>
    <w:p w14:paraId="6D7FD67C">
      <w:pPr>
        <w:pStyle w:val="37"/>
        <w:tabs>
          <w:tab w:val="right" w:leader="dot" w:pos="9354"/>
          <w:tab w:val="clear" w:pos="8398"/>
        </w:tabs>
      </w:pPr>
      <w:r>
        <w:rPr>
          <w:rFonts w:ascii="Arial" w:hAnsi="Arial" w:cs="Arial"/>
          <w:color w:val="000000" w:themeColor="text1"/>
          <w14:textFill>
            <w14:solidFill>
              <w14:schemeClr w14:val="tx1"/>
            </w14:solidFill>
          </w14:textFill>
        </w:rPr>
        <w:fldChar w:fldCharType="begin"/>
      </w:r>
      <w:r>
        <w:rPr>
          <w:rFonts w:ascii="Arial" w:hAnsi="Arial" w:cs="Arial"/>
        </w:rPr>
        <w:instrText xml:space="preserve"> HYPERLINK \l _Toc703 </w:instrText>
      </w:r>
      <w:r>
        <w:rPr>
          <w:rFonts w:ascii="Arial" w:hAnsi="Arial" w:cs="Arial"/>
        </w:rPr>
        <w:fldChar w:fldCharType="separate"/>
      </w:r>
      <w:r>
        <w:rPr>
          <w:rFonts w:ascii="Arial" w:hAnsi="Arial" w:cs="Arial"/>
          <w:szCs w:val="32"/>
        </w:rPr>
        <w:t>第六章  投标文件格式</w:t>
      </w:r>
      <w:r>
        <w:tab/>
      </w:r>
      <w:r>
        <w:fldChar w:fldCharType="begin"/>
      </w:r>
      <w:r>
        <w:instrText xml:space="preserve"> PAGEREF _Toc703 \h </w:instrText>
      </w:r>
      <w:r>
        <w:fldChar w:fldCharType="separate"/>
      </w:r>
      <w:r>
        <w:t>70</w:t>
      </w:r>
      <w:r>
        <w:fldChar w:fldCharType="end"/>
      </w:r>
      <w:r>
        <w:rPr>
          <w:rFonts w:ascii="Arial" w:hAnsi="Arial" w:cs="Arial"/>
          <w:color w:val="000000" w:themeColor="text1"/>
          <w14:textFill>
            <w14:solidFill>
              <w14:schemeClr w14:val="tx1"/>
            </w14:solidFill>
          </w14:textFill>
        </w:rPr>
        <w:fldChar w:fldCharType="end"/>
      </w:r>
    </w:p>
    <w:p w14:paraId="22ADAE49">
      <w:pPr>
        <w:pStyle w:val="37"/>
        <w:ind w:firstLine="241"/>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fldChar w:fldCharType="end"/>
      </w:r>
    </w:p>
    <w:p w14:paraId="7633F045">
      <w:pPr>
        <w:spacing w:before="120" w:beforeLines="50" w:line="480" w:lineRule="exact"/>
        <w:rPr>
          <w:rFonts w:ascii="Arial" w:hAnsi="Arial" w:cs="Arial"/>
          <w:color w:val="000000" w:themeColor="text1"/>
          <w:sz w:val="28"/>
          <w:szCs w:val="28"/>
          <w14:textFill>
            <w14:solidFill>
              <w14:schemeClr w14:val="tx1"/>
            </w14:solidFill>
          </w14:textFill>
        </w:rPr>
      </w:pPr>
    </w:p>
    <w:p w14:paraId="496D557C">
      <w:pPr>
        <w:spacing w:before="120" w:beforeLines="50" w:line="480" w:lineRule="exact"/>
        <w:rPr>
          <w:rFonts w:ascii="Arial" w:hAnsi="Arial" w:cs="Arial"/>
          <w:color w:val="000000" w:themeColor="text1"/>
          <w:sz w:val="30"/>
          <w14:textFill>
            <w14:solidFill>
              <w14:schemeClr w14:val="tx1"/>
            </w14:solidFill>
          </w14:textFill>
        </w:rPr>
        <w:sectPr>
          <w:headerReference r:id="rId7" w:type="first"/>
          <w:footerReference r:id="rId8" w:type="first"/>
          <w:pgSz w:w="11906" w:h="16838"/>
          <w:pgMar w:top="1418" w:right="1134" w:bottom="1247" w:left="1418" w:header="851" w:footer="992" w:gutter="0"/>
          <w:pgNumType w:start="0"/>
          <w:cols w:space="720" w:num="1"/>
          <w:titlePg/>
          <w:docGrid w:linePitch="312" w:charSpace="0"/>
        </w:sectPr>
      </w:pPr>
    </w:p>
    <w:p w14:paraId="4EFC0FAA">
      <w:pPr>
        <w:pStyle w:val="30"/>
        <w:snapToGrid w:val="0"/>
        <w:spacing w:before="120" w:after="120" w:line="320" w:lineRule="exact"/>
        <w:jc w:val="center"/>
        <w:outlineLvl w:val="0"/>
        <w:rPr>
          <w:rFonts w:ascii="Arial" w:hAnsi="Arial" w:cs="Arial"/>
          <w:color w:val="000000" w:themeColor="text1"/>
          <w:sz w:val="32"/>
          <w:szCs w:val="32"/>
          <w14:textFill>
            <w14:solidFill>
              <w14:schemeClr w14:val="tx1"/>
            </w14:solidFill>
          </w14:textFill>
        </w:rPr>
      </w:pPr>
      <w:bookmarkStart w:id="5" w:name="_Toc254970630"/>
      <w:bookmarkStart w:id="6" w:name="_Toc254970489"/>
      <w:r>
        <w:rPr>
          <w:rFonts w:ascii="Arial" w:hAnsi="Arial" w:cs="Arial"/>
          <w:color w:val="000000" w:themeColor="text1"/>
          <w:sz w:val="32"/>
          <w:szCs w:val="32"/>
          <w14:textFill>
            <w14:solidFill>
              <w14:schemeClr w14:val="tx1"/>
            </w14:solidFill>
          </w14:textFill>
        </w:rPr>
        <w:tab/>
      </w:r>
      <w:bookmarkStart w:id="7" w:name="_Toc10173"/>
      <w:r>
        <w:rPr>
          <w:rFonts w:ascii="Arial" w:hAnsi="Arial" w:cs="Arial"/>
          <w:color w:val="000000" w:themeColor="text1"/>
          <w:sz w:val="32"/>
          <w:szCs w:val="32"/>
          <w14:textFill>
            <w14:solidFill>
              <w14:schemeClr w14:val="tx1"/>
            </w14:solidFill>
          </w14:textFill>
        </w:rPr>
        <w:t>第一章  招标公告</w:t>
      </w:r>
      <w:bookmarkEnd w:id="7"/>
    </w:p>
    <w:p w14:paraId="384CAC38">
      <w:pPr>
        <w:spacing w:line="400" w:lineRule="exact"/>
        <w:jc w:val="center"/>
        <w:rPr>
          <w:rFonts w:hint="eastAsia" w:ascii="Arial" w:hAnsi="Arial" w:eastAsia="宋体" w:cs="Arial"/>
          <w:color w:val="000000" w:themeColor="text1"/>
          <w:kern w:val="0"/>
          <w:sz w:val="24"/>
          <w:lang w:eastAsia="zh-CN"/>
          <w14:textFill>
            <w14:solidFill>
              <w14:schemeClr w14:val="tx1"/>
            </w14:solidFill>
          </w14:textFill>
        </w:rPr>
      </w:pPr>
      <w:r>
        <w:rPr>
          <w:rFonts w:ascii="Arial" w:hAnsi="Arial" w:cs="Arial"/>
          <w:color w:val="000000" w:themeColor="text1"/>
          <w:kern w:val="0"/>
          <w:sz w:val="24"/>
          <w14:textFill>
            <w14:solidFill>
              <w14:schemeClr w14:val="tx1"/>
            </w14:solidFill>
          </w14:textFill>
        </w:rPr>
        <w:t>广西机电设备招标有限公司关于</w:t>
      </w:r>
      <w:r>
        <w:rPr>
          <w:rFonts w:hint="eastAsia" w:ascii="Arial" w:hAnsi="Arial" w:cs="Arial"/>
          <w:color w:val="000000" w:themeColor="text1"/>
          <w:kern w:val="0"/>
          <w:sz w:val="24"/>
          <w:lang w:eastAsia="zh-CN"/>
          <w14:textFill>
            <w14:solidFill>
              <w14:schemeClr w14:val="tx1"/>
            </w14:solidFill>
          </w14:textFill>
        </w:rPr>
        <w:t>南溪山医院医疗设备一批项目（四）（眼科OCT系统、体外生命支持系统（ECMO））</w:t>
      </w:r>
    </w:p>
    <w:p w14:paraId="0C9CA033">
      <w:pPr>
        <w:spacing w:line="400" w:lineRule="exact"/>
        <w:jc w:val="center"/>
        <w:rPr>
          <w:rFonts w:ascii="Arial" w:hAnsi="Arial" w:cs="Arial"/>
          <w:color w:val="000000" w:themeColor="text1"/>
          <w:kern w:val="0"/>
          <w:szCs w:val="21"/>
          <w14:textFill>
            <w14:solidFill>
              <w14:schemeClr w14:val="tx1"/>
            </w14:solidFill>
          </w14:textFill>
        </w:rPr>
      </w:pPr>
      <w:r>
        <w:rPr>
          <w:rFonts w:ascii="Arial" w:hAnsi="Arial" w:cs="Arial"/>
          <w:color w:val="000000" w:themeColor="text1"/>
          <w:sz w:val="24"/>
          <w14:textFill>
            <w14:solidFill>
              <w14:schemeClr w14:val="tx1"/>
            </w14:solidFill>
          </w14:textFill>
        </w:rPr>
        <w:t>(</w:t>
      </w:r>
      <w:r>
        <w:rPr>
          <w:rFonts w:hint="eastAsia" w:ascii="Arial" w:hAnsi="Arial" w:cs="Arial"/>
          <w:color w:val="000000" w:themeColor="text1"/>
          <w:sz w:val="24"/>
          <w:lang w:eastAsia="zh-CN"/>
          <w14:textFill>
            <w14:solidFill>
              <w14:schemeClr w14:val="tx1"/>
            </w14:solidFill>
          </w14:textFill>
        </w:rPr>
        <w:t>GXZC2026-G1-002968-JDZB</w:t>
      </w:r>
      <w:r>
        <w:rPr>
          <w:rFonts w:ascii="Arial" w:hAnsi="Arial" w:cs="Arial"/>
          <w:color w:val="000000" w:themeColor="text1"/>
          <w:sz w:val="24"/>
          <w14:textFill>
            <w14:solidFill>
              <w14:schemeClr w14:val="tx1"/>
            </w14:solidFill>
          </w14:textFill>
        </w:rPr>
        <w:t>)</w:t>
      </w:r>
      <w:r>
        <w:rPr>
          <w:rFonts w:ascii="Arial" w:hAnsi="Arial" w:cs="Arial"/>
          <w:color w:val="000000" w:themeColor="text1"/>
          <w:kern w:val="0"/>
          <w:sz w:val="24"/>
          <w14:textFill>
            <w14:solidFill>
              <w14:schemeClr w14:val="tx1"/>
            </w14:solidFill>
          </w14:textFill>
        </w:rPr>
        <w:t>公开招标公告</w:t>
      </w:r>
    </w:p>
    <w:tbl>
      <w:tblPr>
        <w:tblStyle w:val="54"/>
        <w:tblpPr w:leftFromText="180" w:rightFromText="180" w:vertAnchor="text" w:horzAnchor="margin" w:tblpXSpec="center" w:tblpY="138"/>
        <w:tblW w:w="8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5"/>
      </w:tblGrid>
      <w:tr w14:paraId="4A21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8335" w:type="dxa"/>
          </w:tcPr>
          <w:p w14:paraId="03AB86E3">
            <w:pPr>
              <w:spacing w:line="312"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项目概况</w:t>
            </w:r>
          </w:p>
          <w:p w14:paraId="79A8713C">
            <w:pPr>
              <w:spacing w:line="312" w:lineRule="auto"/>
              <w:ind w:firstLine="420" w:firstLineChars="200"/>
              <w:jc w:val="left"/>
              <w:rPr>
                <w:rFonts w:ascii="Arial" w:hAnsi="Arial" w:cs="Arial"/>
                <w:b/>
                <w:bCs/>
                <w:color w:val="000000" w:themeColor="text1"/>
                <w:kern w:val="0"/>
                <w:szCs w:val="21"/>
                <w14:textFill>
                  <w14:solidFill>
                    <w14:schemeClr w14:val="tx1"/>
                  </w14:solidFill>
                </w14:textFill>
              </w:rPr>
            </w:pPr>
            <w:r>
              <w:rPr>
                <w:rFonts w:hint="eastAsia" w:ascii="Arial" w:hAnsi="Arial" w:cs="Arial"/>
                <w:color w:val="000000" w:themeColor="text1"/>
                <w:szCs w:val="21"/>
                <w:lang w:eastAsia="zh-CN"/>
                <w14:textFill>
                  <w14:solidFill>
                    <w14:schemeClr w14:val="tx1"/>
                  </w14:solidFill>
                </w14:textFill>
              </w:rPr>
              <w:t>南溪山医院医疗设备一批项目（四）（眼科OCT系统、体外生命支持系统（ECMO））</w:t>
            </w:r>
            <w:r>
              <w:rPr>
                <w:rFonts w:ascii="Arial" w:hAnsi="Arial" w:cs="Arial"/>
                <w:color w:val="000000" w:themeColor="text1"/>
                <w:szCs w:val="21"/>
                <w14:textFill>
                  <w14:solidFill>
                    <w14:schemeClr w14:val="tx1"/>
                  </w14:solidFill>
                </w14:textFill>
              </w:rPr>
              <w:t>招标项目的潜在供应商应登录广西政府采购云平台（https://www.gcy.zfcg.gxzf.gov.cn/）在线申请获取招标文件，并于202</w:t>
            </w:r>
            <w:r>
              <w:rPr>
                <w:rFonts w:hint="eastAsia" w:ascii="Arial" w:hAnsi="Arial" w:cs="Arial"/>
                <w:color w:val="000000" w:themeColor="text1"/>
                <w:szCs w:val="21"/>
                <w14:textFill>
                  <w14:solidFill>
                    <w14:schemeClr w14:val="tx1"/>
                  </w14:solidFill>
                </w14:textFill>
              </w:rPr>
              <w:t>6</w:t>
            </w:r>
            <w:r>
              <w:rPr>
                <w:rFonts w:ascii="Arial" w:hAnsi="Arial" w:cs="Arial"/>
                <w:color w:val="000000" w:themeColor="text1"/>
                <w:szCs w:val="21"/>
                <w14:textFill>
                  <w14:solidFill>
                    <w14:schemeClr w14:val="tx1"/>
                  </w14:solidFill>
                </w14:textFill>
              </w:rPr>
              <w:t>年</w:t>
            </w:r>
            <w:r>
              <w:rPr>
                <w:rFonts w:hint="eastAsia" w:ascii="Arial" w:hAnsi="Arial" w:cs="Arial"/>
                <w:color w:val="000000" w:themeColor="text1"/>
                <w:szCs w:val="21"/>
                <w:lang w:val="en-US" w:eastAsia="zh-CN"/>
                <w14:textFill>
                  <w14:solidFill>
                    <w14:schemeClr w14:val="tx1"/>
                  </w14:solidFill>
                </w14:textFill>
              </w:rPr>
              <w:t>9</w:t>
            </w:r>
            <w:r>
              <w:rPr>
                <w:rFonts w:ascii="Arial" w:hAnsi="Arial" w:cs="Arial"/>
                <w:color w:val="000000" w:themeColor="text1"/>
                <w:szCs w:val="21"/>
                <w14:textFill>
                  <w14:solidFill>
                    <w14:schemeClr w14:val="tx1"/>
                  </w14:solidFill>
                </w14:textFill>
              </w:rPr>
              <w:t>月</w:t>
            </w:r>
            <w:r>
              <w:rPr>
                <w:rFonts w:hint="eastAsia" w:ascii="Arial" w:hAnsi="Arial" w:cs="Arial"/>
                <w:color w:val="000000" w:themeColor="text1"/>
                <w:szCs w:val="21"/>
                <w:lang w:val="en-US" w:eastAsia="zh-CN"/>
                <w14:textFill>
                  <w14:solidFill>
                    <w14:schemeClr w14:val="tx1"/>
                  </w14:solidFill>
                </w14:textFill>
              </w:rPr>
              <w:t>30</w:t>
            </w:r>
            <w:r>
              <w:rPr>
                <w:rFonts w:ascii="Arial" w:hAnsi="Arial" w:cs="Arial"/>
                <w:color w:val="000000" w:themeColor="text1"/>
                <w:szCs w:val="21"/>
                <w14:textFill>
                  <w14:solidFill>
                    <w14:schemeClr w14:val="tx1"/>
                  </w14:solidFill>
                </w14:textFill>
              </w:rPr>
              <w:t>日9点30分（北京时间）前递交投标文件。</w:t>
            </w:r>
          </w:p>
        </w:tc>
      </w:tr>
    </w:tbl>
    <w:p w14:paraId="7E02B034">
      <w:pPr>
        <w:spacing w:line="312" w:lineRule="auto"/>
        <w:ind w:firstLine="442" w:firstLineChars="200"/>
        <w:jc w:val="left"/>
        <w:rPr>
          <w:rFonts w:ascii="Arial" w:hAnsi="Arial" w:cs="Arial"/>
          <w:b/>
          <w:bCs/>
          <w:color w:val="000000" w:themeColor="text1"/>
          <w:kern w:val="0"/>
          <w:sz w:val="22"/>
          <w:szCs w:val="22"/>
          <w14:textFill>
            <w14:solidFill>
              <w14:schemeClr w14:val="tx1"/>
            </w14:solidFill>
          </w14:textFill>
        </w:rPr>
      </w:pPr>
      <w:r>
        <w:rPr>
          <w:rFonts w:ascii="Arial" w:hAnsi="Arial" w:cs="Arial"/>
          <w:b/>
          <w:bCs/>
          <w:color w:val="000000" w:themeColor="text1"/>
          <w:kern w:val="0"/>
          <w:sz w:val="22"/>
          <w:szCs w:val="22"/>
          <w14:textFill>
            <w14:solidFill>
              <w14:schemeClr w14:val="tx1"/>
            </w14:solidFill>
          </w14:textFill>
        </w:rPr>
        <w:t>一、项目基本情况</w:t>
      </w:r>
    </w:p>
    <w:p w14:paraId="331CCE12">
      <w:pPr>
        <w:spacing w:line="312" w:lineRule="auto"/>
        <w:ind w:firstLine="420" w:firstLineChars="200"/>
        <w:jc w:val="left"/>
        <w:rPr>
          <w:rFonts w:hint="eastAsia" w:ascii="Arial" w:hAnsi="Arial" w:eastAsia="宋体" w:cs="Arial"/>
          <w:color w:val="000000" w:themeColor="text1"/>
          <w:kern w:val="0"/>
          <w:szCs w:val="21"/>
          <w:lang w:eastAsia="zh-CN"/>
          <w14:textFill>
            <w14:solidFill>
              <w14:schemeClr w14:val="tx1"/>
            </w14:solidFill>
          </w14:textFill>
        </w:rPr>
      </w:pPr>
      <w:r>
        <w:rPr>
          <w:rFonts w:ascii="Arial" w:hAnsi="Arial" w:cs="Arial"/>
          <w:color w:val="000000" w:themeColor="text1"/>
          <w:kern w:val="0"/>
          <w:szCs w:val="21"/>
          <w14:textFill>
            <w14:solidFill>
              <w14:schemeClr w14:val="tx1"/>
            </w14:solidFill>
          </w14:textFill>
        </w:rPr>
        <w:t>项目编号：</w:t>
      </w:r>
      <w:r>
        <w:rPr>
          <w:rFonts w:hint="eastAsia" w:ascii="Arial" w:hAnsi="Arial" w:cs="Arial"/>
          <w:color w:val="000000" w:themeColor="text1"/>
          <w:szCs w:val="21"/>
          <w:lang w:eastAsia="zh-CN"/>
          <w14:textFill>
            <w14:solidFill>
              <w14:schemeClr w14:val="tx1"/>
            </w14:solidFill>
          </w14:textFill>
        </w:rPr>
        <w:t>GXZC2026-G1-002968-JDZB</w:t>
      </w:r>
    </w:p>
    <w:p w14:paraId="53F68E92">
      <w:pPr>
        <w:spacing w:line="312" w:lineRule="auto"/>
        <w:ind w:firstLine="420" w:firstLineChars="200"/>
        <w:jc w:val="left"/>
        <w:rPr>
          <w:rFonts w:hint="eastAsia" w:ascii="Arial" w:hAnsi="Arial" w:eastAsia="宋体" w:cs="Arial"/>
          <w:color w:val="000000" w:themeColor="text1"/>
          <w:kern w:val="0"/>
          <w:szCs w:val="21"/>
          <w:lang w:eastAsia="zh-CN"/>
          <w14:textFill>
            <w14:solidFill>
              <w14:schemeClr w14:val="tx1"/>
            </w14:solidFill>
          </w14:textFill>
        </w:rPr>
      </w:pPr>
      <w:r>
        <w:rPr>
          <w:rFonts w:ascii="Arial" w:hAnsi="Arial" w:cs="Arial"/>
          <w:color w:val="000000" w:themeColor="text1"/>
          <w:kern w:val="0"/>
          <w:szCs w:val="21"/>
          <w14:textFill>
            <w14:solidFill>
              <w14:schemeClr w14:val="tx1"/>
            </w14:solidFill>
          </w14:textFill>
        </w:rPr>
        <w:t>项目名称：</w:t>
      </w:r>
      <w:r>
        <w:rPr>
          <w:rFonts w:hint="eastAsia" w:ascii="Arial" w:hAnsi="Arial" w:cs="Arial"/>
          <w:color w:val="000000" w:themeColor="text1"/>
          <w:kern w:val="0"/>
          <w:szCs w:val="21"/>
          <w:lang w:eastAsia="zh-CN"/>
          <w14:textFill>
            <w14:solidFill>
              <w14:schemeClr w14:val="tx1"/>
            </w14:solidFill>
          </w14:textFill>
        </w:rPr>
        <w:t>南溪山医院医疗设备一批项目（四）（眼科OCT系统、体外生命支持系统（ECMO））</w:t>
      </w:r>
    </w:p>
    <w:p w14:paraId="73229EE3">
      <w:pPr>
        <w:spacing w:line="312" w:lineRule="auto"/>
        <w:ind w:firstLine="420" w:firstLineChars="200"/>
        <w:jc w:val="left"/>
        <w:rPr>
          <w:rFonts w:hint="default" w:ascii="Arial" w:hAnsi="Arial" w:eastAsia="宋体" w:cs="Arial"/>
          <w:color w:val="000000" w:themeColor="text1"/>
          <w:kern w:val="0"/>
          <w:szCs w:val="21"/>
          <w:lang w:val="en-US" w:eastAsia="zh-CN"/>
          <w14:textFill>
            <w14:solidFill>
              <w14:schemeClr w14:val="tx1"/>
            </w14:solidFill>
          </w14:textFill>
        </w:rPr>
      </w:pPr>
      <w:r>
        <w:rPr>
          <w:rFonts w:ascii="Arial" w:hAnsi="Arial" w:cs="Arial"/>
          <w:color w:val="000000" w:themeColor="text1"/>
          <w:kern w:val="0"/>
          <w:szCs w:val="21"/>
          <w14:textFill>
            <w14:solidFill>
              <w14:schemeClr w14:val="tx1"/>
            </w14:solidFill>
          </w14:textFill>
        </w:rPr>
        <w:t>预算总金额（元）：</w:t>
      </w:r>
      <w:r>
        <w:rPr>
          <w:rFonts w:hint="eastAsia" w:ascii="Arial" w:hAnsi="Arial" w:cs="Arial"/>
          <w:color w:val="000000" w:themeColor="text1"/>
          <w:kern w:val="0"/>
          <w:szCs w:val="21"/>
          <w:lang w:val="en-US" w:eastAsia="zh-CN"/>
          <w14:textFill>
            <w14:solidFill>
              <w14:schemeClr w14:val="tx1"/>
            </w14:solidFill>
          </w14:textFill>
        </w:rPr>
        <w:t>4456000</w:t>
      </w:r>
    </w:p>
    <w:p w14:paraId="11119FC6">
      <w:pPr>
        <w:tabs>
          <w:tab w:val="left" w:pos="3150"/>
        </w:tabs>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采购需求：</w:t>
      </w:r>
    </w:p>
    <w:p w14:paraId="7F16595B">
      <w:pPr>
        <w:tabs>
          <w:tab w:val="left" w:pos="3150"/>
        </w:tabs>
        <w:spacing w:line="312" w:lineRule="auto"/>
        <w:ind w:firstLine="420" w:firstLineChars="200"/>
        <w:jc w:val="left"/>
        <w:rPr>
          <w:rFonts w:hint="eastAsia"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标项</w:t>
      </w:r>
      <w:r>
        <w:rPr>
          <w:rFonts w:hint="eastAsia" w:ascii="Arial" w:hAnsi="Arial" w:cs="Arial"/>
          <w:color w:val="000000" w:themeColor="text1"/>
          <w:kern w:val="0"/>
          <w:szCs w:val="21"/>
          <w:lang w:val="en-US" w:eastAsia="zh-CN"/>
          <w14:textFill>
            <w14:solidFill>
              <w14:schemeClr w14:val="tx1"/>
            </w14:solidFill>
          </w14:textFill>
        </w:rPr>
        <w:t>一</w:t>
      </w:r>
      <w:r>
        <w:rPr>
          <w:rFonts w:ascii="Arial" w:hAnsi="Arial" w:cs="Arial"/>
          <w:color w:val="000000" w:themeColor="text1"/>
          <w:kern w:val="0"/>
          <w:szCs w:val="21"/>
          <w14:textFill>
            <w14:solidFill>
              <w14:schemeClr w14:val="tx1"/>
            </w14:solidFill>
          </w14:textFill>
        </w:rPr>
        <w:t>：</w:t>
      </w:r>
      <w:r>
        <w:rPr>
          <w:rFonts w:hint="eastAsia" w:ascii="Arial" w:hAnsi="Arial" w:cs="Arial"/>
          <w:color w:val="000000" w:themeColor="text1"/>
          <w:kern w:val="0"/>
          <w:szCs w:val="21"/>
          <w14:textFill>
            <w14:solidFill>
              <w14:schemeClr w14:val="tx1"/>
            </w14:solidFill>
          </w14:textFill>
        </w:rPr>
        <w:t>眼科OCT系统</w:t>
      </w:r>
    </w:p>
    <w:p w14:paraId="4EB25812">
      <w:pPr>
        <w:tabs>
          <w:tab w:val="left" w:pos="3150"/>
        </w:tabs>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数量：1</w:t>
      </w:r>
    </w:p>
    <w:p w14:paraId="2E4D3F2B">
      <w:pPr>
        <w:tabs>
          <w:tab w:val="left" w:pos="3150"/>
        </w:tabs>
        <w:spacing w:line="312" w:lineRule="auto"/>
        <w:ind w:firstLine="420" w:firstLineChars="200"/>
        <w:jc w:val="left"/>
        <w:rPr>
          <w:rFonts w:hint="default" w:ascii="Arial" w:hAnsi="Arial" w:eastAsia="宋体" w:cs="Arial"/>
          <w:color w:val="000000" w:themeColor="text1"/>
          <w:kern w:val="0"/>
          <w:szCs w:val="21"/>
          <w:lang w:val="en-US" w:eastAsia="zh-CN"/>
          <w14:textFill>
            <w14:solidFill>
              <w14:schemeClr w14:val="tx1"/>
            </w14:solidFill>
          </w14:textFill>
        </w:rPr>
      </w:pPr>
      <w:r>
        <w:rPr>
          <w:rFonts w:ascii="Arial" w:hAnsi="Arial" w:cs="Arial"/>
          <w:color w:val="000000" w:themeColor="text1"/>
          <w:kern w:val="0"/>
          <w:szCs w:val="21"/>
          <w14:textFill>
            <w14:solidFill>
              <w14:schemeClr w14:val="tx1"/>
            </w14:solidFill>
          </w14:textFill>
        </w:rPr>
        <w:t>预算金额（元）：</w:t>
      </w:r>
      <w:r>
        <w:rPr>
          <w:rFonts w:hint="eastAsia" w:ascii="Arial" w:hAnsi="Arial" w:cs="Arial"/>
          <w:color w:val="000000" w:themeColor="text1"/>
          <w:kern w:val="0"/>
          <w:szCs w:val="21"/>
          <w:lang w:val="en-US" w:eastAsia="zh-CN"/>
          <w14:textFill>
            <w14:solidFill>
              <w14:schemeClr w14:val="tx1"/>
            </w14:solidFill>
          </w14:textFill>
        </w:rPr>
        <w:t>2705000</w:t>
      </w:r>
    </w:p>
    <w:p w14:paraId="067C5D4D">
      <w:pPr>
        <w:tabs>
          <w:tab w:val="left" w:pos="3150"/>
        </w:tabs>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简要规格描述或项目基本概况介绍、用途：</w:t>
      </w:r>
      <w:r>
        <w:rPr>
          <w:rFonts w:hint="eastAsia" w:ascii="Arial" w:hAnsi="Arial" w:cs="Arial"/>
          <w:color w:val="000000" w:themeColor="text1"/>
          <w:kern w:val="0"/>
          <w:szCs w:val="21"/>
          <w14:textFill>
            <w14:solidFill>
              <w14:schemeClr w14:val="tx1"/>
            </w14:solidFill>
          </w14:textFill>
        </w:rPr>
        <w:t>眼科OCT系统</w:t>
      </w:r>
      <w:r>
        <w:rPr>
          <w:rFonts w:hint="eastAsia" w:ascii="Arial" w:hAnsi="Arial" w:cs="Arial"/>
          <w:color w:val="000000" w:themeColor="text1"/>
          <w:szCs w:val="21"/>
          <w:lang w:val="en-US" w:eastAsia="zh-CN"/>
          <w14:textFill>
            <w14:solidFill>
              <w14:schemeClr w14:val="tx1"/>
            </w14:solidFill>
          </w14:textFill>
        </w:rPr>
        <w:t>1套</w:t>
      </w:r>
      <w:r>
        <w:rPr>
          <w:rFonts w:ascii="Arial" w:hAnsi="Arial" w:cs="Arial"/>
          <w:color w:val="000000" w:themeColor="text1"/>
          <w:kern w:val="0"/>
          <w:szCs w:val="21"/>
          <w14:textFill>
            <w14:solidFill>
              <w14:schemeClr w14:val="tx1"/>
            </w14:solidFill>
          </w14:textFill>
        </w:rPr>
        <w:t>。如需</w:t>
      </w:r>
      <w:r>
        <w:rPr>
          <w:rFonts w:ascii="Arial" w:hAnsi="Arial" w:cs="Arial"/>
          <w:color w:val="000000" w:themeColor="text1"/>
          <w:szCs w:val="21"/>
          <w14:textFill>
            <w14:solidFill>
              <w14:schemeClr w14:val="tx1"/>
            </w14:solidFill>
          </w14:textFill>
        </w:rPr>
        <w:t>进一步</w:t>
      </w:r>
      <w:r>
        <w:rPr>
          <w:rFonts w:ascii="Arial" w:hAnsi="Arial" w:cs="Arial"/>
          <w:color w:val="000000" w:themeColor="text1"/>
          <w:kern w:val="0"/>
          <w:szCs w:val="21"/>
          <w14:textFill>
            <w14:solidFill>
              <w14:schemeClr w14:val="tx1"/>
            </w14:solidFill>
          </w14:textFill>
        </w:rPr>
        <w:t>了解详细内容，详见招标文件。</w:t>
      </w:r>
    </w:p>
    <w:p w14:paraId="26A601A8">
      <w:pPr>
        <w:spacing w:line="312" w:lineRule="auto"/>
        <w:ind w:firstLine="420" w:firstLineChars="200"/>
        <w:jc w:val="left"/>
        <w:rPr>
          <w:rFonts w:hint="default" w:ascii="Arial" w:hAnsi="Arial" w:eastAsia="宋体" w:cs="Arial"/>
          <w:color w:val="000000" w:themeColor="text1"/>
          <w:kern w:val="0"/>
          <w:szCs w:val="21"/>
          <w:lang w:val="en-US" w:eastAsia="zh-CN"/>
          <w14:textFill>
            <w14:solidFill>
              <w14:schemeClr w14:val="tx1"/>
            </w14:solidFill>
          </w14:textFill>
        </w:rPr>
      </w:pPr>
      <w:r>
        <w:rPr>
          <w:rFonts w:ascii="Arial" w:hAnsi="Arial" w:cs="Arial"/>
          <w:color w:val="000000" w:themeColor="text1"/>
          <w:kern w:val="0"/>
          <w:szCs w:val="21"/>
          <w14:textFill>
            <w14:solidFill>
              <w14:schemeClr w14:val="tx1"/>
            </w14:solidFill>
          </w14:textFill>
        </w:rPr>
        <w:t>最高限价（元）：</w:t>
      </w:r>
      <w:r>
        <w:rPr>
          <w:rFonts w:hint="eastAsia" w:ascii="Arial" w:hAnsi="Arial" w:cs="Arial"/>
          <w:color w:val="000000" w:themeColor="text1"/>
          <w:kern w:val="0"/>
          <w:szCs w:val="21"/>
          <w:lang w:val="en-US" w:eastAsia="zh-CN"/>
          <w14:textFill>
            <w14:solidFill>
              <w14:schemeClr w14:val="tx1"/>
            </w14:solidFill>
          </w14:textFill>
        </w:rPr>
        <w:t>2580000</w:t>
      </w:r>
    </w:p>
    <w:p w14:paraId="1496EB8B">
      <w:pPr>
        <w:spacing w:line="360" w:lineRule="auto"/>
        <w:ind w:firstLine="420" w:firstLineChars="200"/>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合同履行期限：</w:t>
      </w:r>
      <w:r>
        <w:rPr>
          <w:rFonts w:hint="eastAsia" w:cs="宋体"/>
          <w:color w:val="000000"/>
          <w:szCs w:val="21"/>
          <w:highlight w:val="none"/>
          <w:lang w:eastAsia="zh-CN"/>
        </w:rPr>
        <w:t>采购合同签订后30个日历日内交货并完成安装调试</w:t>
      </w:r>
      <w:r>
        <w:rPr>
          <w:rFonts w:ascii="Arial" w:hAnsi="Arial" w:cs="Arial"/>
          <w:color w:val="000000" w:themeColor="text1"/>
          <w:kern w:val="0"/>
          <w:szCs w:val="21"/>
          <w14:textFill>
            <w14:solidFill>
              <w14:schemeClr w14:val="tx1"/>
            </w14:solidFill>
          </w14:textFill>
        </w:rPr>
        <w:t>。</w:t>
      </w:r>
    </w:p>
    <w:p w14:paraId="09E2FC1B">
      <w:pPr>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本标项（否）接受联合体投标</w:t>
      </w:r>
    </w:p>
    <w:p w14:paraId="7379E9E9">
      <w:pPr>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备注：</w:t>
      </w:r>
    </w:p>
    <w:p w14:paraId="7F52513D">
      <w:pPr>
        <w:tabs>
          <w:tab w:val="left" w:pos="3150"/>
        </w:tabs>
        <w:spacing w:line="312" w:lineRule="auto"/>
        <w:ind w:firstLine="420" w:firstLineChars="200"/>
        <w:jc w:val="left"/>
        <w:rPr>
          <w:rFonts w:ascii="Arial" w:hAnsi="Arial" w:cs="Arial"/>
          <w:color w:val="000000" w:themeColor="text1"/>
          <w:kern w:val="0"/>
          <w:szCs w:val="21"/>
          <w14:textFill>
            <w14:solidFill>
              <w14:schemeClr w14:val="tx1"/>
            </w14:solidFill>
          </w14:textFill>
        </w:rPr>
      </w:pPr>
    </w:p>
    <w:p w14:paraId="0346FE77">
      <w:pPr>
        <w:tabs>
          <w:tab w:val="left" w:pos="3150"/>
        </w:tabs>
        <w:spacing w:line="312" w:lineRule="auto"/>
        <w:ind w:firstLine="420" w:firstLineChars="200"/>
        <w:jc w:val="left"/>
        <w:rPr>
          <w:rFonts w:hint="eastAsia"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标项</w:t>
      </w:r>
      <w:r>
        <w:rPr>
          <w:rFonts w:hint="eastAsia" w:ascii="Arial" w:hAnsi="Arial" w:cs="Arial"/>
          <w:color w:val="000000" w:themeColor="text1"/>
          <w:kern w:val="0"/>
          <w:szCs w:val="21"/>
          <w:lang w:val="en-US" w:eastAsia="zh-CN"/>
          <w14:textFill>
            <w14:solidFill>
              <w14:schemeClr w14:val="tx1"/>
            </w14:solidFill>
          </w14:textFill>
        </w:rPr>
        <w:t>二</w:t>
      </w:r>
      <w:r>
        <w:rPr>
          <w:rFonts w:ascii="Arial" w:hAnsi="Arial" w:eastAsia="宋体" w:cs="Arial"/>
          <w:color w:val="000000" w:themeColor="text1"/>
          <w:kern w:val="0"/>
          <w:szCs w:val="21"/>
          <w14:textFill>
            <w14:solidFill>
              <w14:schemeClr w14:val="tx1"/>
            </w14:solidFill>
          </w14:textFill>
        </w:rPr>
        <w:t>：</w:t>
      </w:r>
      <w:r>
        <w:rPr>
          <w:rFonts w:hint="eastAsia" w:ascii="Arial" w:hAnsi="Arial" w:cs="Arial"/>
          <w:color w:val="000000" w:themeColor="text1"/>
          <w:kern w:val="0"/>
          <w:szCs w:val="21"/>
          <w14:textFill>
            <w14:solidFill>
              <w14:schemeClr w14:val="tx1"/>
            </w14:solidFill>
          </w14:textFill>
        </w:rPr>
        <w:t>体外生命支持系统（ECMO）</w:t>
      </w:r>
    </w:p>
    <w:p w14:paraId="2DE44F1D">
      <w:pPr>
        <w:tabs>
          <w:tab w:val="left" w:pos="3150"/>
        </w:tabs>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数量：1</w:t>
      </w:r>
    </w:p>
    <w:p w14:paraId="4229ADAD">
      <w:pPr>
        <w:tabs>
          <w:tab w:val="left" w:pos="3150"/>
        </w:tabs>
        <w:spacing w:line="312" w:lineRule="auto"/>
        <w:ind w:firstLine="420" w:firstLineChars="200"/>
        <w:jc w:val="left"/>
        <w:rPr>
          <w:rFonts w:hint="default" w:ascii="Arial" w:hAnsi="Arial" w:eastAsia="宋体" w:cs="Arial"/>
          <w:color w:val="000000" w:themeColor="text1"/>
          <w:kern w:val="0"/>
          <w:szCs w:val="21"/>
          <w:lang w:val="en-US" w:eastAsia="zh-CN"/>
          <w14:textFill>
            <w14:solidFill>
              <w14:schemeClr w14:val="tx1"/>
            </w14:solidFill>
          </w14:textFill>
        </w:rPr>
      </w:pPr>
      <w:r>
        <w:rPr>
          <w:rFonts w:ascii="Arial" w:hAnsi="Arial" w:cs="Arial"/>
          <w:color w:val="000000" w:themeColor="text1"/>
          <w:kern w:val="0"/>
          <w:szCs w:val="21"/>
          <w14:textFill>
            <w14:solidFill>
              <w14:schemeClr w14:val="tx1"/>
            </w14:solidFill>
          </w14:textFill>
        </w:rPr>
        <w:t>预算金额（元）：</w:t>
      </w:r>
      <w:r>
        <w:rPr>
          <w:rFonts w:hint="eastAsia" w:ascii="Arial" w:hAnsi="Arial" w:cs="Arial"/>
          <w:color w:val="000000" w:themeColor="text1"/>
          <w:kern w:val="0"/>
          <w:szCs w:val="21"/>
          <w:lang w:val="en-US" w:eastAsia="zh-CN"/>
          <w14:textFill>
            <w14:solidFill>
              <w14:schemeClr w14:val="tx1"/>
            </w14:solidFill>
          </w14:textFill>
        </w:rPr>
        <w:t>1751000</w:t>
      </w:r>
    </w:p>
    <w:p w14:paraId="02BE7176">
      <w:pPr>
        <w:tabs>
          <w:tab w:val="left" w:pos="3150"/>
        </w:tabs>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简要规格描述或项目基本概况介绍、用途：</w:t>
      </w:r>
      <w:r>
        <w:rPr>
          <w:rFonts w:hint="eastAsia" w:ascii="Arial" w:hAnsi="Arial" w:cs="Arial"/>
          <w:color w:val="000000" w:themeColor="text1"/>
          <w:kern w:val="0"/>
          <w:szCs w:val="21"/>
          <w14:textFill>
            <w14:solidFill>
              <w14:schemeClr w14:val="tx1"/>
            </w14:solidFill>
          </w14:textFill>
        </w:rPr>
        <w:t>体外生命支持系统（ECMO）</w:t>
      </w:r>
      <w:r>
        <w:rPr>
          <w:rFonts w:hint="eastAsia" w:ascii="Arial" w:hAnsi="Arial" w:cs="Arial"/>
          <w:color w:val="000000" w:themeColor="text1"/>
          <w:szCs w:val="21"/>
          <w:lang w:val="en-US" w:eastAsia="zh-CN"/>
          <w14:textFill>
            <w14:solidFill>
              <w14:schemeClr w14:val="tx1"/>
            </w14:solidFill>
          </w14:textFill>
        </w:rPr>
        <w:t>1套</w:t>
      </w:r>
      <w:r>
        <w:rPr>
          <w:rFonts w:ascii="Arial" w:hAnsi="Arial" w:cs="Arial"/>
          <w:color w:val="000000" w:themeColor="text1"/>
          <w:kern w:val="0"/>
          <w:szCs w:val="21"/>
          <w14:textFill>
            <w14:solidFill>
              <w14:schemeClr w14:val="tx1"/>
            </w14:solidFill>
          </w14:textFill>
        </w:rPr>
        <w:t>。如需</w:t>
      </w:r>
      <w:r>
        <w:rPr>
          <w:rFonts w:ascii="Arial" w:hAnsi="Arial" w:cs="Arial"/>
          <w:color w:val="000000" w:themeColor="text1"/>
          <w:szCs w:val="21"/>
          <w14:textFill>
            <w14:solidFill>
              <w14:schemeClr w14:val="tx1"/>
            </w14:solidFill>
          </w14:textFill>
        </w:rPr>
        <w:t>进一步</w:t>
      </w:r>
      <w:r>
        <w:rPr>
          <w:rFonts w:ascii="Arial" w:hAnsi="Arial" w:cs="Arial"/>
          <w:color w:val="000000" w:themeColor="text1"/>
          <w:kern w:val="0"/>
          <w:szCs w:val="21"/>
          <w14:textFill>
            <w14:solidFill>
              <w14:schemeClr w14:val="tx1"/>
            </w14:solidFill>
          </w14:textFill>
        </w:rPr>
        <w:t>了解详细内容，详见招标文件。</w:t>
      </w:r>
    </w:p>
    <w:p w14:paraId="4F4DC58B">
      <w:pPr>
        <w:spacing w:line="312" w:lineRule="auto"/>
        <w:ind w:firstLine="420" w:firstLineChars="200"/>
        <w:jc w:val="left"/>
        <w:rPr>
          <w:rFonts w:hint="default" w:ascii="Arial" w:hAnsi="Arial" w:eastAsia="宋体" w:cs="Arial"/>
          <w:color w:val="000000" w:themeColor="text1"/>
          <w:kern w:val="0"/>
          <w:szCs w:val="21"/>
          <w:lang w:val="en-US" w:eastAsia="zh-CN"/>
          <w14:textFill>
            <w14:solidFill>
              <w14:schemeClr w14:val="tx1"/>
            </w14:solidFill>
          </w14:textFill>
        </w:rPr>
      </w:pPr>
      <w:r>
        <w:rPr>
          <w:rFonts w:ascii="Arial" w:hAnsi="Arial" w:cs="Arial"/>
          <w:color w:val="000000" w:themeColor="text1"/>
          <w:kern w:val="0"/>
          <w:szCs w:val="21"/>
          <w14:textFill>
            <w14:solidFill>
              <w14:schemeClr w14:val="tx1"/>
            </w14:solidFill>
          </w14:textFill>
        </w:rPr>
        <w:t>最高限价（元）：</w:t>
      </w:r>
      <w:r>
        <w:rPr>
          <w:rFonts w:hint="eastAsia" w:ascii="Arial" w:hAnsi="Arial" w:cs="Arial"/>
          <w:color w:val="000000" w:themeColor="text1"/>
          <w:kern w:val="0"/>
          <w:szCs w:val="21"/>
          <w:lang w:val="en-US" w:eastAsia="zh-CN"/>
          <w14:textFill>
            <w14:solidFill>
              <w14:schemeClr w14:val="tx1"/>
            </w14:solidFill>
          </w14:textFill>
        </w:rPr>
        <w:t>1650000</w:t>
      </w:r>
    </w:p>
    <w:p w14:paraId="4E03F646">
      <w:pPr>
        <w:spacing w:line="360" w:lineRule="auto"/>
        <w:ind w:firstLine="420" w:firstLineChars="200"/>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合同履行期限：</w:t>
      </w:r>
      <w:r>
        <w:rPr>
          <w:rFonts w:hint="eastAsia" w:ascii="Arial" w:hAnsi="Arial" w:cs="Arial"/>
          <w:color w:val="000000" w:themeColor="text1"/>
          <w:kern w:val="0"/>
          <w:szCs w:val="21"/>
          <w:lang w:eastAsia="zh-CN"/>
          <w14:textFill>
            <w14:solidFill>
              <w14:schemeClr w14:val="tx1"/>
            </w14:solidFill>
          </w14:textFill>
        </w:rPr>
        <w:t>采购合同签订后30个日历日内交货并完成安装调试</w:t>
      </w:r>
      <w:r>
        <w:rPr>
          <w:rFonts w:ascii="Arial" w:hAnsi="Arial" w:cs="Arial"/>
          <w:color w:val="000000" w:themeColor="text1"/>
          <w:kern w:val="0"/>
          <w:szCs w:val="21"/>
          <w14:textFill>
            <w14:solidFill>
              <w14:schemeClr w14:val="tx1"/>
            </w14:solidFill>
          </w14:textFill>
        </w:rPr>
        <w:t>。</w:t>
      </w:r>
    </w:p>
    <w:p w14:paraId="447DA4E6">
      <w:pPr>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本标项（否）接受联合体投标</w:t>
      </w:r>
    </w:p>
    <w:p w14:paraId="2A6B7280">
      <w:pPr>
        <w:pStyle w:val="21"/>
      </w:pPr>
      <w:r>
        <w:rPr>
          <w:rFonts w:ascii="Arial" w:hAnsi="Arial" w:cs="Arial"/>
          <w:color w:val="000000" w:themeColor="text1"/>
          <w:kern w:val="0"/>
          <w:szCs w:val="21"/>
          <w14:textFill>
            <w14:solidFill>
              <w14:schemeClr w14:val="tx1"/>
            </w14:solidFill>
          </w14:textFill>
        </w:rPr>
        <w:t>备注：</w:t>
      </w:r>
    </w:p>
    <w:p w14:paraId="436E06C7">
      <w:pPr>
        <w:spacing w:line="312" w:lineRule="auto"/>
        <w:ind w:firstLine="442" w:firstLineChars="200"/>
        <w:jc w:val="left"/>
        <w:rPr>
          <w:rFonts w:ascii="Arial" w:hAnsi="Arial" w:cs="Arial"/>
          <w:b/>
          <w:bCs/>
          <w:color w:val="000000" w:themeColor="text1"/>
          <w:kern w:val="0"/>
          <w:sz w:val="22"/>
          <w:szCs w:val="22"/>
          <w14:textFill>
            <w14:solidFill>
              <w14:schemeClr w14:val="tx1"/>
            </w14:solidFill>
          </w14:textFill>
        </w:rPr>
      </w:pPr>
      <w:r>
        <w:rPr>
          <w:rFonts w:ascii="Arial" w:hAnsi="Arial" w:cs="Arial"/>
          <w:b/>
          <w:bCs/>
          <w:color w:val="000000" w:themeColor="text1"/>
          <w:kern w:val="0"/>
          <w:sz w:val="22"/>
          <w:szCs w:val="22"/>
          <w14:textFill>
            <w14:solidFill>
              <w14:schemeClr w14:val="tx1"/>
            </w14:solidFill>
          </w14:textFill>
        </w:rPr>
        <w:t>二、申请人的资格要求</w:t>
      </w:r>
    </w:p>
    <w:p w14:paraId="584F616E">
      <w:pPr>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 xml:space="preserve">1.满足《中华人民共和国政府采购法》第二十二条规定； </w:t>
      </w:r>
    </w:p>
    <w:p w14:paraId="1D2AF468">
      <w:pPr>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2.落实政府采购政策需满足的资格要求：本项目非专门面向中小微企业采购。</w:t>
      </w:r>
    </w:p>
    <w:p w14:paraId="4550BD0E">
      <w:pPr>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3.本项目的特定资格要求：</w:t>
      </w:r>
    </w:p>
    <w:p w14:paraId="7770BCC5">
      <w:pPr>
        <w:adjustRightInd w:val="0"/>
        <w:snapToGrid w:val="0"/>
        <w:spacing w:line="360"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（1）资质要求：</w:t>
      </w:r>
      <w:r>
        <w:rPr>
          <w:rFonts w:hint="eastAsia" w:ascii="Arial" w:hAnsi="Arial" w:cs="Arial"/>
          <w:color w:val="000000" w:themeColor="text1"/>
          <w:kern w:val="0"/>
          <w:szCs w:val="21"/>
          <w:lang w:val="en-US" w:eastAsia="zh-CN"/>
          <w14:textFill>
            <w14:solidFill>
              <w14:schemeClr w14:val="tx1"/>
            </w14:solidFill>
          </w14:textFill>
        </w:rPr>
        <w:t>供应商具有药品监督管理的部门颁发有效的医疗器械经营许可或者备案（按《医疗器械监督管理条例》免于经营备案和无需办理医疗器械经营许可或者备案的情形除外）</w:t>
      </w:r>
      <w:r>
        <w:rPr>
          <w:rFonts w:ascii="Arial" w:hAnsi="Arial" w:cs="Arial"/>
          <w:color w:val="000000" w:themeColor="text1"/>
          <w:kern w:val="0"/>
          <w:szCs w:val="21"/>
          <w14:textFill>
            <w14:solidFill>
              <w14:schemeClr w14:val="tx1"/>
            </w14:solidFill>
          </w14:textFill>
        </w:rPr>
        <w:t>。</w:t>
      </w:r>
    </w:p>
    <w:p w14:paraId="2171C6FE">
      <w:pPr>
        <w:adjustRightInd w:val="0"/>
        <w:snapToGrid w:val="0"/>
        <w:spacing w:line="360"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（2）业绩要求：无。</w:t>
      </w:r>
    </w:p>
    <w:p w14:paraId="1C33433F">
      <w:pPr>
        <w:adjustRightInd w:val="0"/>
        <w:snapToGrid w:val="0"/>
        <w:spacing w:line="360"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（3）其他要求：无。</w:t>
      </w:r>
    </w:p>
    <w:p w14:paraId="56F7379F">
      <w:pPr>
        <w:adjustRightInd w:val="0"/>
        <w:snapToGrid w:val="0"/>
        <w:spacing w:line="360" w:lineRule="auto"/>
        <w:ind w:firstLine="420" w:firstLineChars="200"/>
        <w:jc w:val="left"/>
        <w:rPr>
          <w:rFonts w:hint="eastAsia" w:ascii="Arial" w:hAnsi="Arial" w:eastAsia="宋体" w:cs="Arial"/>
          <w:color w:val="000000" w:themeColor="text1"/>
          <w:kern w:val="0"/>
          <w:szCs w:val="21"/>
          <w:lang w:eastAsia="zh-CN"/>
          <w14:textFill>
            <w14:solidFill>
              <w14:schemeClr w14:val="tx1"/>
            </w14:solidFill>
          </w14:textFill>
        </w:rPr>
      </w:pPr>
      <w:r>
        <w:rPr>
          <w:rFonts w:hint="eastAsia" w:ascii="Arial" w:hAnsi="Arial" w:cs="Arial"/>
          <w:color w:val="000000" w:themeColor="text1"/>
          <w:kern w:val="0"/>
          <w:szCs w:val="21"/>
          <w:lang w:eastAsia="zh-CN"/>
          <w14:textFill>
            <w14:solidFill>
              <w14:schemeClr w14:val="tx1"/>
            </w14:solidFill>
          </w14:textFill>
        </w:rPr>
        <w:t>（</w:t>
      </w:r>
      <w:r>
        <w:rPr>
          <w:rFonts w:hint="eastAsia" w:ascii="Arial" w:hAnsi="Arial" w:cs="Arial"/>
          <w:color w:val="000000" w:themeColor="text1"/>
          <w:kern w:val="0"/>
          <w:szCs w:val="21"/>
          <w:lang w:val="en-US" w:eastAsia="zh-CN"/>
          <w14:textFill>
            <w14:solidFill>
              <w14:schemeClr w14:val="tx1"/>
            </w14:solidFill>
          </w14:textFill>
        </w:rPr>
        <w:t>4</w:t>
      </w:r>
      <w:r>
        <w:rPr>
          <w:rFonts w:hint="eastAsia" w:ascii="Arial" w:hAnsi="Arial" w:cs="Arial"/>
          <w:color w:val="000000" w:themeColor="text1"/>
          <w:kern w:val="0"/>
          <w:szCs w:val="21"/>
          <w:lang w:eastAsia="zh-CN"/>
          <w14:textFill>
            <w14:solidFill>
              <w14:schemeClr w14:val="tx1"/>
            </w14:solidFill>
          </w14:textFill>
        </w:rPr>
        <w:t>）因违法经营受到刑事处罚或者责令停产停业、吊销许可证或者执照、较大数额罚款等行政处罚，或者存在财政部门认定的其他重大违法记录，以及在财政部门禁止参加政府采购活动期限以内的供应商不得参加本项目的投标</w:t>
      </w:r>
    </w:p>
    <w:p w14:paraId="7D0E437D">
      <w:pPr>
        <w:adjustRightInd w:val="0"/>
        <w:snapToGrid w:val="0"/>
        <w:spacing w:line="360"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w:t>
      </w:r>
      <w:r>
        <w:rPr>
          <w:rFonts w:hint="eastAsia" w:ascii="Arial" w:hAnsi="Arial" w:cs="Arial"/>
          <w:color w:val="000000" w:themeColor="text1"/>
          <w:kern w:val="0"/>
          <w:szCs w:val="21"/>
          <w:lang w:val="en-US" w:eastAsia="zh-CN"/>
          <w14:textFill>
            <w14:solidFill>
              <w14:schemeClr w14:val="tx1"/>
            </w14:solidFill>
          </w14:textFill>
        </w:rPr>
        <w:t>5</w:t>
      </w:r>
      <w:r>
        <w:rPr>
          <w:rFonts w:ascii="Arial" w:hAnsi="Arial" w:cs="Arial"/>
          <w:color w:val="000000" w:themeColor="text1"/>
          <w:kern w:val="0"/>
          <w:szCs w:val="21"/>
          <w14:textFill>
            <w14:solidFill>
              <w14:schemeClr w14:val="tx1"/>
            </w14:solidFill>
          </w14:textFill>
        </w:rPr>
        <w:t>）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71414E17">
      <w:pPr>
        <w:adjustRightInd w:val="0"/>
        <w:snapToGrid w:val="0"/>
        <w:spacing w:line="360"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w:t>
      </w:r>
      <w:r>
        <w:rPr>
          <w:rFonts w:hint="eastAsia" w:ascii="Arial" w:hAnsi="Arial" w:cs="Arial"/>
          <w:color w:val="000000" w:themeColor="text1"/>
          <w:kern w:val="0"/>
          <w:szCs w:val="21"/>
          <w:lang w:val="en-US" w:eastAsia="zh-CN"/>
          <w14:textFill>
            <w14:solidFill>
              <w14:schemeClr w14:val="tx1"/>
            </w14:solidFill>
          </w14:textFill>
        </w:rPr>
        <w:t>6</w:t>
      </w:r>
      <w:r>
        <w:rPr>
          <w:rFonts w:ascii="Arial" w:hAnsi="Arial" w:cs="Arial"/>
          <w:color w:val="000000" w:themeColor="text1"/>
          <w:kern w:val="0"/>
          <w:szCs w:val="21"/>
          <w14:textFill>
            <w14:solidFill>
              <w14:schemeClr w14:val="tx1"/>
            </w14:solidFill>
          </w14:textFill>
        </w:rPr>
        <w:t>）未被列入失信被执行人、重大税收违法失信主体、政府采购严重违法失信行为记录名单。</w:t>
      </w:r>
    </w:p>
    <w:p w14:paraId="7B396198">
      <w:pPr>
        <w:adjustRightInd w:val="0"/>
        <w:snapToGrid w:val="0"/>
        <w:spacing w:line="360"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w:t>
      </w:r>
      <w:r>
        <w:rPr>
          <w:rFonts w:hint="eastAsia" w:ascii="Arial" w:hAnsi="Arial" w:cs="Arial"/>
          <w:color w:val="000000" w:themeColor="text1"/>
          <w:kern w:val="0"/>
          <w:szCs w:val="21"/>
          <w:lang w:val="en-US" w:eastAsia="zh-CN"/>
          <w14:textFill>
            <w14:solidFill>
              <w14:schemeClr w14:val="tx1"/>
            </w14:solidFill>
          </w14:textFill>
        </w:rPr>
        <w:t>7</w:t>
      </w:r>
      <w:r>
        <w:rPr>
          <w:rFonts w:ascii="Arial" w:hAnsi="Arial" w:cs="Arial"/>
          <w:color w:val="000000" w:themeColor="text1"/>
          <w:kern w:val="0"/>
          <w:szCs w:val="21"/>
          <w14:textFill>
            <w14:solidFill>
              <w14:schemeClr w14:val="tx1"/>
            </w14:solidFill>
          </w14:textFill>
        </w:rPr>
        <w:t>）本项目不允许分包。</w:t>
      </w:r>
    </w:p>
    <w:p w14:paraId="0A1BC936">
      <w:pPr>
        <w:adjustRightInd w:val="0"/>
        <w:snapToGrid w:val="0"/>
        <w:spacing w:line="360"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w:t>
      </w:r>
      <w:r>
        <w:rPr>
          <w:rFonts w:hint="eastAsia" w:ascii="Arial" w:hAnsi="Arial" w:cs="Arial"/>
          <w:color w:val="000000" w:themeColor="text1"/>
          <w:kern w:val="0"/>
          <w:szCs w:val="21"/>
          <w:lang w:val="en-US" w:eastAsia="zh-CN"/>
          <w14:textFill>
            <w14:solidFill>
              <w14:schemeClr w14:val="tx1"/>
            </w14:solidFill>
          </w14:textFill>
        </w:rPr>
        <w:t>8</w:t>
      </w:r>
      <w:r>
        <w:rPr>
          <w:rFonts w:ascii="Arial" w:hAnsi="Arial" w:cs="Arial"/>
          <w:color w:val="000000" w:themeColor="text1"/>
          <w:kern w:val="0"/>
          <w:szCs w:val="21"/>
          <w14:textFill>
            <w14:solidFill>
              <w14:schemeClr w14:val="tx1"/>
            </w14:solidFill>
          </w14:textFill>
        </w:rPr>
        <w:t>）本项目不接受联合体投标。</w:t>
      </w:r>
    </w:p>
    <w:p w14:paraId="498C8BC6">
      <w:pPr>
        <w:adjustRightInd w:val="0"/>
        <w:snapToGrid w:val="0"/>
        <w:spacing w:line="360"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w:t>
      </w:r>
      <w:r>
        <w:rPr>
          <w:rFonts w:hint="eastAsia" w:ascii="Arial" w:hAnsi="Arial" w:cs="Arial"/>
          <w:color w:val="000000" w:themeColor="text1"/>
          <w:kern w:val="0"/>
          <w:szCs w:val="21"/>
          <w:lang w:val="en-US" w:eastAsia="zh-CN"/>
          <w14:textFill>
            <w14:solidFill>
              <w14:schemeClr w14:val="tx1"/>
            </w14:solidFill>
          </w14:textFill>
        </w:rPr>
        <w:t>9</w:t>
      </w:r>
      <w:r>
        <w:rPr>
          <w:rFonts w:ascii="Arial" w:hAnsi="Arial" w:cs="Arial"/>
          <w:color w:val="000000" w:themeColor="text1"/>
          <w:kern w:val="0"/>
          <w:szCs w:val="21"/>
          <w14:textFill>
            <w14:solidFill>
              <w14:schemeClr w14:val="tx1"/>
            </w14:solidFill>
          </w14:textFill>
        </w:rPr>
        <w:t>）按照招标公告规定获得招标文件。</w:t>
      </w:r>
    </w:p>
    <w:p w14:paraId="44609167">
      <w:pPr>
        <w:spacing w:line="312" w:lineRule="auto"/>
        <w:ind w:firstLine="442" w:firstLineChars="200"/>
        <w:jc w:val="left"/>
        <w:rPr>
          <w:rFonts w:ascii="Arial" w:hAnsi="Arial" w:cs="Arial"/>
          <w:b/>
          <w:bCs/>
          <w:color w:val="000000" w:themeColor="text1"/>
          <w:kern w:val="0"/>
          <w:sz w:val="22"/>
          <w:szCs w:val="22"/>
          <w14:textFill>
            <w14:solidFill>
              <w14:schemeClr w14:val="tx1"/>
            </w14:solidFill>
          </w14:textFill>
        </w:rPr>
      </w:pPr>
      <w:r>
        <w:rPr>
          <w:rFonts w:ascii="Arial" w:hAnsi="Arial" w:cs="Arial"/>
          <w:b/>
          <w:bCs/>
          <w:color w:val="000000" w:themeColor="text1"/>
          <w:kern w:val="0"/>
          <w:sz w:val="22"/>
          <w:szCs w:val="22"/>
          <w14:textFill>
            <w14:solidFill>
              <w14:schemeClr w14:val="tx1"/>
            </w14:solidFill>
          </w14:textFill>
        </w:rPr>
        <w:t>三、获取招标文件</w:t>
      </w:r>
    </w:p>
    <w:p w14:paraId="1D99E857">
      <w:pPr>
        <w:spacing w:line="312"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时间：202</w:t>
      </w:r>
      <w:r>
        <w:rPr>
          <w:rFonts w:hint="eastAsia" w:ascii="Arial" w:hAnsi="Arial" w:cs="Arial"/>
          <w:color w:val="000000" w:themeColor="text1"/>
          <w:szCs w:val="21"/>
          <w14:textFill>
            <w14:solidFill>
              <w14:schemeClr w14:val="tx1"/>
            </w14:solidFill>
          </w14:textFill>
        </w:rPr>
        <w:t>6</w:t>
      </w:r>
      <w:r>
        <w:rPr>
          <w:rFonts w:ascii="Arial" w:hAnsi="Arial" w:cs="Arial"/>
          <w:color w:val="000000" w:themeColor="text1"/>
          <w:szCs w:val="21"/>
          <w14:textFill>
            <w14:solidFill>
              <w14:schemeClr w14:val="tx1"/>
            </w14:solidFill>
          </w14:textFill>
        </w:rPr>
        <w:t>年</w:t>
      </w:r>
      <w:r>
        <w:rPr>
          <w:rFonts w:hint="eastAsia" w:ascii="Arial" w:hAnsi="Arial" w:cs="Arial"/>
          <w:color w:val="000000" w:themeColor="text1"/>
          <w:szCs w:val="21"/>
          <w:lang w:val="en-US" w:eastAsia="zh-CN"/>
          <w14:textFill>
            <w14:solidFill>
              <w14:schemeClr w14:val="tx1"/>
            </w14:solidFill>
          </w14:textFill>
        </w:rPr>
        <w:t>9</w:t>
      </w:r>
      <w:r>
        <w:rPr>
          <w:rFonts w:ascii="Arial" w:hAnsi="Arial" w:cs="Arial"/>
          <w:color w:val="000000" w:themeColor="text1"/>
          <w:szCs w:val="21"/>
          <w14:textFill>
            <w14:solidFill>
              <w14:schemeClr w14:val="tx1"/>
            </w14:solidFill>
          </w14:textFill>
        </w:rPr>
        <w:t>月</w:t>
      </w:r>
      <w:r>
        <w:rPr>
          <w:rFonts w:hint="eastAsia" w:ascii="Arial" w:hAnsi="Arial" w:cs="Arial"/>
          <w:color w:val="000000" w:themeColor="text1"/>
          <w:szCs w:val="21"/>
          <w:lang w:val="en-US" w:eastAsia="zh-CN"/>
          <w14:textFill>
            <w14:solidFill>
              <w14:schemeClr w14:val="tx1"/>
            </w14:solidFill>
          </w14:textFill>
        </w:rPr>
        <w:t>8</w:t>
      </w:r>
      <w:r>
        <w:rPr>
          <w:rFonts w:ascii="Arial" w:hAnsi="Arial" w:cs="Arial"/>
          <w:color w:val="000000" w:themeColor="text1"/>
          <w:szCs w:val="21"/>
          <w14:textFill>
            <w14:solidFill>
              <w14:schemeClr w14:val="tx1"/>
            </w14:solidFill>
          </w14:textFill>
        </w:rPr>
        <w:t>日至202</w:t>
      </w:r>
      <w:r>
        <w:rPr>
          <w:rFonts w:hint="eastAsia" w:ascii="Arial" w:hAnsi="Arial" w:cs="Arial"/>
          <w:color w:val="000000" w:themeColor="text1"/>
          <w:szCs w:val="21"/>
          <w14:textFill>
            <w14:solidFill>
              <w14:schemeClr w14:val="tx1"/>
            </w14:solidFill>
          </w14:textFill>
        </w:rPr>
        <w:t>6</w:t>
      </w:r>
      <w:r>
        <w:rPr>
          <w:rFonts w:ascii="Arial" w:hAnsi="Arial" w:cs="Arial"/>
          <w:color w:val="000000" w:themeColor="text1"/>
          <w:szCs w:val="21"/>
          <w14:textFill>
            <w14:solidFill>
              <w14:schemeClr w14:val="tx1"/>
            </w14:solidFill>
          </w14:textFill>
        </w:rPr>
        <w:t>年</w:t>
      </w:r>
      <w:r>
        <w:rPr>
          <w:rFonts w:hint="eastAsia" w:ascii="Arial" w:hAnsi="Arial" w:cs="Arial"/>
          <w:color w:val="000000" w:themeColor="text1"/>
          <w:szCs w:val="21"/>
          <w:lang w:val="en-US" w:eastAsia="zh-CN"/>
          <w14:textFill>
            <w14:solidFill>
              <w14:schemeClr w14:val="tx1"/>
            </w14:solidFill>
          </w14:textFill>
        </w:rPr>
        <w:t>9</w:t>
      </w:r>
      <w:r>
        <w:rPr>
          <w:rFonts w:ascii="Arial" w:hAnsi="Arial" w:cs="Arial"/>
          <w:color w:val="000000" w:themeColor="text1"/>
          <w:szCs w:val="21"/>
          <w14:textFill>
            <w14:solidFill>
              <w14:schemeClr w14:val="tx1"/>
            </w14:solidFill>
          </w14:textFill>
        </w:rPr>
        <w:t>月</w:t>
      </w:r>
      <w:r>
        <w:rPr>
          <w:rFonts w:hint="eastAsia" w:ascii="Arial" w:hAnsi="Arial" w:cs="Arial"/>
          <w:color w:val="000000" w:themeColor="text1"/>
          <w:szCs w:val="21"/>
          <w:lang w:val="en-US" w:eastAsia="zh-CN"/>
          <w14:textFill>
            <w14:solidFill>
              <w14:schemeClr w14:val="tx1"/>
            </w14:solidFill>
          </w14:textFill>
        </w:rPr>
        <w:t>15</w:t>
      </w:r>
      <w:r>
        <w:rPr>
          <w:rFonts w:ascii="Arial" w:hAnsi="Arial" w:cs="Arial"/>
          <w:color w:val="000000" w:themeColor="text1"/>
          <w:szCs w:val="21"/>
          <w14:textFill>
            <w14:solidFill>
              <w14:schemeClr w14:val="tx1"/>
            </w14:solidFill>
          </w14:textFill>
        </w:rPr>
        <w:t>日 ，每天上午00:00至12:00，下午12:00至23:59（北京时间，法定节假日除外）</w:t>
      </w:r>
    </w:p>
    <w:p w14:paraId="59AB0D5C">
      <w:pPr>
        <w:spacing w:line="312"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地点（网址）：广西政府采购云平台 （https://www.gcy.zfcg.gxzf.gov.cn/） </w:t>
      </w:r>
    </w:p>
    <w:p w14:paraId="6BDF4A1C">
      <w:pPr>
        <w:spacing w:line="312"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方式：供应商登录广西政府采购云平台https://www.gcy.zfcg.gxzf.gov.cn/在线申请获取采购文件（进入“项目采购”应用，在获取采购文件菜单中选择项目，申请获取采购文件）</w:t>
      </w:r>
    </w:p>
    <w:p w14:paraId="0C7CB3C7">
      <w:pPr>
        <w:spacing w:line="312"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售价（元）：0  </w:t>
      </w:r>
    </w:p>
    <w:p w14:paraId="3F24FCEE">
      <w:pPr>
        <w:spacing w:line="312" w:lineRule="auto"/>
        <w:ind w:firstLine="442" w:firstLineChars="200"/>
        <w:jc w:val="left"/>
        <w:rPr>
          <w:rFonts w:ascii="Arial" w:hAnsi="Arial" w:cs="Arial"/>
          <w:b/>
          <w:bCs/>
          <w:color w:val="000000" w:themeColor="text1"/>
          <w:kern w:val="0"/>
          <w:sz w:val="22"/>
          <w:szCs w:val="22"/>
          <w14:textFill>
            <w14:solidFill>
              <w14:schemeClr w14:val="tx1"/>
            </w14:solidFill>
          </w14:textFill>
        </w:rPr>
      </w:pPr>
      <w:r>
        <w:rPr>
          <w:rFonts w:ascii="Arial" w:hAnsi="Arial" w:cs="Arial"/>
          <w:b/>
          <w:bCs/>
          <w:color w:val="000000" w:themeColor="text1"/>
          <w:kern w:val="0"/>
          <w:sz w:val="22"/>
          <w:szCs w:val="22"/>
          <w14:textFill>
            <w14:solidFill>
              <w14:schemeClr w14:val="tx1"/>
            </w14:solidFill>
          </w14:textFill>
        </w:rPr>
        <w:t>四、提交投标文件截止时间、开标时间和地点</w:t>
      </w:r>
    </w:p>
    <w:p w14:paraId="0C07674B">
      <w:pPr>
        <w:spacing w:line="312"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提交投标文件截止时间：202</w:t>
      </w:r>
      <w:r>
        <w:rPr>
          <w:rFonts w:hint="eastAsia" w:ascii="Arial" w:hAnsi="Arial" w:cs="Arial"/>
          <w:color w:val="000000" w:themeColor="text1"/>
          <w:szCs w:val="21"/>
          <w14:textFill>
            <w14:solidFill>
              <w14:schemeClr w14:val="tx1"/>
            </w14:solidFill>
          </w14:textFill>
        </w:rPr>
        <w:t>6</w:t>
      </w:r>
      <w:r>
        <w:rPr>
          <w:rFonts w:ascii="Arial" w:hAnsi="Arial" w:cs="Arial"/>
          <w:color w:val="000000" w:themeColor="text1"/>
          <w:szCs w:val="21"/>
          <w14:textFill>
            <w14:solidFill>
              <w14:schemeClr w14:val="tx1"/>
            </w14:solidFill>
          </w14:textFill>
        </w:rPr>
        <w:t>年</w:t>
      </w:r>
      <w:r>
        <w:rPr>
          <w:rFonts w:hint="eastAsia" w:ascii="Arial" w:hAnsi="Arial" w:cs="Arial"/>
          <w:color w:val="000000" w:themeColor="text1"/>
          <w:szCs w:val="21"/>
          <w:lang w:val="en-US" w:eastAsia="zh-CN"/>
          <w14:textFill>
            <w14:solidFill>
              <w14:schemeClr w14:val="tx1"/>
            </w14:solidFill>
          </w14:textFill>
        </w:rPr>
        <w:t>9</w:t>
      </w:r>
      <w:r>
        <w:rPr>
          <w:rFonts w:ascii="Arial" w:hAnsi="Arial" w:cs="Arial"/>
          <w:color w:val="000000" w:themeColor="text1"/>
          <w:szCs w:val="21"/>
          <w14:textFill>
            <w14:solidFill>
              <w14:schemeClr w14:val="tx1"/>
            </w14:solidFill>
          </w14:textFill>
        </w:rPr>
        <w:t>月</w:t>
      </w:r>
      <w:r>
        <w:rPr>
          <w:rFonts w:hint="eastAsia" w:ascii="Arial" w:hAnsi="Arial" w:cs="Arial"/>
          <w:color w:val="000000" w:themeColor="text1"/>
          <w:szCs w:val="21"/>
          <w:lang w:val="en-US" w:eastAsia="zh-CN"/>
          <w14:textFill>
            <w14:solidFill>
              <w14:schemeClr w14:val="tx1"/>
            </w14:solidFill>
          </w14:textFill>
        </w:rPr>
        <w:t>30</w:t>
      </w:r>
      <w:r>
        <w:rPr>
          <w:rFonts w:ascii="Arial" w:hAnsi="Arial" w:cs="Arial"/>
          <w:color w:val="000000" w:themeColor="text1"/>
          <w:szCs w:val="21"/>
          <w14:textFill>
            <w14:solidFill>
              <w14:schemeClr w14:val="tx1"/>
            </w14:solidFill>
          </w14:textFill>
        </w:rPr>
        <w:t>日09:30（北京时间）</w:t>
      </w:r>
    </w:p>
    <w:p w14:paraId="1F457AA3">
      <w:pPr>
        <w:spacing w:line="312"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地点（网址）：通过广西政府采购云平台实行在线投标。</w:t>
      </w:r>
    </w:p>
    <w:p w14:paraId="56B516BF">
      <w:pPr>
        <w:spacing w:line="312"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开标时间：202</w:t>
      </w:r>
      <w:r>
        <w:rPr>
          <w:rFonts w:hint="eastAsia" w:ascii="Arial" w:hAnsi="Arial" w:cs="Arial"/>
          <w:color w:val="000000" w:themeColor="text1"/>
          <w:szCs w:val="21"/>
          <w14:textFill>
            <w14:solidFill>
              <w14:schemeClr w14:val="tx1"/>
            </w14:solidFill>
          </w14:textFill>
        </w:rPr>
        <w:t>6</w:t>
      </w:r>
      <w:r>
        <w:rPr>
          <w:rFonts w:ascii="Arial" w:hAnsi="Arial" w:cs="Arial"/>
          <w:color w:val="000000" w:themeColor="text1"/>
          <w:szCs w:val="21"/>
          <w14:textFill>
            <w14:solidFill>
              <w14:schemeClr w14:val="tx1"/>
            </w14:solidFill>
          </w14:textFill>
        </w:rPr>
        <w:t>年</w:t>
      </w:r>
      <w:r>
        <w:rPr>
          <w:rFonts w:hint="eastAsia" w:ascii="Arial" w:hAnsi="Arial" w:cs="Arial"/>
          <w:color w:val="000000" w:themeColor="text1"/>
          <w:szCs w:val="21"/>
          <w:lang w:val="en-US" w:eastAsia="zh-CN"/>
          <w14:textFill>
            <w14:solidFill>
              <w14:schemeClr w14:val="tx1"/>
            </w14:solidFill>
          </w14:textFill>
        </w:rPr>
        <w:t>9</w:t>
      </w:r>
      <w:r>
        <w:rPr>
          <w:rFonts w:ascii="Arial" w:hAnsi="Arial" w:cs="Arial"/>
          <w:color w:val="000000" w:themeColor="text1"/>
          <w:szCs w:val="21"/>
          <w14:textFill>
            <w14:solidFill>
              <w14:schemeClr w14:val="tx1"/>
            </w14:solidFill>
          </w14:textFill>
        </w:rPr>
        <w:t>月</w:t>
      </w:r>
      <w:r>
        <w:rPr>
          <w:rFonts w:hint="eastAsia" w:ascii="Arial" w:hAnsi="Arial" w:cs="Arial"/>
          <w:color w:val="000000" w:themeColor="text1"/>
          <w:szCs w:val="21"/>
          <w:lang w:val="en-US" w:eastAsia="zh-CN"/>
          <w14:textFill>
            <w14:solidFill>
              <w14:schemeClr w14:val="tx1"/>
            </w14:solidFill>
          </w14:textFill>
        </w:rPr>
        <w:t>30</w:t>
      </w:r>
      <w:r>
        <w:rPr>
          <w:rFonts w:ascii="Arial" w:hAnsi="Arial" w:cs="Arial"/>
          <w:color w:val="000000" w:themeColor="text1"/>
          <w:szCs w:val="21"/>
          <w14:textFill>
            <w14:solidFill>
              <w14:schemeClr w14:val="tx1"/>
            </w14:solidFill>
          </w14:textFill>
        </w:rPr>
        <w:t xml:space="preserve">日09:30 </w:t>
      </w:r>
    </w:p>
    <w:p w14:paraId="067348DE">
      <w:pPr>
        <w:spacing w:line="312"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开标地点：通过广西政府采购云平台实行在线解密开启。</w:t>
      </w:r>
    </w:p>
    <w:p w14:paraId="3A35CE8E">
      <w:pPr>
        <w:spacing w:line="312" w:lineRule="auto"/>
        <w:ind w:firstLine="442" w:firstLineChars="200"/>
        <w:jc w:val="left"/>
        <w:rPr>
          <w:rFonts w:ascii="Arial" w:hAnsi="Arial" w:cs="Arial"/>
          <w:b/>
          <w:bCs/>
          <w:color w:val="000000" w:themeColor="text1"/>
          <w:kern w:val="0"/>
          <w:sz w:val="22"/>
          <w:szCs w:val="22"/>
          <w14:textFill>
            <w14:solidFill>
              <w14:schemeClr w14:val="tx1"/>
            </w14:solidFill>
          </w14:textFill>
        </w:rPr>
      </w:pPr>
      <w:r>
        <w:rPr>
          <w:rFonts w:ascii="Arial" w:hAnsi="Arial" w:cs="Arial"/>
          <w:b/>
          <w:bCs/>
          <w:color w:val="000000" w:themeColor="text1"/>
          <w:kern w:val="0"/>
          <w:sz w:val="22"/>
          <w:szCs w:val="22"/>
          <w14:textFill>
            <w14:solidFill>
              <w14:schemeClr w14:val="tx1"/>
            </w14:solidFill>
          </w14:textFill>
        </w:rPr>
        <w:t>五、公告期限</w:t>
      </w:r>
    </w:p>
    <w:p w14:paraId="344767CF">
      <w:pPr>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自本公告发布之日起5个工作日。</w:t>
      </w:r>
    </w:p>
    <w:p w14:paraId="15703F1C">
      <w:pPr>
        <w:spacing w:line="312" w:lineRule="auto"/>
        <w:ind w:firstLine="442" w:firstLineChars="200"/>
        <w:jc w:val="left"/>
        <w:rPr>
          <w:rFonts w:ascii="Arial" w:hAnsi="Arial" w:cs="Arial"/>
          <w:b/>
          <w:bCs/>
          <w:color w:val="000000" w:themeColor="text1"/>
          <w:kern w:val="0"/>
          <w:sz w:val="22"/>
          <w:szCs w:val="22"/>
          <w14:textFill>
            <w14:solidFill>
              <w14:schemeClr w14:val="tx1"/>
            </w14:solidFill>
          </w14:textFill>
        </w:rPr>
      </w:pPr>
      <w:r>
        <w:rPr>
          <w:rFonts w:ascii="Arial" w:hAnsi="Arial" w:cs="Arial"/>
          <w:b/>
          <w:bCs/>
          <w:color w:val="000000" w:themeColor="text1"/>
          <w:kern w:val="0"/>
          <w:sz w:val="22"/>
          <w:szCs w:val="22"/>
          <w14:textFill>
            <w14:solidFill>
              <w14:schemeClr w14:val="tx1"/>
            </w14:solidFill>
          </w14:textFill>
        </w:rPr>
        <w:t>六、其他补充事宜</w:t>
      </w:r>
    </w:p>
    <w:p w14:paraId="59148EFC">
      <w:pPr>
        <w:snapToGrid w:val="0"/>
        <w:spacing w:line="300"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1.公告发布媒体：广西政府采购网、中国政府采购网 </w:t>
      </w:r>
    </w:p>
    <w:p w14:paraId="21F9B160">
      <w:pPr>
        <w:snapToGrid w:val="0"/>
        <w:spacing w:line="300"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2.需落实的政府采购政策：本项目适用政府采购促进中小企业、监狱企业发展、促进残疾人就业、</w:t>
      </w:r>
      <w:r>
        <w:rPr>
          <w:rFonts w:ascii="Arial" w:hAnsi="Arial" w:cs="Arial"/>
          <w:color w:val="000000" w:themeColor="text1"/>
          <w14:textFill>
            <w14:solidFill>
              <w14:schemeClr w14:val="tx1"/>
            </w14:solidFill>
          </w14:textFill>
        </w:rPr>
        <w:t>节能环保、</w:t>
      </w:r>
      <w:r>
        <w:rPr>
          <w:rFonts w:ascii="Arial" w:hAnsi="Arial" w:cs="Arial"/>
          <w:color w:val="000000" w:themeColor="text1"/>
          <w:szCs w:val="21"/>
          <w:shd w:val="clear" w:color="auto" w:fill="FFFFFF"/>
          <w14:textFill>
            <w14:solidFill>
              <w14:schemeClr w14:val="tx1"/>
            </w14:solidFill>
          </w14:textFill>
        </w:rPr>
        <w:t>政府采购支持采用本国产品的政策</w:t>
      </w:r>
      <w:r>
        <w:rPr>
          <w:rFonts w:ascii="Arial" w:hAnsi="Arial" w:cs="Arial"/>
          <w:color w:val="000000" w:themeColor="text1"/>
          <w:szCs w:val="21"/>
          <w14:textFill>
            <w14:solidFill>
              <w14:schemeClr w14:val="tx1"/>
            </w14:solidFill>
          </w14:textFill>
        </w:rPr>
        <w:t>等有关政策，具体详见招标文件。</w:t>
      </w:r>
    </w:p>
    <w:p w14:paraId="1951AEE5">
      <w:pPr>
        <w:snapToGrid w:val="0"/>
        <w:spacing w:line="300" w:lineRule="auto"/>
        <w:ind w:firstLine="420" w:firstLineChars="200"/>
        <w:jc w:val="left"/>
        <w:rPr>
          <w:rFonts w:ascii="Arial" w:hAnsi="Arial" w:cs="Arial"/>
          <w:color w:val="000000" w:themeColor="text1"/>
          <w:szCs w:val="21"/>
          <w14:textFill>
            <w14:solidFill>
              <w14:schemeClr w14:val="tx1"/>
            </w14:solidFill>
          </w14:textFill>
        </w:rPr>
      </w:pPr>
      <w:bookmarkStart w:id="8" w:name="_Hlk88997182"/>
      <w:r>
        <w:rPr>
          <w:rFonts w:ascii="Arial" w:hAnsi="Arial" w:cs="Arial"/>
          <w:color w:val="000000" w:themeColor="text1"/>
          <w:szCs w:val="21"/>
          <w14:textFill>
            <w14:solidFill>
              <w14:schemeClr w14:val="tx1"/>
            </w14:solidFill>
          </w14:textFill>
        </w:rPr>
        <w:t>3.投标文件解密时间：截标时间后30分钟内（202</w:t>
      </w:r>
      <w:r>
        <w:rPr>
          <w:rFonts w:hint="eastAsia" w:ascii="Arial" w:hAnsi="Arial" w:cs="Arial"/>
          <w:color w:val="000000" w:themeColor="text1"/>
          <w:szCs w:val="21"/>
          <w14:textFill>
            <w14:solidFill>
              <w14:schemeClr w14:val="tx1"/>
            </w14:solidFill>
          </w14:textFill>
        </w:rPr>
        <w:t>6</w:t>
      </w:r>
      <w:r>
        <w:rPr>
          <w:rFonts w:ascii="Arial" w:hAnsi="Arial" w:cs="Arial"/>
          <w:color w:val="000000" w:themeColor="text1"/>
          <w:szCs w:val="21"/>
          <w14:textFill>
            <w14:solidFill>
              <w14:schemeClr w14:val="tx1"/>
            </w14:solidFill>
          </w14:textFill>
        </w:rPr>
        <w:t>年</w:t>
      </w:r>
      <w:r>
        <w:rPr>
          <w:rFonts w:hint="eastAsia" w:ascii="Arial" w:hAnsi="Arial" w:cs="Arial"/>
          <w:color w:val="000000" w:themeColor="text1"/>
          <w:szCs w:val="21"/>
          <w:lang w:val="en-US" w:eastAsia="zh-CN"/>
          <w14:textFill>
            <w14:solidFill>
              <w14:schemeClr w14:val="tx1"/>
            </w14:solidFill>
          </w14:textFill>
        </w:rPr>
        <w:t>9</w:t>
      </w:r>
      <w:r>
        <w:rPr>
          <w:rFonts w:ascii="Arial" w:hAnsi="Arial" w:cs="Arial"/>
          <w:color w:val="000000" w:themeColor="text1"/>
          <w:szCs w:val="21"/>
          <w14:textFill>
            <w14:solidFill>
              <w14:schemeClr w14:val="tx1"/>
            </w14:solidFill>
          </w14:textFill>
        </w:rPr>
        <w:t>月</w:t>
      </w:r>
      <w:r>
        <w:rPr>
          <w:rFonts w:hint="eastAsia" w:ascii="Arial" w:hAnsi="Arial" w:cs="Arial"/>
          <w:color w:val="000000" w:themeColor="text1"/>
          <w:szCs w:val="21"/>
          <w:lang w:val="en-US" w:eastAsia="zh-CN"/>
          <w14:textFill>
            <w14:solidFill>
              <w14:schemeClr w14:val="tx1"/>
            </w14:solidFill>
          </w14:textFill>
        </w:rPr>
        <w:t xml:space="preserve">30 </w:t>
      </w:r>
      <w:r>
        <w:rPr>
          <w:rFonts w:ascii="Arial" w:hAnsi="Arial" w:cs="Arial"/>
          <w:color w:val="000000" w:themeColor="text1"/>
          <w:szCs w:val="21"/>
          <w14:textFill>
            <w14:solidFill>
              <w14:schemeClr w14:val="tx1"/>
            </w14:solidFill>
          </w14:textFill>
        </w:rPr>
        <w:t>日上午9时30分至10时00分）供应商可以登录广西政府采购云平台，用“项目采购-开标评标”功能进行解密投标文件。若供应商在规定时间内无法解密或解密失败，可以以电子备份投标文件作为依据【在接到无法解密或解密失败的通知后，供应商可根据自身实际情况按通知时要求的时间到桂林市公共资源交易中心现场提交或以电子邮件的形式（以通知时所告知的电子邮箱地址为准）提交电子备份投标文件】，若供应商在规定时间内无法解密或解密失败且未提供电子备份投标文件的（包含提供的电子备份文件无效或无法解密的情况），视为投标无效。</w:t>
      </w:r>
    </w:p>
    <w:bookmarkEnd w:id="8"/>
    <w:p w14:paraId="0DC88014">
      <w:pPr>
        <w:snapToGrid w:val="0"/>
        <w:spacing w:line="300"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4.“政采云”平台电子投标相关事宜：</w:t>
      </w:r>
    </w:p>
    <w:p w14:paraId="76E025F9">
      <w:pPr>
        <w:snapToGrid w:val="0"/>
        <w:spacing w:line="300"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（1）</w:t>
      </w:r>
      <w:r>
        <w:rPr>
          <w:rFonts w:ascii="Arial" w:hAnsi="Arial" w:cs="Arial"/>
          <w:color w:val="000000" w:themeColor="text1"/>
          <w:szCs w:val="21"/>
          <w14:textFill>
            <w14:solidFill>
              <w14:schemeClr w14:val="tx1"/>
            </w14:solidFill>
          </w14:textFill>
        </w:rPr>
        <w:t>未进行网上注册并办理数字证书（CA认证）的供应商将无法参与本项目政府采购活动，潜在供应商应当在响应截止时间前，完成广西政府采购云平台上的CA数字证书办理及投标文件的提交。完成CA数字证书办理预计7日左右，建议各供应商抓紧时间办理。</w:t>
      </w:r>
    </w:p>
    <w:p w14:paraId="5463042D">
      <w:pPr>
        <w:snapToGrid w:val="0"/>
        <w:spacing w:line="300" w:lineRule="auto"/>
        <w:ind w:firstLine="420" w:firstLineChars="200"/>
        <w:rPr>
          <w:rFonts w:ascii="Arial" w:hAnsi="Arial" w:cs="Arial"/>
          <w:color w:val="000000" w:themeColor="text1"/>
          <w:kern w:val="0"/>
          <w:szCs w:val="21"/>
          <w14:textFill>
            <w14:solidFill>
              <w14:schemeClr w14:val="tx1"/>
            </w14:solidFill>
          </w14:textFill>
        </w:rPr>
      </w:pPr>
      <w:r>
        <w:rPr>
          <w:rFonts w:ascii="Arial" w:hAnsi="Arial" w:cs="Arial"/>
          <w:color w:val="000000" w:themeColor="text1"/>
          <w:szCs w:val="21"/>
          <w14:textFill>
            <w14:solidFill>
              <w14:schemeClr w14:val="tx1"/>
            </w14:solidFill>
          </w14:textFill>
        </w:rPr>
        <w:t>（2）为确保网上操作合法、有效和安全，请供应商确保在电子投标过程中能够对相关数据电文进行加密和使用电子签章，妥善保管CA数字证书并使用有效的CA数字证书参与整个招标活动。</w:t>
      </w:r>
    </w:p>
    <w:p w14:paraId="4C3F4D2C">
      <w:pPr>
        <w:snapToGrid w:val="0"/>
        <w:spacing w:line="300" w:lineRule="auto"/>
        <w:ind w:firstLine="420" w:firstLineChars="200"/>
        <w:rPr>
          <w:rFonts w:ascii="Arial" w:hAnsi="Arial" w:eastAsia="宋体" w:cs="Arial"/>
          <w:color w:val="000000" w:themeColor="text1"/>
          <w:szCs w:val="21"/>
          <w14:textFill>
            <w14:solidFill>
              <w14:schemeClr w14:val="tx1"/>
            </w14:solidFill>
          </w14:textFill>
        </w:rPr>
      </w:pPr>
      <w:r>
        <w:rPr>
          <w:rFonts w:ascii="Arial" w:hAnsi="Arial" w:eastAsia="宋体" w:cs="Arial"/>
          <w:color w:val="000000" w:themeColor="text1"/>
          <w:szCs w:val="21"/>
          <w14:textFill>
            <w14:solidFill>
              <w14:schemeClr w14:val="tx1"/>
            </w14:solidFill>
          </w14:textFill>
        </w:rPr>
        <w:t>（3）若对项目采购电子交易系统操作有疑问，可登录“政采云”平台（https://www.gcy.zfcg.gxzf.gov.cn/），点击右侧咨询小采获取采小蜜智能服务管家帮助或点击右侧帮助文档查看供应商指南或拨打政采云服务热线95763获取热线服务帮助。</w:t>
      </w:r>
    </w:p>
    <w:p w14:paraId="45B42038">
      <w:pPr>
        <w:snapToGrid w:val="0"/>
        <w:spacing w:line="300" w:lineRule="auto"/>
        <w:ind w:firstLine="420" w:firstLineChars="200"/>
        <w:rPr>
          <w:rFonts w:hint="eastAsia" w:ascii="Arial" w:hAnsi="Arial" w:eastAsia="宋体" w:cs="Arial"/>
          <w:color w:val="000000" w:themeColor="text1"/>
          <w:szCs w:val="21"/>
          <w:lang w:val="en-US" w:eastAsia="zh-CN"/>
          <w14:textFill>
            <w14:solidFill>
              <w14:schemeClr w14:val="tx1"/>
            </w14:solidFill>
          </w14:textFill>
        </w:rPr>
      </w:pPr>
      <w:r>
        <w:rPr>
          <w:rFonts w:hint="eastAsia" w:ascii="Arial" w:hAnsi="Arial" w:eastAsia="宋体" w:cs="Arial"/>
          <w:color w:val="000000" w:themeColor="text1"/>
          <w:szCs w:val="21"/>
          <w:lang w:val="en-US" w:eastAsia="zh-CN"/>
          <w14:textFill>
            <w14:solidFill>
              <w14:schemeClr w14:val="tx1"/>
            </w14:solidFill>
          </w14:textFill>
        </w:rPr>
        <w:t>5.本项目不采用远程异地评审。</w:t>
      </w:r>
    </w:p>
    <w:p w14:paraId="20D0D7E9">
      <w:pPr>
        <w:snapToGrid w:val="0"/>
        <w:spacing w:line="300" w:lineRule="auto"/>
        <w:ind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eastAsia" w:ascii="Arial" w:hAnsi="Arial" w:eastAsia="宋体" w:cs="Arial"/>
          <w:color w:val="000000" w:themeColor="text1"/>
          <w:szCs w:val="21"/>
          <w:lang w:val="en-US" w:eastAsia="zh-CN"/>
          <w14:textFill>
            <w14:solidFill>
              <w14:schemeClr w14:val="tx1"/>
            </w14:solidFill>
          </w14:textFill>
        </w:rPr>
        <w:t>6.监督管理部门：广西壮族自治区财政厅0771-5339851</w:t>
      </w:r>
    </w:p>
    <w:p w14:paraId="5A9FFDA9">
      <w:pPr>
        <w:spacing w:line="312" w:lineRule="auto"/>
        <w:ind w:firstLine="442" w:firstLineChars="200"/>
        <w:jc w:val="left"/>
        <w:rPr>
          <w:rFonts w:ascii="Arial" w:hAnsi="Arial" w:cs="Arial"/>
          <w:b/>
          <w:bCs/>
          <w:color w:val="000000" w:themeColor="text1"/>
          <w:kern w:val="0"/>
          <w:sz w:val="22"/>
          <w:szCs w:val="22"/>
          <w14:textFill>
            <w14:solidFill>
              <w14:schemeClr w14:val="tx1"/>
            </w14:solidFill>
          </w14:textFill>
        </w:rPr>
      </w:pPr>
      <w:r>
        <w:rPr>
          <w:rFonts w:ascii="Arial" w:hAnsi="Arial" w:cs="Arial"/>
          <w:b/>
          <w:bCs/>
          <w:color w:val="000000" w:themeColor="text1"/>
          <w:kern w:val="0"/>
          <w:sz w:val="22"/>
          <w:szCs w:val="22"/>
          <w14:textFill>
            <w14:solidFill>
              <w14:schemeClr w14:val="tx1"/>
            </w14:solidFill>
          </w14:textFill>
        </w:rPr>
        <w:t>七、对本次招标提出询问，请按以下方式联系</w:t>
      </w:r>
    </w:p>
    <w:p w14:paraId="11555708">
      <w:pPr>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1、采购人信息</w:t>
      </w:r>
    </w:p>
    <w:p w14:paraId="4DB0DB02">
      <w:pPr>
        <w:spacing w:line="312" w:lineRule="auto"/>
        <w:ind w:firstLine="420" w:firstLineChars="200"/>
        <w:jc w:val="left"/>
        <w:rPr>
          <w:rFonts w:ascii="Arial" w:hAnsi="Arial" w:cs="Arial"/>
          <w:color w:val="000000" w:themeColor="text1"/>
          <w:kern w:val="0"/>
          <w:szCs w:val="21"/>
          <w:u w:val="single"/>
          <w14:textFill>
            <w14:solidFill>
              <w14:schemeClr w14:val="tx1"/>
            </w14:solidFill>
          </w14:textFill>
        </w:rPr>
      </w:pPr>
      <w:r>
        <w:rPr>
          <w:rFonts w:ascii="Arial" w:hAnsi="Arial" w:cs="Arial"/>
          <w:color w:val="000000" w:themeColor="text1"/>
          <w:kern w:val="0"/>
          <w:szCs w:val="21"/>
          <w14:textFill>
            <w14:solidFill>
              <w14:schemeClr w14:val="tx1"/>
            </w14:solidFill>
          </w14:textFill>
        </w:rPr>
        <w:t>名称：</w:t>
      </w:r>
      <w:r>
        <w:rPr>
          <w:rFonts w:ascii="Arial" w:hAnsi="Arial" w:cs="Arial"/>
          <w:color w:val="000000" w:themeColor="text1"/>
          <w:kern w:val="0"/>
          <w:szCs w:val="21"/>
          <w:u w:val="single"/>
          <w14:textFill>
            <w14:solidFill>
              <w14:schemeClr w14:val="tx1"/>
            </w14:solidFill>
          </w14:textFill>
        </w:rPr>
        <w:t>广西壮族自治区南溪山医院（广西壮族自治区第二人民医院）</w:t>
      </w:r>
    </w:p>
    <w:p w14:paraId="02FB3878">
      <w:pPr>
        <w:widowControl/>
        <w:spacing w:line="288" w:lineRule="auto"/>
        <w:ind w:left="420" w:left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地址：</w:t>
      </w:r>
      <w:r>
        <w:rPr>
          <w:rFonts w:ascii="Arial" w:hAnsi="Arial" w:cs="Arial"/>
          <w:color w:val="000000" w:themeColor="text1"/>
          <w:kern w:val="0"/>
          <w:szCs w:val="21"/>
          <w:u w:val="single"/>
          <w14:textFill>
            <w14:solidFill>
              <w14:schemeClr w14:val="tx1"/>
            </w14:solidFill>
          </w14:textFill>
        </w:rPr>
        <w:t>桂林市象山区崇信路46号</w:t>
      </w:r>
    </w:p>
    <w:p w14:paraId="0FBD1840">
      <w:pPr>
        <w:widowControl/>
        <w:spacing w:line="288" w:lineRule="auto"/>
        <w:ind w:left="420" w:left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项目联系人：</w:t>
      </w:r>
      <w:r>
        <w:rPr>
          <w:rFonts w:ascii="Arial" w:hAnsi="Arial" w:cs="Arial"/>
          <w:color w:val="000000" w:themeColor="text1"/>
          <w:kern w:val="0"/>
          <w:szCs w:val="21"/>
          <w:u w:val="single"/>
          <w14:textFill>
            <w14:solidFill>
              <w14:schemeClr w14:val="tx1"/>
            </w14:solidFill>
          </w14:textFill>
        </w:rPr>
        <w:t>蔡军</w:t>
      </w:r>
    </w:p>
    <w:p w14:paraId="27E928A6">
      <w:pPr>
        <w:widowControl/>
        <w:spacing w:line="288" w:lineRule="auto"/>
        <w:ind w:left="420" w:left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项目联系方式：</w:t>
      </w:r>
      <w:r>
        <w:rPr>
          <w:rFonts w:ascii="Arial" w:hAnsi="Arial" w:cs="Arial"/>
          <w:color w:val="000000" w:themeColor="text1"/>
          <w:kern w:val="0"/>
          <w:szCs w:val="21"/>
          <w:u w:val="single"/>
          <w14:textFill>
            <w14:solidFill>
              <w14:schemeClr w14:val="tx1"/>
            </w14:solidFill>
          </w14:textFill>
        </w:rPr>
        <w:t>0773-7592156</w:t>
      </w:r>
    </w:p>
    <w:p w14:paraId="1A21CBDF">
      <w:pPr>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2、采购代理机构信息</w:t>
      </w:r>
    </w:p>
    <w:p w14:paraId="68E6018A">
      <w:pPr>
        <w:spacing w:line="312" w:lineRule="auto"/>
        <w:ind w:firstLine="420" w:firstLineChars="200"/>
        <w:jc w:val="left"/>
        <w:rPr>
          <w:rFonts w:ascii="Arial" w:hAnsi="Arial" w:cs="Arial"/>
          <w:color w:val="000000" w:themeColor="text1"/>
          <w:kern w:val="0"/>
          <w:szCs w:val="21"/>
          <w:u w:val="single"/>
          <w14:textFill>
            <w14:solidFill>
              <w14:schemeClr w14:val="tx1"/>
            </w14:solidFill>
          </w14:textFill>
        </w:rPr>
      </w:pPr>
      <w:r>
        <w:rPr>
          <w:rFonts w:ascii="Arial" w:hAnsi="Arial" w:cs="Arial"/>
          <w:color w:val="000000" w:themeColor="text1"/>
          <w:kern w:val="0"/>
          <w:szCs w:val="21"/>
          <w14:textFill>
            <w14:solidFill>
              <w14:schemeClr w14:val="tx1"/>
            </w14:solidFill>
          </w14:textFill>
        </w:rPr>
        <w:t>名称：</w:t>
      </w:r>
      <w:r>
        <w:rPr>
          <w:rFonts w:ascii="Arial" w:hAnsi="Arial" w:cs="Arial"/>
          <w:color w:val="000000" w:themeColor="text1"/>
          <w:kern w:val="0"/>
          <w:szCs w:val="21"/>
          <w:u w:val="single"/>
          <w14:textFill>
            <w14:solidFill>
              <w14:schemeClr w14:val="tx1"/>
            </w14:solidFill>
          </w14:textFill>
        </w:rPr>
        <w:t>广西机电设备招标有限公司</w:t>
      </w:r>
    </w:p>
    <w:p w14:paraId="3E291166">
      <w:pPr>
        <w:spacing w:line="312" w:lineRule="auto"/>
        <w:ind w:firstLine="420" w:firstLineChars="200"/>
        <w:jc w:val="left"/>
        <w:rPr>
          <w:rFonts w:ascii="Arial" w:hAnsi="Arial" w:cs="Arial"/>
          <w:color w:val="000000" w:themeColor="text1"/>
          <w:kern w:val="0"/>
          <w:szCs w:val="21"/>
          <w:u w:val="single"/>
          <w14:textFill>
            <w14:solidFill>
              <w14:schemeClr w14:val="tx1"/>
            </w14:solidFill>
          </w14:textFill>
        </w:rPr>
      </w:pPr>
      <w:r>
        <w:rPr>
          <w:rFonts w:ascii="Arial" w:hAnsi="Arial" w:cs="Arial"/>
          <w:color w:val="000000" w:themeColor="text1"/>
          <w:kern w:val="0"/>
          <w:szCs w:val="21"/>
          <w14:textFill>
            <w14:solidFill>
              <w14:schemeClr w14:val="tx1"/>
            </w14:solidFill>
          </w14:textFill>
        </w:rPr>
        <w:t>地址：</w:t>
      </w:r>
      <w:r>
        <w:rPr>
          <w:rFonts w:ascii="Arial" w:hAnsi="Arial" w:cs="Arial"/>
          <w:color w:val="000000" w:themeColor="text1"/>
          <w:kern w:val="0"/>
          <w:szCs w:val="21"/>
          <w:u w:val="single"/>
          <w14:textFill>
            <w14:solidFill>
              <w14:schemeClr w14:val="tx1"/>
            </w14:solidFill>
          </w14:textFill>
        </w:rPr>
        <w:t>桂林市骖鸾路31号湘商大厦6楼603（桂林分公司）</w:t>
      </w:r>
    </w:p>
    <w:p w14:paraId="425A354E">
      <w:pPr>
        <w:spacing w:line="312" w:lineRule="auto"/>
        <w:ind w:firstLine="420" w:firstLineChars="200"/>
        <w:jc w:val="left"/>
        <w:rPr>
          <w:rFonts w:ascii="Arial" w:hAnsi="Arial" w:cs="Arial"/>
          <w:color w:val="000000" w:themeColor="text1"/>
          <w:kern w:val="0"/>
          <w:szCs w:val="21"/>
          <w:u w:val="single"/>
          <w14:textFill>
            <w14:solidFill>
              <w14:schemeClr w14:val="tx1"/>
            </w14:solidFill>
          </w14:textFill>
        </w:rPr>
      </w:pPr>
      <w:r>
        <w:rPr>
          <w:rFonts w:ascii="Arial" w:hAnsi="Arial" w:cs="Arial"/>
          <w:color w:val="000000" w:themeColor="text1"/>
          <w:kern w:val="0"/>
          <w:szCs w:val="21"/>
          <w14:textFill>
            <w14:solidFill>
              <w14:schemeClr w14:val="tx1"/>
            </w14:solidFill>
          </w14:textFill>
        </w:rPr>
        <w:t>项目联系人：</w:t>
      </w:r>
      <w:r>
        <w:rPr>
          <w:rFonts w:ascii="Arial" w:hAnsi="Arial" w:cs="Arial"/>
          <w:color w:val="000000" w:themeColor="text1"/>
          <w:kern w:val="0"/>
          <w:szCs w:val="21"/>
          <w:u w:val="single"/>
          <w14:textFill>
            <w14:solidFill>
              <w14:schemeClr w14:val="tx1"/>
            </w14:solidFill>
          </w14:textFill>
        </w:rPr>
        <w:t>曾昭卉</w:t>
      </w:r>
      <w:r>
        <w:rPr>
          <w:rFonts w:hint="eastAsia" w:ascii="Arial" w:hAnsi="Arial" w:cs="Arial"/>
          <w:color w:val="000000" w:themeColor="text1"/>
          <w:kern w:val="0"/>
          <w:szCs w:val="21"/>
          <w:u w:val="single"/>
          <w14:textFill>
            <w14:solidFill>
              <w14:schemeClr w14:val="tx1"/>
            </w14:solidFill>
          </w14:textFill>
        </w:rPr>
        <w:t>、栗晓奇</w:t>
      </w:r>
    </w:p>
    <w:p w14:paraId="5BC166DB">
      <w:pPr>
        <w:spacing w:line="312" w:lineRule="auto"/>
        <w:ind w:firstLine="420" w:firstLineChars="200"/>
        <w:jc w:val="left"/>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联系方式：</w:t>
      </w:r>
      <w:r>
        <w:rPr>
          <w:rFonts w:ascii="Arial" w:hAnsi="Arial" w:cs="Arial"/>
          <w:color w:val="000000" w:themeColor="text1"/>
          <w:kern w:val="0"/>
          <w:szCs w:val="21"/>
          <w:u w:val="single"/>
          <w14:textFill>
            <w14:solidFill>
              <w14:schemeClr w14:val="tx1"/>
            </w14:solidFill>
          </w14:textFill>
        </w:rPr>
        <w:t xml:space="preserve"> 0773-3696789转2 </w:t>
      </w:r>
      <w:r>
        <w:rPr>
          <w:rFonts w:ascii="Arial" w:hAnsi="Arial" w:cs="Arial"/>
          <w:color w:val="000000" w:themeColor="text1"/>
          <w:kern w:val="0"/>
          <w:szCs w:val="21"/>
          <w14:textFill>
            <w14:solidFill>
              <w14:schemeClr w14:val="tx1"/>
            </w14:solidFill>
          </w14:textFill>
        </w:rPr>
        <w:t xml:space="preserve"> </w:t>
      </w:r>
    </w:p>
    <w:p w14:paraId="387B0B2C">
      <w:pPr>
        <w:spacing w:line="312" w:lineRule="auto"/>
        <w:ind w:firstLine="360" w:firstLineChars="200"/>
        <w:jc w:val="right"/>
        <w:rPr>
          <w:rFonts w:ascii="Arial" w:hAnsi="Arial" w:cs="Arial"/>
          <w:color w:val="000000" w:themeColor="text1"/>
          <w:kern w:val="0"/>
          <w:sz w:val="18"/>
          <w:szCs w:val="18"/>
          <w14:textFill>
            <w14:solidFill>
              <w14:schemeClr w14:val="tx1"/>
            </w14:solidFill>
          </w14:textFill>
        </w:rPr>
      </w:pPr>
    </w:p>
    <w:p w14:paraId="27E1AD72">
      <w:pPr>
        <w:spacing w:line="288" w:lineRule="auto"/>
        <w:ind w:firstLine="420" w:firstLineChars="200"/>
        <w:jc w:val="right"/>
        <w:rPr>
          <w:rFonts w:ascii="Arial" w:hAnsi="Arial" w:cs="Arial"/>
          <w:color w:val="000000" w:themeColor="text1"/>
          <w:szCs w:val="21"/>
          <w14:textFill>
            <w14:solidFill>
              <w14:schemeClr w14:val="tx1"/>
            </w14:solidFill>
          </w14:textFill>
        </w:rPr>
      </w:pPr>
      <w:bookmarkStart w:id="9" w:name="_Hlk86933897"/>
      <w:bookmarkStart w:id="10" w:name="_Hlk74218063"/>
      <w:r>
        <w:rPr>
          <w:rFonts w:ascii="Arial" w:hAnsi="Arial" w:cs="Arial"/>
          <w:color w:val="000000" w:themeColor="text1"/>
          <w:szCs w:val="21"/>
          <w14:textFill>
            <w14:solidFill>
              <w14:schemeClr w14:val="tx1"/>
            </w14:solidFill>
          </w14:textFill>
        </w:rPr>
        <w:t>广西机电设备招标有限公司</w:t>
      </w:r>
    </w:p>
    <w:bookmarkEnd w:id="9"/>
    <w:bookmarkEnd w:id="10"/>
    <w:p w14:paraId="3B04825F">
      <w:pPr>
        <w:jc w:val="right"/>
        <w:rPr>
          <w:rFonts w:ascii="Arial" w:hAnsi="Arial" w:cs="Arial"/>
          <w:color w:val="000000" w:themeColor="text1"/>
          <w14:textFill>
            <w14:solidFill>
              <w14:schemeClr w14:val="tx1"/>
            </w14:solidFill>
          </w14:textFill>
        </w:rPr>
        <w:sectPr>
          <w:headerReference r:id="rId10" w:type="first"/>
          <w:footerReference r:id="rId12" w:type="first"/>
          <w:headerReference r:id="rId9" w:type="default"/>
          <w:footerReference r:id="rId11" w:type="default"/>
          <w:pgSz w:w="11906" w:h="16838"/>
          <w:pgMar w:top="993" w:right="1133" w:bottom="1246" w:left="1418" w:header="851" w:footer="992" w:gutter="0"/>
          <w:pgNumType w:start="1"/>
          <w:cols w:space="720" w:num="1"/>
          <w:titlePg/>
          <w:docGrid w:linePitch="312" w:charSpace="0"/>
        </w:sectPr>
      </w:pPr>
      <w:r>
        <w:rPr>
          <w:rFonts w:ascii="Arial" w:hAnsi="Arial" w:cs="Arial"/>
          <w:color w:val="000000" w:themeColor="text1"/>
          <w14:textFill>
            <w14:solidFill>
              <w14:schemeClr w14:val="tx1"/>
            </w14:solidFill>
          </w14:textFill>
        </w:rPr>
        <w:t>202</w:t>
      </w:r>
      <w:r>
        <w:rPr>
          <w:rFonts w:hint="eastAsia" w:ascii="Arial" w:hAnsi="Arial" w:cs="Arial"/>
          <w:color w:val="000000" w:themeColor="text1"/>
          <w14:textFill>
            <w14:solidFill>
              <w14:schemeClr w14:val="tx1"/>
            </w14:solidFill>
          </w14:textFill>
        </w:rPr>
        <w:t>6</w:t>
      </w:r>
      <w:r>
        <w:rPr>
          <w:rFonts w:ascii="Arial" w:hAnsi="Arial" w:cs="Arial"/>
          <w:color w:val="000000" w:themeColor="text1"/>
          <w14:textFill>
            <w14:solidFill>
              <w14:schemeClr w14:val="tx1"/>
            </w14:solidFill>
          </w14:textFill>
        </w:rPr>
        <w:t>年</w:t>
      </w:r>
      <w:r>
        <w:rPr>
          <w:rFonts w:hint="eastAsia" w:ascii="Arial" w:hAnsi="Arial" w:cs="Arial"/>
          <w:color w:val="000000" w:themeColor="text1"/>
          <w:lang w:val="en-US" w:eastAsia="zh-CN"/>
          <w14:textFill>
            <w14:solidFill>
              <w14:schemeClr w14:val="tx1"/>
            </w14:solidFill>
          </w14:textFill>
        </w:rPr>
        <w:t>9</w:t>
      </w:r>
      <w:r>
        <w:rPr>
          <w:rFonts w:ascii="Arial" w:hAnsi="Arial" w:cs="Arial"/>
          <w:color w:val="000000" w:themeColor="text1"/>
          <w14:textFill>
            <w14:solidFill>
              <w14:schemeClr w14:val="tx1"/>
            </w14:solidFill>
          </w14:textFill>
        </w:rPr>
        <w:t>月</w:t>
      </w:r>
      <w:r>
        <w:rPr>
          <w:rFonts w:hint="eastAsia" w:ascii="Arial" w:hAnsi="Arial" w:cs="Arial"/>
          <w:color w:val="000000" w:themeColor="text1"/>
          <w:lang w:val="en-US" w:eastAsia="zh-CN"/>
          <w14:textFill>
            <w14:solidFill>
              <w14:schemeClr w14:val="tx1"/>
            </w14:solidFill>
          </w14:textFill>
        </w:rPr>
        <w:t>8</w:t>
      </w:r>
      <w:bookmarkStart w:id="181" w:name="_GoBack"/>
      <w:bookmarkEnd w:id="181"/>
      <w:r>
        <w:rPr>
          <w:rFonts w:hint="eastAsia" w:ascii="Arial" w:hAnsi="Arial" w:cs="Arial"/>
          <w:color w:val="000000" w:themeColor="text1"/>
          <w:lang w:val="en-US" w:eastAsia="zh-CN"/>
          <w14:textFill>
            <w14:solidFill>
              <w14:schemeClr w14:val="tx1"/>
            </w14:solidFill>
          </w14:textFill>
        </w:rPr>
        <w:t xml:space="preserve"> </w:t>
      </w:r>
      <w:r>
        <w:rPr>
          <w:rFonts w:ascii="Arial" w:hAnsi="Arial" w:cs="Arial"/>
          <w:color w:val="000000" w:themeColor="text1"/>
          <w14:textFill>
            <w14:solidFill>
              <w14:schemeClr w14:val="tx1"/>
            </w14:solidFill>
          </w14:textFill>
        </w:rPr>
        <w:t>日</w:t>
      </w:r>
    </w:p>
    <w:p w14:paraId="58E2F603">
      <w:pPr>
        <w:pStyle w:val="30"/>
        <w:snapToGrid w:val="0"/>
        <w:spacing w:before="120" w:after="120" w:line="320" w:lineRule="exact"/>
        <w:jc w:val="center"/>
        <w:outlineLvl w:val="0"/>
        <w:rPr>
          <w:rFonts w:ascii="Arial" w:hAnsi="Arial" w:cs="Arial"/>
          <w:color w:val="000000" w:themeColor="text1"/>
          <w:sz w:val="32"/>
          <w:szCs w:val="32"/>
          <w14:textFill>
            <w14:solidFill>
              <w14:schemeClr w14:val="tx1"/>
            </w14:solidFill>
          </w14:textFill>
        </w:rPr>
      </w:pPr>
      <w:r>
        <w:rPr>
          <w:rFonts w:ascii="Arial" w:hAnsi="Arial" w:cs="Arial"/>
          <w:color w:val="000000" w:themeColor="text1"/>
          <w14:textFill>
            <w14:solidFill>
              <w14:schemeClr w14:val="tx1"/>
            </w14:solidFill>
          </w14:textFill>
        </w:rPr>
        <w:br w:type="page"/>
      </w:r>
      <w:bookmarkEnd w:id="5"/>
      <w:bookmarkEnd w:id="6"/>
      <w:bookmarkStart w:id="11" w:name="_Toc22457"/>
      <w:r>
        <w:rPr>
          <w:rFonts w:ascii="Arial" w:hAnsi="Arial" w:cs="Arial"/>
          <w:color w:val="000000" w:themeColor="text1"/>
          <w:sz w:val="32"/>
          <w:szCs w:val="32"/>
          <w14:textFill>
            <w14:solidFill>
              <w14:schemeClr w14:val="tx1"/>
            </w14:solidFill>
          </w14:textFill>
        </w:rPr>
        <w:t>第二章  项目采购需求</w:t>
      </w:r>
      <w:bookmarkEnd w:id="11"/>
    </w:p>
    <w:p w14:paraId="3387E0E9">
      <w:pPr>
        <w:rPr>
          <w:rFonts w:ascii="Arial" w:hAnsi="Arial" w:cs="Arial"/>
          <w:color w:val="000000" w:themeColor="text1"/>
          <w:szCs w:val="21"/>
          <w14:textFill>
            <w14:solidFill>
              <w14:schemeClr w14:val="tx1"/>
            </w14:solidFill>
          </w14:textFill>
        </w:rPr>
      </w:pPr>
      <w:bookmarkStart w:id="12" w:name="_Toc254970631"/>
      <w:bookmarkStart w:id="13" w:name="_Toc254970490"/>
    </w:p>
    <w:p w14:paraId="1A58A19E">
      <w:pPr>
        <w:pStyle w:val="21"/>
        <w:keepNext w:val="0"/>
        <w:keepLines w:val="0"/>
        <w:pageBreakBefore w:val="0"/>
        <w:kinsoku/>
        <w:overflowPunct/>
        <w:topLinePunct w:val="0"/>
        <w:bidi w:val="0"/>
        <w:adjustRightInd/>
        <w:snapToGrid/>
        <w:spacing w:before="120" w:beforeLines="50" w:after="120" w:afterLines="50" w:line="360" w:lineRule="exact"/>
        <w:ind w:firstLine="422" w:firstLineChars="200"/>
        <w:rPr>
          <w:rFonts w:hint="eastAsia" w:ascii="宋体" w:hAnsi="宋体" w:eastAsia="宋体" w:cs="宋体"/>
          <w:color w:val="000000"/>
          <w:sz w:val="21"/>
          <w:szCs w:val="21"/>
          <w:highlight w:val="none"/>
          <w:lang w:eastAsia="zh-CN"/>
        </w:rPr>
      </w:pPr>
      <w:r>
        <w:rPr>
          <w:rFonts w:hint="eastAsia" w:ascii="宋体" w:hAnsi="宋体" w:eastAsia="宋体" w:cs="宋体"/>
          <w:b/>
          <w:color w:val="000000"/>
          <w:sz w:val="21"/>
          <w:szCs w:val="21"/>
          <w:highlight w:val="none"/>
        </w:rPr>
        <w:t>一、本项目需实现的功能或者目标</w:t>
      </w:r>
    </w:p>
    <w:p w14:paraId="3FD7B6DA">
      <w:pPr>
        <w:pStyle w:val="21"/>
        <w:keepNext w:val="0"/>
        <w:keepLines w:val="0"/>
        <w:pageBreakBefore w:val="0"/>
        <w:widowControl w:val="0"/>
        <w:kinsoku/>
        <w:wordWrap/>
        <w:overflowPunct/>
        <w:topLinePunct w:val="0"/>
        <w:autoSpaceDE/>
        <w:autoSpaceDN/>
        <w:bidi w:val="0"/>
        <w:adjustRightInd/>
        <w:snapToGrid/>
        <w:spacing w:after="0" w:line="360" w:lineRule="exact"/>
        <w:ind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满足</w:t>
      </w:r>
      <w:r>
        <w:rPr>
          <w:rFonts w:hint="eastAsia" w:ascii="宋体" w:hAnsi="宋体" w:eastAsia="宋体" w:cs="宋体"/>
          <w:color w:val="000000"/>
          <w:sz w:val="21"/>
          <w:szCs w:val="21"/>
          <w:highlight w:val="none"/>
          <w:lang w:eastAsia="zh-CN"/>
        </w:rPr>
        <w:t>招标</w:t>
      </w:r>
      <w:r>
        <w:rPr>
          <w:rFonts w:hint="eastAsia" w:ascii="宋体" w:hAnsi="宋体" w:eastAsia="宋体" w:cs="宋体"/>
          <w:color w:val="000000"/>
          <w:sz w:val="21"/>
          <w:szCs w:val="21"/>
          <w:highlight w:val="none"/>
        </w:rPr>
        <w:t>文件采购需求及采购合同约定需求，经验收达到合格标准。本项目如有国家相关标准、行业标准、地方标准或者其他标准、规范的，应执行相应的标准、规范。如具体采购需求与标准、规范不一致的</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高于标准、规范的按具体采购需求执行</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低于标准、规范的按标准、规范执行。投标人所投标货物或服务如国家有强制性要求的应按国家规定执行。</w:t>
      </w:r>
    </w:p>
    <w:p w14:paraId="20045108">
      <w:pPr>
        <w:pStyle w:val="21"/>
        <w:keepNext w:val="0"/>
        <w:keepLines w:val="0"/>
        <w:pageBreakBefore w:val="0"/>
        <w:kinsoku/>
        <w:overflowPunct/>
        <w:topLinePunct w:val="0"/>
        <w:bidi w:val="0"/>
        <w:adjustRightInd/>
        <w:snapToGrid/>
        <w:spacing w:before="120" w:beforeLines="50" w:after="120" w:afterLines="50" w:line="360" w:lineRule="exact"/>
        <w:ind w:firstLine="420" w:firstLineChars="200"/>
        <w:rPr>
          <w:rFonts w:hint="eastAsia" w:ascii="宋体" w:hAnsi="宋体" w:eastAsia="宋体" w:cs="宋体"/>
          <w:b/>
          <w:bCs/>
          <w:color w:val="000000"/>
          <w:sz w:val="21"/>
          <w:szCs w:val="21"/>
          <w:highlight w:val="none"/>
          <w:lang w:eastAsia="zh-CN"/>
        </w:rPr>
      </w:pPr>
      <w:r>
        <w:rPr>
          <w:rFonts w:hint="eastAsia" w:ascii="宋体" w:hAnsi="宋体" w:eastAsia="宋体" w:cs="宋体"/>
          <w:color w:val="000000"/>
          <w:sz w:val="21"/>
          <w:szCs w:val="21"/>
          <w:highlight w:val="none"/>
          <w:lang w:eastAsia="zh-CN"/>
        </w:rPr>
        <w:t>二、</w:t>
      </w:r>
      <w:r>
        <w:rPr>
          <w:rFonts w:hint="eastAsia" w:ascii="宋体" w:hAnsi="宋体" w:eastAsia="宋体" w:cs="宋体"/>
          <w:b/>
          <w:bCs/>
          <w:color w:val="000000"/>
          <w:sz w:val="21"/>
          <w:szCs w:val="21"/>
          <w:highlight w:val="none"/>
        </w:rPr>
        <w:t>落实政府采购政策需满足的要求</w:t>
      </w:r>
    </w:p>
    <w:p w14:paraId="6C1FA0D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lang w:eastAsia="zh-CN"/>
        </w:rPr>
        <w:t>1.</w:t>
      </w:r>
      <w:r>
        <w:rPr>
          <w:rFonts w:hint="eastAsia" w:ascii="宋体" w:hAnsi="宋体" w:eastAsia="宋体" w:cs="宋体"/>
          <w:color w:val="000000"/>
          <w:kern w:val="0"/>
          <w:sz w:val="21"/>
          <w:szCs w:val="21"/>
          <w:highlight w:val="none"/>
        </w:rPr>
        <w:t xml:space="preserve"> 需要落实的政府采购政策详见</w:t>
      </w:r>
      <w:r>
        <w:rPr>
          <w:rFonts w:hint="eastAsia" w:ascii="宋体" w:hAnsi="宋体" w:eastAsia="宋体" w:cs="宋体"/>
          <w:color w:val="000000"/>
          <w:kern w:val="0"/>
          <w:sz w:val="21"/>
          <w:szCs w:val="21"/>
          <w:highlight w:val="none"/>
          <w:lang w:eastAsia="zh-CN"/>
        </w:rPr>
        <w:t>招标</w:t>
      </w:r>
      <w:r>
        <w:rPr>
          <w:rFonts w:hint="eastAsia" w:ascii="宋体" w:hAnsi="宋体" w:eastAsia="宋体" w:cs="宋体"/>
          <w:color w:val="000000"/>
          <w:kern w:val="0"/>
          <w:sz w:val="21"/>
          <w:szCs w:val="21"/>
          <w:highlight w:val="none"/>
        </w:rPr>
        <w:t>公告，</w:t>
      </w:r>
      <w:r>
        <w:rPr>
          <w:rFonts w:hint="eastAsia" w:ascii="宋体" w:hAnsi="宋体" w:eastAsia="宋体" w:cs="宋体"/>
          <w:bCs/>
          <w:color w:val="000000"/>
          <w:sz w:val="21"/>
          <w:szCs w:val="21"/>
          <w:highlight w:val="none"/>
        </w:rPr>
        <w:t>本招标文件所称中小企业必须符合《政府采购促进中小企业发展管理办法》（财库〔2020〕46号）的规定。</w:t>
      </w:r>
    </w:p>
    <w:p w14:paraId="3AA16D4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lang w:eastAsia="zh-CN"/>
        </w:rPr>
        <w:t>2.</w:t>
      </w:r>
      <w:r>
        <w:rPr>
          <w:rFonts w:hint="eastAsia" w:ascii="宋体" w:hAnsi="宋体" w:eastAsia="宋体" w:cs="宋体"/>
          <w:bCs/>
          <w:color w:val="000000"/>
          <w:sz w:val="21"/>
          <w:szCs w:val="21"/>
          <w:highlight w:val="none"/>
        </w:rPr>
        <w:t xml:space="preserve">根据《财政部 发展改革委 </w:t>
      </w:r>
      <w:r>
        <w:rPr>
          <w:rFonts w:hint="eastAsia" w:ascii="宋体" w:hAnsi="宋体" w:eastAsia="宋体" w:cs="宋体"/>
          <w:bCs/>
          <w:color w:val="000000"/>
          <w:spacing w:val="-6"/>
          <w:sz w:val="21"/>
          <w:szCs w:val="21"/>
          <w:highlight w:val="none"/>
        </w:rPr>
        <w:t>生态环境部 市场监管总局关于调整优化节能产品</w:t>
      </w:r>
      <w:r>
        <w:rPr>
          <w:rFonts w:hint="eastAsia" w:ascii="宋体" w:hAnsi="宋体" w:eastAsia="宋体" w:cs="宋体"/>
          <w:bCs/>
          <w:color w:val="000000"/>
          <w:spacing w:val="-6"/>
          <w:sz w:val="21"/>
          <w:szCs w:val="21"/>
          <w:highlight w:val="none"/>
          <w:lang w:eastAsia="zh-CN"/>
        </w:rPr>
        <w:t>、</w:t>
      </w:r>
      <w:r>
        <w:rPr>
          <w:rFonts w:hint="eastAsia" w:ascii="宋体" w:hAnsi="宋体" w:eastAsia="宋体" w:cs="宋体"/>
          <w:bCs/>
          <w:color w:val="000000"/>
          <w:sz w:val="21"/>
          <w:szCs w:val="21"/>
          <w:highlight w:val="none"/>
        </w:rPr>
        <w:t>环境标志产品政府采购执行机制的通知》（财库〔2019〕9号）和《关于印发节能产品政府采购品目清单的通知》（财库〔2019〕19号）的规定，采购需求中的产品属于节能产品政府采购品目清单内标注“</w:t>
      </w:r>
      <w:r>
        <w:rPr>
          <w:rFonts w:hint="eastAsia" w:ascii="宋体" w:hAnsi="宋体" w:eastAsia="宋体" w:cs="宋体"/>
          <w:b/>
          <w:color w:val="000000"/>
          <w:sz w:val="21"/>
          <w:szCs w:val="21"/>
          <w:highlight w:val="none"/>
        </w:rPr>
        <w:t>★</w:t>
      </w:r>
      <w:r>
        <w:rPr>
          <w:rFonts w:hint="eastAsia" w:ascii="宋体" w:hAnsi="宋体" w:eastAsia="宋体" w:cs="宋体"/>
          <w:bCs/>
          <w:color w:val="000000"/>
          <w:sz w:val="21"/>
          <w:szCs w:val="21"/>
          <w:highlight w:val="none"/>
        </w:rPr>
        <w:t>”的（详见本章后附的节能产品政府采购品目清单），投标人的投标货物必须使用政府强制采购的节能产品，投标人必须在投标文件中提供所投标产品的节能产品认证证书复印件（加盖投标人公章），否则按无效投标处理。如本项目包含的货物</w:t>
      </w:r>
      <w:r>
        <w:rPr>
          <w:rFonts w:hint="eastAsia" w:ascii="宋体" w:hAnsi="宋体" w:eastAsia="宋体" w:cs="宋体"/>
          <w:bCs/>
          <w:color w:val="000000"/>
          <w:sz w:val="21"/>
          <w:szCs w:val="21"/>
          <w:highlight w:val="none"/>
          <w:lang w:val="en-US" w:eastAsia="zh-CN"/>
        </w:rPr>
        <w:t>有</w:t>
      </w:r>
      <w:r>
        <w:rPr>
          <w:rFonts w:hint="eastAsia" w:ascii="宋体" w:hAnsi="宋体" w:eastAsia="宋体" w:cs="宋体"/>
          <w:bCs/>
          <w:color w:val="000000"/>
          <w:sz w:val="21"/>
          <w:szCs w:val="21"/>
          <w:highlight w:val="none"/>
        </w:rPr>
        <w:t>属于品目清单内非标注“</w:t>
      </w:r>
      <w:r>
        <w:rPr>
          <w:rFonts w:hint="eastAsia" w:ascii="宋体" w:hAnsi="宋体" w:eastAsia="宋体" w:cs="宋体"/>
          <w:b/>
          <w:color w:val="000000"/>
          <w:sz w:val="21"/>
          <w:szCs w:val="21"/>
          <w:highlight w:val="none"/>
        </w:rPr>
        <w:t>★</w:t>
      </w:r>
      <w:r>
        <w:rPr>
          <w:rFonts w:hint="eastAsia" w:ascii="宋体" w:hAnsi="宋体" w:eastAsia="宋体" w:cs="宋体"/>
          <w:bCs/>
          <w:color w:val="000000"/>
          <w:sz w:val="21"/>
          <w:szCs w:val="21"/>
          <w:highlight w:val="none"/>
        </w:rPr>
        <w:t>”的产品时，应优先采购，具体详见“第四章 评标方法及评标标准”。</w:t>
      </w:r>
    </w:p>
    <w:p w14:paraId="51AA6ADA">
      <w:pPr>
        <w:pStyle w:val="21"/>
        <w:keepNext w:val="0"/>
        <w:keepLines w:val="0"/>
        <w:pageBreakBefore w:val="0"/>
        <w:widowControl w:val="0"/>
        <w:kinsoku/>
        <w:wordWrap/>
        <w:overflowPunct/>
        <w:topLinePunct w:val="0"/>
        <w:autoSpaceDE/>
        <w:autoSpaceDN/>
        <w:bidi w:val="0"/>
        <w:adjustRightInd/>
        <w:snapToGrid/>
        <w:spacing w:after="0" w:line="360" w:lineRule="exact"/>
        <w:ind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bCs/>
          <w:color w:val="000000"/>
          <w:sz w:val="21"/>
          <w:szCs w:val="21"/>
          <w:highlight w:val="none"/>
          <w:lang w:eastAsia="zh-CN"/>
        </w:rPr>
        <w:t>3.</w:t>
      </w:r>
      <w:r>
        <w:rPr>
          <w:rFonts w:hint="eastAsia" w:ascii="宋体" w:hAnsi="宋体" w:eastAsia="宋体" w:cs="宋体"/>
          <w:color w:val="000000"/>
          <w:sz w:val="21"/>
          <w:szCs w:val="21"/>
          <w:highlight w:val="none"/>
        </w:rPr>
        <w:t>根据《关于调整网络安全专用产品安全管理有关事项的公告》（2023年1号）规定，本项目采购需求中的产品如果包括《网络关键设备和网络安全专用产品目录》的网络安全专用产品，供应商在投标文件中应主动列明供货范围中属于网络安全专用产品的投标产品，并在投标文件（商务及技术文件）中提供由中共中央网络安全和信息化委员会办公室网站（</w:t>
      </w:r>
      <w:r>
        <w:rPr>
          <w:rFonts w:hint="eastAsia" w:ascii="宋体" w:hAnsi="宋体" w:eastAsia="宋体" w:cs="宋体"/>
          <w:color w:val="000000"/>
          <w:spacing w:val="-2"/>
          <w:sz w:val="21"/>
          <w:szCs w:val="21"/>
          <w:highlight w:val="none"/>
        </w:rPr>
        <w:t>http://www.cac.gov.cn/index.htm</w:t>
      </w:r>
      <w:r>
        <w:rPr>
          <w:rFonts w:hint="eastAsia" w:ascii="宋体" w:hAnsi="宋体" w:eastAsia="宋体" w:cs="宋体"/>
          <w:color w:val="000000"/>
          <w:sz w:val="21"/>
          <w:szCs w:val="21"/>
          <w:highlight w:val="none"/>
        </w:rPr>
        <w:t>）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如属于《网络关键设备和网络安全专用产品目录》中网络安全专用产品的类别，但不符合目录中所列“产品描述”的产品，应提供相应的说明及证明材料。</w:t>
      </w:r>
    </w:p>
    <w:p w14:paraId="5D0D4726">
      <w:pPr>
        <w:pStyle w:val="21"/>
        <w:keepNext w:val="0"/>
        <w:keepLines w:val="0"/>
        <w:pageBreakBefore w:val="0"/>
        <w:kinsoku/>
        <w:overflowPunct/>
        <w:topLinePunct w:val="0"/>
        <w:bidi w:val="0"/>
        <w:adjustRightInd/>
        <w:snapToGrid/>
        <w:spacing w:before="120" w:beforeLines="50" w:after="120" w:afterLines="50" w:line="360" w:lineRule="exact"/>
        <w:ind w:firstLine="420" w:firstLineChars="20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三、</w:t>
      </w:r>
      <w:r>
        <w:rPr>
          <w:rFonts w:hint="eastAsia" w:ascii="宋体" w:hAnsi="宋体" w:eastAsia="宋体" w:cs="宋体"/>
          <w:b/>
          <w:color w:val="000000"/>
          <w:sz w:val="21"/>
          <w:szCs w:val="21"/>
          <w:highlight w:val="none"/>
        </w:rPr>
        <w:t>是否接受进口产品</w:t>
      </w:r>
    </w:p>
    <w:p w14:paraId="3A7B57C4">
      <w:pPr>
        <w:pStyle w:val="21"/>
        <w:keepNext w:val="0"/>
        <w:keepLines w:val="0"/>
        <w:pageBreakBefore w:val="0"/>
        <w:kinsoku/>
        <w:overflowPunct/>
        <w:topLinePunct w:val="0"/>
        <w:bidi w:val="0"/>
        <w:adjustRightInd/>
        <w:snapToGrid/>
        <w:spacing w:line="360" w:lineRule="exact"/>
        <w:ind w:firstLine="442" w:firstLineChars="200"/>
        <w:rPr>
          <w:rFonts w:hint="eastAsia" w:ascii="宋体" w:hAnsi="宋体" w:eastAsia="宋体" w:cs="宋体"/>
          <w:b/>
          <w:color w:val="000000"/>
          <w:sz w:val="22"/>
          <w:szCs w:val="22"/>
          <w:highlight w:val="none"/>
          <w:lang w:eastAsia="zh-CN"/>
        </w:rPr>
      </w:pPr>
      <w:r>
        <w:rPr>
          <w:rFonts w:hint="eastAsia" w:ascii="宋体" w:hAnsi="宋体" w:eastAsia="宋体" w:cs="宋体"/>
          <w:b/>
          <w:bCs/>
          <w:color w:val="000000"/>
          <w:sz w:val="22"/>
          <w:szCs w:val="22"/>
          <w:highlight w:val="none"/>
        </w:rPr>
        <w:t>本项目</w:t>
      </w:r>
      <w:r>
        <w:rPr>
          <w:rFonts w:hint="eastAsia" w:ascii="宋体" w:hAnsi="宋体" w:eastAsia="宋体" w:cs="宋体"/>
          <w:b/>
          <w:bCs/>
          <w:color w:val="000000"/>
          <w:sz w:val="22"/>
          <w:szCs w:val="22"/>
          <w:highlight w:val="none"/>
          <w:lang w:eastAsia="zh-CN"/>
        </w:rPr>
        <w:t>不</w:t>
      </w:r>
      <w:r>
        <w:rPr>
          <w:rFonts w:hint="eastAsia" w:ascii="宋体" w:hAnsi="宋体" w:eastAsia="宋体" w:cs="宋体"/>
          <w:b/>
          <w:bCs/>
          <w:color w:val="000000"/>
          <w:sz w:val="22"/>
          <w:szCs w:val="22"/>
          <w:highlight w:val="none"/>
        </w:rPr>
        <w:t>接受进口产品参与投标。</w:t>
      </w:r>
    </w:p>
    <w:p w14:paraId="6633EBC6">
      <w:pPr>
        <w:pStyle w:val="21"/>
        <w:keepNext w:val="0"/>
        <w:keepLines w:val="0"/>
        <w:pageBreakBefore w:val="0"/>
        <w:kinsoku/>
        <w:overflowPunct/>
        <w:topLinePunct w:val="0"/>
        <w:bidi w:val="0"/>
        <w:adjustRightInd/>
        <w:snapToGrid/>
        <w:spacing w:before="120" w:beforeLines="50" w:after="120" w:afterLines="50" w:line="360" w:lineRule="exact"/>
        <w:ind w:firstLine="422" w:firstLineChars="200"/>
        <w:rPr>
          <w:rFonts w:hint="eastAsia" w:ascii="宋体" w:hAnsi="宋体" w:eastAsia="宋体" w:cs="宋体"/>
          <w:color w:val="000000"/>
          <w:sz w:val="21"/>
          <w:szCs w:val="21"/>
          <w:highlight w:val="none"/>
          <w:lang w:eastAsia="zh-CN"/>
        </w:rPr>
      </w:pPr>
      <w:r>
        <w:rPr>
          <w:rFonts w:hint="eastAsia" w:ascii="宋体" w:hAnsi="宋体" w:eastAsia="宋体" w:cs="宋体"/>
          <w:b/>
          <w:color w:val="000000"/>
          <w:sz w:val="21"/>
          <w:szCs w:val="21"/>
          <w:highlight w:val="none"/>
          <w:lang w:eastAsia="zh-CN"/>
        </w:rPr>
        <w:t>四、其他</w:t>
      </w:r>
      <w:r>
        <w:rPr>
          <w:rFonts w:hint="eastAsia" w:ascii="宋体" w:hAnsi="宋体" w:eastAsia="宋体" w:cs="宋体"/>
          <w:b/>
          <w:color w:val="000000"/>
          <w:sz w:val="21"/>
          <w:szCs w:val="21"/>
          <w:highlight w:val="none"/>
        </w:rPr>
        <w:t>说明</w:t>
      </w:r>
    </w:p>
    <w:p w14:paraId="240B717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bCs/>
          <w:color w:val="000000"/>
          <w:sz w:val="21"/>
          <w:szCs w:val="21"/>
          <w:highlight w:val="none"/>
          <w:lang w:eastAsia="zh-CN"/>
        </w:rPr>
      </w:pPr>
      <w:r>
        <w:rPr>
          <w:rFonts w:hint="eastAsia" w:ascii="宋体" w:hAnsi="宋体" w:eastAsia="宋体" w:cs="宋体"/>
          <w:bCs/>
          <w:color w:val="000000"/>
          <w:sz w:val="21"/>
          <w:szCs w:val="21"/>
          <w:highlight w:val="none"/>
          <w:lang w:eastAsia="zh-CN"/>
        </w:rPr>
        <w:t>1.</w:t>
      </w:r>
      <w:r>
        <w:rPr>
          <w:rFonts w:hint="eastAsia" w:ascii="宋体" w:hAnsi="宋体" w:eastAsia="宋体" w:cs="宋体"/>
          <w:bCs/>
          <w:color w:val="000000"/>
          <w:sz w:val="21"/>
          <w:szCs w:val="21"/>
          <w:highlight w:val="none"/>
        </w:rPr>
        <w:t>“实质性要求”是指招标文件中已经指明不满足则投标无效的条款，或者不能负偏离的条款，或者采购需求中带“▲”的条款</w:t>
      </w:r>
      <w:r>
        <w:rPr>
          <w:rFonts w:hint="eastAsia" w:ascii="宋体" w:hAnsi="宋体" w:eastAsia="宋体" w:cs="宋体"/>
          <w:bCs/>
          <w:color w:val="000000"/>
          <w:sz w:val="21"/>
          <w:szCs w:val="21"/>
          <w:highlight w:val="none"/>
          <w:lang w:val="en-US" w:eastAsia="zh-CN"/>
        </w:rPr>
        <w:t>(如有)</w:t>
      </w:r>
      <w:r>
        <w:rPr>
          <w:rFonts w:hint="eastAsia" w:ascii="宋体" w:hAnsi="宋体" w:eastAsia="宋体" w:cs="宋体"/>
          <w:bCs/>
          <w:color w:val="000000"/>
          <w:sz w:val="21"/>
          <w:szCs w:val="21"/>
          <w:highlight w:val="none"/>
        </w:rPr>
        <w:t>，</w:t>
      </w:r>
      <w:r>
        <w:rPr>
          <w:rFonts w:hint="eastAsia" w:ascii="宋体" w:hAnsi="宋体" w:eastAsia="宋体" w:cs="宋体"/>
          <w:b/>
          <w:bCs w:val="0"/>
          <w:color w:val="000000"/>
          <w:sz w:val="21"/>
          <w:szCs w:val="21"/>
          <w:highlight w:val="none"/>
        </w:rPr>
        <w:t>不满足将作投标文件无效处理。</w:t>
      </w:r>
      <w:r>
        <w:rPr>
          <w:rFonts w:hint="eastAsia" w:ascii="宋体" w:hAnsi="宋体" w:eastAsia="宋体" w:cs="宋体"/>
          <w:bCs/>
          <w:color w:val="000000"/>
          <w:sz w:val="21"/>
          <w:szCs w:val="21"/>
          <w:highlight w:val="none"/>
        </w:rPr>
        <w:t>标注“●”的条款或要求（如有）系指重要技术参数或条款，未标注“▲”及“●”的条款或要求系指一般技术参数或条款，重要技术参数或条款及一般技术参数或条款均允许负偏离，如存在负偏离将导致被扣分，具体详见“第四章 评分办法”。</w:t>
      </w:r>
    </w:p>
    <w:p w14:paraId="6CE4E7C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2.本表中如提及品牌型号，仅起参考作用</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eastAsia="zh-CN" w:bidi="ar"/>
        </w:rPr>
        <w:t>不属于指定品牌、型号或者生产厂家的情形。</w:t>
      </w:r>
      <w:r>
        <w:rPr>
          <w:rFonts w:hint="eastAsia" w:ascii="宋体" w:hAnsi="宋体" w:eastAsia="宋体" w:cs="宋体"/>
          <w:color w:val="000000"/>
          <w:sz w:val="21"/>
          <w:szCs w:val="21"/>
          <w:highlight w:val="none"/>
        </w:rPr>
        <w:t>供应商可选用其他品牌型号替代，但这些替代的品牌型号要实质上参照或相当于或优于参考品牌型号及其技术参数性能（配置）要求。</w:t>
      </w:r>
    </w:p>
    <w:p w14:paraId="7F84E73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bidi="ar"/>
        </w:rPr>
        <w:t xml:space="preserve">3.投标人必须对投标文件中提供的证明材料和资质文件真实性负责，如出现虚假应标情况，投标人除了应接受有关部门的处罚外，还应依据《中华人民共和国民法典》的相关条款来确定赔偿金额。 </w:t>
      </w:r>
    </w:p>
    <w:p w14:paraId="4EE3CF54">
      <w:pPr>
        <w:keepNext w:val="0"/>
        <w:keepLines w:val="0"/>
        <w:pageBreakBefore w:val="0"/>
        <w:widowControl w:val="0"/>
        <w:tabs>
          <w:tab w:val="left" w:pos="1305"/>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4.投标人应对投标内容所涉及的专利承担法律责任，并负责保护采购人的利益不受任何损害。一切由于文字、商标、技术和软件专利授权引起的法律裁决、诉讼和赔偿费用均由中标人负责。</w:t>
      </w:r>
    </w:p>
    <w:p w14:paraId="28A105B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bidi="ar"/>
        </w:rPr>
        <w:t>5.</w:t>
      </w:r>
      <w:r>
        <w:rPr>
          <w:rFonts w:hint="eastAsia" w:ascii="宋体" w:hAnsi="宋体" w:eastAsia="宋体" w:cs="宋体"/>
          <w:color w:val="000000"/>
          <w:sz w:val="21"/>
          <w:szCs w:val="21"/>
          <w:highlight w:val="none"/>
        </w:rPr>
        <w:t>投标人应根据自身实际情况如实响应招标文件，对招标文件提出的要求和条件作出明确响应，</w:t>
      </w:r>
      <w:r>
        <w:rPr>
          <w:rFonts w:hint="eastAsia" w:ascii="宋体" w:hAnsi="宋体" w:eastAsia="宋体" w:cs="宋体"/>
          <w:b/>
          <w:bCs/>
          <w:color w:val="000000"/>
          <w:sz w:val="21"/>
          <w:szCs w:val="21"/>
          <w:highlight w:val="none"/>
        </w:rPr>
        <w:t>否则将作无效响应处理</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招标文件的技术参数如要求投标文件</w:t>
      </w:r>
      <w:r>
        <w:rPr>
          <w:rFonts w:hint="eastAsia" w:ascii="宋体" w:hAnsi="宋体" w:eastAsia="宋体" w:cs="宋体"/>
          <w:color w:val="000000"/>
          <w:sz w:val="21"/>
          <w:szCs w:val="21"/>
          <w:highlight w:val="none"/>
        </w:rPr>
        <w:t>提供技术支持资料</w:t>
      </w:r>
      <w:r>
        <w:rPr>
          <w:rFonts w:hint="eastAsia" w:ascii="宋体" w:hAnsi="宋体" w:eastAsia="宋体" w:cs="宋体"/>
          <w:color w:val="000000"/>
          <w:sz w:val="21"/>
          <w:szCs w:val="21"/>
          <w:highlight w:val="none"/>
          <w:lang w:eastAsia="zh-CN"/>
        </w:rPr>
        <w:t>的，</w:t>
      </w:r>
      <w:r>
        <w:rPr>
          <w:rFonts w:hint="eastAsia" w:ascii="宋体" w:hAnsi="宋体" w:eastAsia="宋体" w:cs="宋体"/>
          <w:color w:val="000000"/>
          <w:sz w:val="21"/>
          <w:szCs w:val="21"/>
          <w:highlight w:val="none"/>
        </w:rPr>
        <w:t>技术支持资料以招标文件中规定的形式为准</w:t>
      </w:r>
      <w:r>
        <w:rPr>
          <w:rFonts w:hint="eastAsia" w:ascii="宋体" w:hAnsi="宋体" w:eastAsia="宋体" w:cs="宋体"/>
          <w:b/>
          <w:color w:val="000000"/>
          <w:sz w:val="21"/>
          <w:szCs w:val="21"/>
          <w:highlight w:val="none"/>
        </w:rPr>
        <w:t>，</w:t>
      </w:r>
      <w:r>
        <w:rPr>
          <w:rFonts w:hint="eastAsia" w:ascii="宋体" w:hAnsi="宋体" w:eastAsia="宋体" w:cs="宋体"/>
          <w:b/>
          <w:bCs/>
          <w:color w:val="000000"/>
          <w:sz w:val="21"/>
          <w:szCs w:val="21"/>
          <w:highlight w:val="none"/>
        </w:rPr>
        <w:t>否则将视为无效技术支持资料</w:t>
      </w:r>
      <w:r>
        <w:rPr>
          <w:rFonts w:hint="eastAsia" w:ascii="宋体" w:hAnsi="宋体" w:eastAsia="宋体" w:cs="宋体"/>
          <w:color w:val="000000"/>
          <w:sz w:val="21"/>
          <w:szCs w:val="21"/>
          <w:highlight w:val="none"/>
        </w:rPr>
        <w:t>。</w:t>
      </w:r>
    </w:p>
    <w:p w14:paraId="2AAD1F05">
      <w:pPr>
        <w:pStyle w:val="21"/>
        <w:keepNext w:val="0"/>
        <w:keepLines w:val="0"/>
        <w:pageBreakBefore w:val="0"/>
        <w:widowControl w:val="0"/>
        <w:kinsoku/>
        <w:wordWrap/>
        <w:overflowPunct/>
        <w:topLinePunct w:val="0"/>
        <w:autoSpaceDE/>
        <w:autoSpaceDN/>
        <w:bidi w:val="0"/>
        <w:adjustRightInd/>
        <w:snapToGrid/>
        <w:spacing w:after="0" w:line="360" w:lineRule="exact"/>
        <w:ind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6</w:t>
      </w:r>
      <w:r>
        <w:rPr>
          <w:rFonts w:hint="eastAsia" w:ascii="宋体" w:hAnsi="宋体" w:eastAsia="宋体" w:cs="宋体"/>
          <w:color w:val="000000"/>
          <w:sz w:val="21"/>
          <w:szCs w:val="21"/>
          <w:highlight w:val="none"/>
        </w:rPr>
        <w:t>.招标文件如要求提供检测报告、认证证书的</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检测报告或认证报告内容中若涉及外文说明</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必须同时提供对应中文翻译说明</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评标依据以中文翻译内容为准，外文说明仅供参考</w:t>
      </w:r>
      <w:r>
        <w:rPr>
          <w:rFonts w:hint="eastAsia" w:ascii="宋体" w:hAnsi="宋体" w:eastAsia="宋体" w:cs="宋体"/>
          <w:color w:val="000000"/>
          <w:sz w:val="21"/>
          <w:szCs w:val="21"/>
          <w:highlight w:val="none"/>
          <w:lang w:eastAsia="zh-CN"/>
        </w:rPr>
        <w:t>，如未提供中文翻译件，</w:t>
      </w:r>
      <w:r>
        <w:rPr>
          <w:rFonts w:hint="eastAsia" w:ascii="宋体" w:hAnsi="宋体" w:eastAsia="宋体" w:cs="宋体"/>
          <w:color w:val="000000"/>
          <w:sz w:val="21"/>
          <w:szCs w:val="21"/>
          <w:highlight w:val="none"/>
        </w:rPr>
        <w:t>其不利后果由</w:t>
      </w:r>
      <w:r>
        <w:rPr>
          <w:rFonts w:hint="eastAsia" w:ascii="宋体" w:hAnsi="宋体" w:eastAsia="宋体" w:cs="宋体"/>
          <w:color w:val="000000"/>
          <w:sz w:val="21"/>
          <w:szCs w:val="21"/>
          <w:highlight w:val="none"/>
          <w:lang w:eastAsia="zh-CN"/>
        </w:rPr>
        <w:t>投标人</w:t>
      </w:r>
      <w:r>
        <w:rPr>
          <w:rFonts w:hint="eastAsia" w:ascii="宋体" w:hAnsi="宋体" w:eastAsia="宋体" w:cs="宋体"/>
          <w:color w:val="000000"/>
          <w:sz w:val="21"/>
          <w:szCs w:val="21"/>
          <w:highlight w:val="none"/>
        </w:rPr>
        <w:t>自行承担。</w:t>
      </w:r>
    </w:p>
    <w:p w14:paraId="3CF1E4A0">
      <w:pPr>
        <w:pStyle w:val="21"/>
        <w:keepNext w:val="0"/>
        <w:keepLines w:val="0"/>
        <w:pageBreakBefore w:val="0"/>
        <w:kinsoku/>
        <w:overflowPunct/>
        <w:topLinePunct w:val="0"/>
        <w:bidi w:val="0"/>
        <w:adjustRightInd/>
        <w:snapToGrid/>
        <w:spacing w:before="120" w:beforeLines="50" w:after="120" w:afterLines="50" w:line="360" w:lineRule="exact"/>
        <w:ind w:firstLine="422" w:firstLineChars="200"/>
        <w:rPr>
          <w:rFonts w:hint="eastAsia" w:ascii="宋体" w:hAnsi="宋体" w:eastAsia="宋体" w:cs="宋体"/>
          <w:b/>
          <w:bCs/>
          <w:color w:val="000000"/>
          <w:kern w:val="0"/>
          <w:sz w:val="21"/>
          <w:szCs w:val="21"/>
          <w:highlight w:val="none"/>
          <w:lang w:eastAsia="zh-CN"/>
        </w:rPr>
      </w:pPr>
      <w:r>
        <w:rPr>
          <w:rFonts w:hint="eastAsia" w:ascii="宋体" w:hAnsi="宋体" w:eastAsia="宋体" w:cs="宋体"/>
          <w:b/>
          <w:bCs/>
          <w:color w:val="000000"/>
          <w:sz w:val="21"/>
          <w:szCs w:val="21"/>
          <w:highlight w:val="none"/>
          <w:lang w:eastAsia="zh-CN"/>
        </w:rPr>
        <w:t>五</w:t>
      </w:r>
      <w:r>
        <w:rPr>
          <w:rFonts w:hint="eastAsia" w:ascii="宋体" w:hAnsi="宋体" w:eastAsia="宋体" w:cs="宋体"/>
          <w:b/>
          <w:bCs/>
          <w:color w:val="000000"/>
          <w:sz w:val="21"/>
          <w:szCs w:val="21"/>
          <w:highlight w:val="none"/>
        </w:rPr>
        <w:t>、</w:t>
      </w:r>
      <w:r>
        <w:rPr>
          <w:rFonts w:hint="eastAsia" w:ascii="宋体" w:hAnsi="宋体" w:eastAsia="宋体" w:cs="宋体"/>
          <w:b/>
          <w:bCs/>
          <w:color w:val="000000"/>
          <w:kern w:val="0"/>
          <w:sz w:val="21"/>
          <w:szCs w:val="21"/>
          <w:highlight w:val="none"/>
        </w:rPr>
        <w:t>促进中小企业发展政策</w:t>
      </w:r>
    </w:p>
    <w:p w14:paraId="0E16A5BE">
      <w:pPr>
        <w:pStyle w:val="22"/>
        <w:keepNext w:val="0"/>
        <w:keepLines w:val="0"/>
        <w:pageBreakBefore w:val="0"/>
        <w:widowControl w:val="0"/>
        <w:kinsoku/>
        <w:wordWrap/>
        <w:overflowPunct/>
        <w:topLinePunct w:val="0"/>
        <w:autoSpaceDE/>
        <w:autoSpaceDN/>
        <w:bidi w:val="0"/>
        <w:adjustRightInd/>
        <w:snapToGrid/>
        <w:spacing w:line="360" w:lineRule="exact"/>
        <w:ind w:firstLine="420"/>
        <w:jc w:val="left"/>
        <w:textAlignment w:val="auto"/>
        <w:rPr>
          <w:rFonts w:hint="eastAsia" w:ascii="宋体" w:hAnsi="宋体" w:eastAsia="宋体" w:cs="宋体"/>
          <w:b/>
          <w:color w:val="000000"/>
          <w:sz w:val="21"/>
          <w:szCs w:val="21"/>
          <w:highlight w:val="none"/>
          <w:lang w:eastAsia="zh-CN"/>
        </w:rPr>
      </w:pPr>
      <w:r>
        <w:rPr>
          <w:rFonts w:hint="eastAsia" w:ascii="宋体" w:hAnsi="宋体" w:eastAsia="宋体" w:cs="宋体"/>
          <w:b w:val="0"/>
          <w:bCs w:val="0"/>
          <w:color w:val="000000"/>
          <w:sz w:val="21"/>
          <w:szCs w:val="21"/>
          <w:highlight w:val="none"/>
        </w:rPr>
        <w:t>本项目为</w:t>
      </w:r>
      <w:r>
        <w:rPr>
          <w:rFonts w:hint="eastAsia" w:ascii="宋体" w:hAnsi="宋体" w:eastAsia="宋体" w:cs="宋体"/>
          <w:b w:val="0"/>
          <w:bCs w:val="0"/>
          <w:color w:val="000000"/>
          <w:sz w:val="21"/>
          <w:szCs w:val="21"/>
          <w:highlight w:val="none"/>
          <w:u w:val="single"/>
        </w:rPr>
        <w:t>非专门面向中小企业采购的项目</w:t>
      </w:r>
      <w:r>
        <w:rPr>
          <w:rFonts w:hint="eastAsia" w:ascii="宋体" w:hAnsi="宋体" w:eastAsia="宋体" w:cs="宋体"/>
          <w:b w:val="0"/>
          <w:bCs w:val="0"/>
          <w:color w:val="000000"/>
          <w:sz w:val="21"/>
          <w:szCs w:val="21"/>
          <w:highlight w:val="none"/>
          <w:lang w:eastAsia="zh-CN"/>
        </w:rPr>
        <w:t>，</w:t>
      </w:r>
      <w:r>
        <w:rPr>
          <w:rFonts w:hint="eastAsia" w:ascii="宋体" w:hAnsi="宋体" w:eastAsia="宋体" w:cs="宋体"/>
          <w:color w:val="000000"/>
          <w:sz w:val="21"/>
          <w:szCs w:val="21"/>
          <w:highlight w:val="none"/>
          <w:lang w:eastAsia="zh-CN"/>
        </w:rPr>
        <w:t>本项目中小企业划分标准所属为：</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u w:val="single"/>
          <w:lang w:eastAsia="zh-CN"/>
        </w:rPr>
        <w:t xml:space="preserve">工业 </w:t>
      </w:r>
      <w:r>
        <w:rPr>
          <w:rFonts w:hint="eastAsia" w:ascii="宋体" w:hAnsi="宋体" w:eastAsia="宋体" w:cs="宋体"/>
          <w:color w:val="000000"/>
          <w:sz w:val="21"/>
          <w:szCs w:val="21"/>
          <w:highlight w:val="none"/>
        </w:rPr>
        <w:t>。</w:t>
      </w:r>
      <w:r>
        <w:rPr>
          <w:rFonts w:hint="eastAsia" w:ascii="宋体" w:hAnsi="宋体" w:eastAsia="宋体" w:cs="宋体"/>
          <w:b w:val="0"/>
          <w:color w:val="000000"/>
          <w:sz w:val="21"/>
          <w:szCs w:val="21"/>
          <w:highlight w:val="none"/>
        </w:rPr>
        <w:t>根据《政府采购促进中小企业发展管理办法》（财库〔2020〕46号）第九条以及《广西壮族自治区财政厅广西壮族自治区工业和信息化厅转发财政部工业和信息化部政府采购促进中小企业发展管理办法的通知》（桂财采〔2021〕70号）规定，价格评审优惠</w:t>
      </w:r>
      <w:r>
        <w:rPr>
          <w:rFonts w:hint="eastAsia" w:ascii="宋体" w:hAnsi="宋体" w:eastAsia="宋体" w:cs="宋体"/>
          <w:b w:val="0"/>
          <w:color w:val="000000"/>
          <w:sz w:val="21"/>
          <w:szCs w:val="21"/>
          <w:highlight w:val="none"/>
          <w:lang w:eastAsia="zh-CN"/>
        </w:rPr>
        <w:t>(</w:t>
      </w:r>
      <w:r>
        <w:rPr>
          <w:rFonts w:hint="eastAsia" w:ascii="宋体" w:hAnsi="宋体" w:eastAsia="宋体" w:cs="宋体"/>
          <w:b w:val="0"/>
          <w:color w:val="000000"/>
          <w:sz w:val="21"/>
          <w:szCs w:val="21"/>
          <w:highlight w:val="none"/>
        </w:rPr>
        <w:t>价格扣除比例</w:t>
      </w:r>
      <w:r>
        <w:rPr>
          <w:rFonts w:hint="eastAsia" w:ascii="宋体" w:hAnsi="宋体" w:eastAsia="宋体" w:cs="宋体"/>
          <w:b w:val="0"/>
          <w:color w:val="000000"/>
          <w:sz w:val="21"/>
          <w:szCs w:val="21"/>
          <w:highlight w:val="none"/>
          <w:lang w:eastAsia="zh-CN"/>
        </w:rPr>
        <w:t>)</w:t>
      </w:r>
      <w:r>
        <w:rPr>
          <w:rFonts w:hint="eastAsia" w:ascii="宋体" w:hAnsi="宋体" w:eastAsia="宋体" w:cs="宋体"/>
          <w:b w:val="0"/>
          <w:color w:val="000000"/>
          <w:sz w:val="21"/>
          <w:szCs w:val="21"/>
          <w:highlight w:val="none"/>
        </w:rPr>
        <w:t>在第四章评审方法及标准中规定，对小型企业和微型企业同等对待，不作区分。</w:t>
      </w:r>
    </w:p>
    <w:p w14:paraId="1AB5BCB0">
      <w:pPr>
        <w:pStyle w:val="21"/>
        <w:keepNext w:val="0"/>
        <w:keepLines w:val="0"/>
        <w:pageBreakBefore w:val="0"/>
        <w:kinsoku/>
        <w:overflowPunct/>
        <w:topLinePunct w:val="0"/>
        <w:bidi w:val="0"/>
        <w:adjustRightInd/>
        <w:snapToGrid/>
        <w:spacing w:before="120" w:beforeLines="50" w:after="120" w:afterLines="50" w:line="360" w:lineRule="exact"/>
        <w:ind w:firstLine="422" w:firstLineChars="200"/>
        <w:rPr>
          <w:rFonts w:hint="eastAsia" w:ascii="宋体" w:hAnsi="宋体" w:eastAsia="宋体" w:cs="宋体"/>
          <w:b/>
          <w:color w:val="000000"/>
          <w:sz w:val="21"/>
          <w:szCs w:val="21"/>
          <w:highlight w:val="none"/>
          <w:lang w:eastAsia="zh-CN"/>
        </w:rPr>
      </w:pPr>
      <w:r>
        <w:rPr>
          <w:rFonts w:hint="eastAsia" w:ascii="宋体" w:hAnsi="宋体" w:eastAsia="宋体" w:cs="宋体"/>
          <w:b/>
          <w:color w:val="000000"/>
          <w:sz w:val="21"/>
          <w:szCs w:val="21"/>
          <w:highlight w:val="none"/>
          <w:lang w:eastAsia="zh-CN"/>
        </w:rPr>
        <w:t>六</w:t>
      </w:r>
      <w:r>
        <w:rPr>
          <w:rFonts w:hint="eastAsia" w:ascii="宋体" w:hAnsi="宋体" w:eastAsia="宋体" w:cs="宋体"/>
          <w:b/>
          <w:color w:val="000000"/>
          <w:sz w:val="21"/>
          <w:szCs w:val="21"/>
          <w:highlight w:val="none"/>
        </w:rPr>
        <w:t>、</w:t>
      </w:r>
      <w:r>
        <w:rPr>
          <w:rFonts w:hint="eastAsia" w:ascii="宋体" w:hAnsi="宋体" w:eastAsia="宋体" w:cs="宋体"/>
          <w:b/>
          <w:bCs/>
          <w:color w:val="000000"/>
          <w:sz w:val="21"/>
          <w:szCs w:val="21"/>
          <w:highlight w:val="none"/>
        </w:rPr>
        <w:t>本国产品的支持政策</w:t>
      </w:r>
      <w:r>
        <w:rPr>
          <w:rFonts w:hint="eastAsia" w:ascii="宋体" w:hAnsi="宋体" w:eastAsia="宋体" w:cs="宋体"/>
          <w:b/>
          <w:color w:val="000000"/>
          <w:sz w:val="21"/>
          <w:szCs w:val="21"/>
          <w:highlight w:val="none"/>
        </w:rPr>
        <w:t xml:space="preserve"> </w:t>
      </w:r>
    </w:p>
    <w:p w14:paraId="768A0222">
      <w:pPr>
        <w:pStyle w:val="21"/>
        <w:keepNext w:val="0"/>
        <w:keepLines w:val="0"/>
        <w:pageBreakBefore w:val="0"/>
        <w:widowControl w:val="0"/>
        <w:kinsoku/>
        <w:wordWrap/>
        <w:overflowPunct/>
        <w:topLinePunct w:val="0"/>
        <w:autoSpaceDE/>
        <w:autoSpaceDN/>
        <w:bidi w:val="0"/>
        <w:adjustRightInd/>
        <w:snapToGrid/>
        <w:spacing w:before="120" w:beforeLines="50" w:after="120" w:afterLines="50" w:line="36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本项目</w:t>
      </w:r>
      <w:r>
        <w:rPr>
          <w:rFonts w:hint="eastAsia" w:ascii="宋体" w:hAnsi="宋体" w:eastAsia="宋体" w:cs="宋体"/>
          <w:color w:val="000000"/>
          <w:sz w:val="21"/>
          <w:szCs w:val="21"/>
          <w:highlight w:val="none"/>
          <w:u w:val="single"/>
          <w:lang w:eastAsia="zh-CN"/>
        </w:rPr>
        <w:t>☑</w:t>
      </w:r>
      <w:r>
        <w:rPr>
          <w:rFonts w:hint="eastAsia" w:ascii="宋体" w:hAnsi="宋体" w:eastAsia="宋体" w:cs="宋体"/>
          <w:color w:val="000000"/>
          <w:sz w:val="21"/>
          <w:szCs w:val="21"/>
          <w:highlight w:val="none"/>
          <w:u w:val="single"/>
        </w:rPr>
        <w:t>适用</w:t>
      </w:r>
      <w:r>
        <w:rPr>
          <w:rFonts w:hint="eastAsia" w:ascii="宋体" w:hAnsi="宋体" w:eastAsia="宋体" w:cs="宋体"/>
          <w:color w:val="000000"/>
          <w:sz w:val="21"/>
          <w:szCs w:val="21"/>
          <w:highlight w:val="none"/>
          <w:u w:val="single"/>
          <w:lang w:eastAsia="zh-CN"/>
        </w:rPr>
        <w:t>/</w:t>
      </w:r>
      <w:r>
        <w:rPr>
          <w:rFonts w:hint="eastAsia" w:ascii="宋体" w:hAnsi="宋体" w:eastAsia="宋体" w:cs="宋体"/>
          <w:color w:val="000000"/>
          <w:sz w:val="21"/>
          <w:szCs w:val="21"/>
          <w:highlight w:val="none"/>
          <w:lang w:eastAsia="zh-CN"/>
        </w:rPr>
        <w:t xml:space="preserve"> </w:t>
      </w:r>
      <w:r>
        <w:rPr>
          <w:rFonts w:hint="eastAsia" w:ascii="宋体" w:hAnsi="宋体" w:eastAsia="宋体" w:cs="宋体"/>
          <w:color w:val="000000"/>
          <w:sz w:val="21"/>
          <w:szCs w:val="21"/>
          <w:highlight w:val="none"/>
          <w:u w:val="single"/>
          <w:lang w:eastAsia="zh-CN"/>
        </w:rPr>
        <w:t>□</w:t>
      </w:r>
      <w:r>
        <w:rPr>
          <w:rFonts w:hint="eastAsia" w:ascii="宋体" w:hAnsi="宋体" w:eastAsia="宋体" w:cs="宋体"/>
          <w:color w:val="000000"/>
          <w:sz w:val="21"/>
          <w:szCs w:val="21"/>
          <w:highlight w:val="none"/>
          <w:u w:val="single"/>
        </w:rPr>
        <w:t>不适用</w:t>
      </w:r>
      <w:r>
        <w:rPr>
          <w:rFonts w:hint="eastAsia" w:ascii="宋体" w:hAnsi="宋体" w:eastAsia="宋体" w:cs="宋体"/>
          <w:color w:val="000000"/>
          <w:sz w:val="21"/>
          <w:szCs w:val="21"/>
          <w:highlight w:val="none"/>
          <w:lang w:eastAsia="zh-CN"/>
        </w:rPr>
        <w:t xml:space="preserve"> </w:t>
      </w:r>
      <w:r>
        <w:rPr>
          <w:rFonts w:hint="eastAsia" w:ascii="宋体" w:hAnsi="宋体" w:eastAsia="宋体" w:cs="宋体"/>
          <w:bCs/>
          <w:color w:val="000000"/>
          <w:sz w:val="21"/>
          <w:szCs w:val="21"/>
          <w:highlight w:val="none"/>
        </w:rPr>
        <w:t>本国产品的支持政策</w:t>
      </w: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rPr>
        <w:t>适用本国产品支持政策的项目</w:t>
      </w:r>
      <w:r>
        <w:rPr>
          <w:rFonts w:hint="eastAsia" w:ascii="宋体" w:hAnsi="宋体" w:eastAsia="宋体" w:cs="宋体"/>
          <w:color w:val="000000"/>
          <w:sz w:val="21"/>
          <w:szCs w:val="21"/>
          <w:highlight w:val="none"/>
        </w:rPr>
        <w:t>价格评审优惠扣除比例在第四章评审方法及标准中规定</w:t>
      </w: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rPr>
        <w:t>。</w:t>
      </w:r>
    </w:p>
    <w:p w14:paraId="39F89EC2">
      <w:pPr>
        <w:pStyle w:val="21"/>
        <w:keepNext w:val="0"/>
        <w:keepLines w:val="0"/>
        <w:pageBreakBefore w:val="0"/>
        <w:kinsoku/>
        <w:overflowPunct/>
        <w:topLinePunct w:val="0"/>
        <w:bidi w:val="0"/>
        <w:adjustRightInd/>
        <w:snapToGrid/>
        <w:spacing w:before="120" w:beforeLines="50" w:after="120" w:afterLines="50" w:line="360" w:lineRule="exact"/>
        <w:ind w:firstLine="422" w:firstLineChars="200"/>
        <w:rPr>
          <w:rFonts w:hint="eastAsia" w:ascii="宋体" w:hAnsi="宋体" w:eastAsia="宋体" w:cs="宋体"/>
          <w:bCs/>
          <w:color w:val="000000"/>
          <w:sz w:val="21"/>
          <w:szCs w:val="21"/>
          <w:highlight w:val="none"/>
          <w:lang w:eastAsia="zh-CN"/>
        </w:rPr>
      </w:pPr>
      <w:r>
        <w:rPr>
          <w:rFonts w:hint="eastAsia" w:ascii="宋体" w:hAnsi="宋体" w:eastAsia="宋体" w:cs="宋体"/>
          <w:b/>
          <w:bCs/>
          <w:color w:val="000000"/>
          <w:sz w:val="21"/>
          <w:szCs w:val="21"/>
          <w:highlight w:val="none"/>
          <w:lang w:eastAsia="zh-CN"/>
        </w:rPr>
        <w:t>七、标项划分：</w:t>
      </w:r>
    </w:p>
    <w:p w14:paraId="31E4B32A">
      <w:pPr>
        <w:pStyle w:val="21"/>
        <w:keepNext w:val="0"/>
        <w:keepLines w:val="0"/>
        <w:pageBreakBefore w:val="0"/>
        <w:widowControl w:val="0"/>
        <w:kinsoku/>
        <w:wordWrap/>
        <w:overflowPunct/>
        <w:topLinePunct w:val="0"/>
        <w:autoSpaceDE/>
        <w:autoSpaceDN/>
        <w:bidi w:val="0"/>
        <w:adjustRightInd/>
        <w:snapToGrid/>
        <w:spacing w:after="0" w:line="360" w:lineRule="exact"/>
        <w:ind w:firstLine="420" w:firstLineChars="200"/>
        <w:textAlignment w:val="auto"/>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分标一：</w:t>
      </w:r>
      <w:r>
        <w:rPr>
          <w:rFonts w:hint="eastAsia" w:ascii="宋体" w:hAnsi="宋体" w:eastAsia="宋体" w:cs="宋体"/>
          <w:b w:val="0"/>
          <w:bCs/>
          <w:color w:val="000000"/>
          <w:sz w:val="21"/>
          <w:szCs w:val="21"/>
          <w:highlight w:val="none"/>
          <w:lang w:eastAsia="zh-CN"/>
        </w:rPr>
        <w:t>眼科OCT系统</w:t>
      </w:r>
    </w:p>
    <w:p w14:paraId="79B41BAC">
      <w:pPr>
        <w:pStyle w:val="21"/>
        <w:keepNext w:val="0"/>
        <w:keepLines w:val="0"/>
        <w:pageBreakBefore w:val="0"/>
        <w:widowControl w:val="0"/>
        <w:kinsoku/>
        <w:wordWrap/>
        <w:overflowPunct/>
        <w:topLinePunct w:val="0"/>
        <w:autoSpaceDE/>
        <w:autoSpaceDN/>
        <w:bidi w:val="0"/>
        <w:adjustRightInd/>
        <w:snapToGrid/>
        <w:spacing w:after="0" w:line="360" w:lineRule="exact"/>
        <w:ind w:firstLine="420" w:firstLineChars="200"/>
        <w:textAlignment w:val="auto"/>
        <w:rPr>
          <w:rFonts w:hint="eastAsia" w:ascii="宋体" w:hAnsi="宋体" w:eastAsia="宋体" w:cs="宋体"/>
          <w:b/>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分标二：体外生命支持系统（ECMO）</w:t>
      </w:r>
    </w:p>
    <w:p w14:paraId="59C2D149">
      <w:pPr>
        <w:pStyle w:val="21"/>
        <w:keepNext w:val="0"/>
        <w:keepLines w:val="0"/>
        <w:pageBreakBefore w:val="0"/>
        <w:overflowPunct/>
        <w:topLinePunct w:val="0"/>
        <w:bidi w:val="0"/>
        <w:adjustRightInd/>
        <w:snapToGrid/>
        <w:spacing w:before="120" w:beforeLines="50" w:after="120" w:afterLines="50" w:line="360" w:lineRule="exact"/>
        <w:ind w:firstLine="422" w:firstLineChars="200"/>
        <w:rPr>
          <w:rFonts w:hint="eastAsia" w:ascii="宋体" w:hAnsi="宋体" w:eastAsia="宋体" w:cs="宋体"/>
          <w:b/>
          <w:color w:val="000000"/>
          <w:sz w:val="21"/>
          <w:szCs w:val="21"/>
          <w:highlight w:val="none"/>
          <w:lang w:eastAsia="zh-CN"/>
        </w:rPr>
      </w:pPr>
      <w:r>
        <w:rPr>
          <w:rFonts w:hint="eastAsia" w:ascii="宋体" w:hAnsi="宋体" w:eastAsia="宋体" w:cs="宋体"/>
          <w:b/>
          <w:color w:val="000000"/>
          <w:sz w:val="21"/>
          <w:szCs w:val="21"/>
          <w:highlight w:val="none"/>
          <w:lang w:val="en-US" w:eastAsia="zh-CN"/>
        </w:rPr>
        <w:t>八</w:t>
      </w:r>
      <w:r>
        <w:rPr>
          <w:rFonts w:hint="eastAsia" w:ascii="宋体" w:hAnsi="宋体" w:eastAsia="宋体" w:cs="宋体"/>
          <w:b/>
          <w:color w:val="000000"/>
          <w:sz w:val="21"/>
          <w:szCs w:val="21"/>
          <w:highlight w:val="none"/>
          <w:lang w:eastAsia="zh-CN"/>
        </w:rPr>
        <w:t>、产品的注册与备案</w:t>
      </w:r>
    </w:p>
    <w:p w14:paraId="70FBDCFF">
      <w:pPr>
        <w:keepNext w:val="0"/>
        <w:keepLines w:val="0"/>
        <w:pageBreakBefore w:val="0"/>
        <w:widowControl/>
        <w:tabs>
          <w:tab w:val="left" w:pos="1305"/>
        </w:tabs>
        <w:kinsoku w:val="0"/>
        <w:wordWrap/>
        <w:overflowPunct/>
        <w:topLinePunct w:val="0"/>
        <w:autoSpaceDE w:val="0"/>
        <w:autoSpaceDN w:val="0"/>
        <w:bidi w:val="0"/>
        <w:adjustRightInd/>
        <w:snapToGrid/>
        <w:spacing w:line="360" w:lineRule="exact"/>
        <w:ind w:firstLine="420" w:firstLineChars="200"/>
        <w:textAlignment w:val="baseline"/>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rPr>
        <w:t>▲</w:t>
      </w:r>
      <w:r>
        <w:rPr>
          <w:rFonts w:hint="eastAsia" w:ascii="宋体" w:hAnsi="宋体" w:eastAsia="宋体" w:cs="宋体"/>
          <w:b/>
          <w:bCs/>
          <w:color w:val="000000"/>
          <w:sz w:val="21"/>
          <w:szCs w:val="21"/>
          <w:highlight w:val="none"/>
        </w:rPr>
        <w:t>如投标产品中属</w:t>
      </w:r>
      <w:r>
        <w:rPr>
          <w:rFonts w:hint="eastAsia" w:ascii="宋体" w:hAnsi="宋体" w:eastAsia="宋体" w:cs="宋体"/>
          <w:b/>
          <w:bCs/>
          <w:color w:val="000000"/>
          <w:sz w:val="21"/>
          <w:szCs w:val="21"/>
          <w:highlight w:val="none"/>
          <w:lang w:eastAsia="zh-CN"/>
        </w:rPr>
        <w:t>于</w:t>
      </w:r>
      <w:r>
        <w:rPr>
          <w:rFonts w:hint="eastAsia" w:ascii="宋体" w:hAnsi="宋体" w:eastAsia="宋体" w:cs="宋体"/>
          <w:b/>
          <w:bCs/>
          <w:color w:val="000000"/>
          <w:sz w:val="21"/>
          <w:szCs w:val="21"/>
          <w:highlight w:val="none"/>
        </w:rPr>
        <w:t>医疗器械产品的，</w:t>
      </w:r>
      <w:r>
        <w:rPr>
          <w:rFonts w:hint="eastAsia" w:ascii="宋体" w:hAnsi="宋体" w:eastAsia="宋体" w:cs="宋体"/>
          <w:b/>
          <w:color w:val="000000"/>
          <w:sz w:val="21"/>
          <w:szCs w:val="21"/>
          <w:highlight w:val="none"/>
          <w:lang w:eastAsia="zh-CN"/>
        </w:rPr>
        <w:t>投标人须按以下要求</w:t>
      </w:r>
      <w:r>
        <w:rPr>
          <w:rFonts w:hint="eastAsia" w:ascii="宋体" w:hAnsi="宋体" w:eastAsia="宋体" w:cs="宋体"/>
          <w:b/>
          <w:color w:val="000000"/>
          <w:sz w:val="21"/>
          <w:szCs w:val="21"/>
          <w:highlight w:val="none"/>
        </w:rPr>
        <w:t>提供所投产品的医疗器械注册或备案有关证明材料复印件（或扫描件）</w:t>
      </w:r>
      <w:r>
        <w:rPr>
          <w:rFonts w:hint="eastAsia" w:ascii="宋体" w:hAnsi="宋体" w:eastAsia="宋体" w:cs="宋体"/>
          <w:b/>
          <w:color w:val="000000"/>
          <w:sz w:val="21"/>
          <w:szCs w:val="21"/>
          <w:highlight w:val="none"/>
          <w:lang w:eastAsia="zh-CN"/>
        </w:rPr>
        <w:t>，否则投标无效</w:t>
      </w:r>
      <w:r>
        <w:rPr>
          <w:rFonts w:hint="eastAsia" w:ascii="宋体" w:hAnsi="宋体" w:eastAsia="宋体" w:cs="宋体"/>
          <w:b/>
          <w:color w:val="000000"/>
          <w:sz w:val="21"/>
          <w:szCs w:val="21"/>
          <w:highlight w:val="none"/>
        </w:rPr>
        <w:t>：</w:t>
      </w:r>
    </w:p>
    <w:p w14:paraId="26BB3301">
      <w:pPr>
        <w:pStyle w:val="21"/>
        <w:keepNext w:val="0"/>
        <w:keepLines w:val="0"/>
        <w:pageBreakBefore w:val="0"/>
        <w:widowControl w:val="0"/>
        <w:kinsoku/>
        <w:wordWrap w:val="0"/>
        <w:overflowPunct/>
        <w:topLinePunct w:val="0"/>
        <w:autoSpaceDE w:val="0"/>
        <w:autoSpaceDN w:val="0"/>
        <w:bidi w:val="0"/>
        <w:adjustRightInd/>
        <w:snapToGrid/>
        <w:spacing w:after="0" w:line="360" w:lineRule="exact"/>
        <w:ind w:firstLine="420" w:firstLineChars="200"/>
        <w:textAlignment w:val="baseline"/>
        <w:rPr>
          <w:rFonts w:hint="eastAsia" w:ascii="宋体" w:hAnsi="宋体" w:eastAsia="宋体" w:cs="宋体"/>
          <w:bCs/>
          <w:color w:val="000000"/>
          <w:sz w:val="21"/>
          <w:szCs w:val="21"/>
          <w:highlight w:val="none"/>
        </w:rPr>
      </w:pPr>
      <w:r>
        <w:rPr>
          <w:rFonts w:hint="eastAsia" w:ascii="宋体" w:hAnsi="宋体" w:eastAsia="宋体" w:cs="宋体"/>
          <w:color w:val="000000"/>
          <w:sz w:val="21"/>
          <w:szCs w:val="21"/>
          <w:highlight w:val="none"/>
          <w:lang w:eastAsia="zh-CN"/>
        </w:rPr>
        <w:t>1.</w:t>
      </w:r>
      <w:r>
        <w:rPr>
          <w:rFonts w:hint="eastAsia" w:ascii="宋体" w:hAnsi="宋体" w:eastAsia="宋体" w:cs="宋体"/>
          <w:bCs/>
          <w:color w:val="000000"/>
          <w:sz w:val="21"/>
          <w:szCs w:val="21"/>
          <w:highlight w:val="none"/>
        </w:rPr>
        <w:t>投标产品中属第一类医疗器械产品的，投标文件中须按《医疗器械注册与备案管理办法》（国家市场监督管理总局令第47号）提供该</w:t>
      </w:r>
      <w:r>
        <w:rPr>
          <w:rFonts w:hint="eastAsia" w:ascii="宋体" w:hAnsi="宋体" w:eastAsia="宋体" w:cs="宋体"/>
          <w:bCs/>
          <w:color w:val="000000"/>
          <w:sz w:val="21"/>
          <w:szCs w:val="21"/>
          <w:highlight w:val="none"/>
          <w:lang w:eastAsia="zh-CN"/>
        </w:rPr>
        <w:t>货物</w:t>
      </w:r>
      <w:r>
        <w:rPr>
          <w:rFonts w:hint="eastAsia" w:ascii="宋体" w:hAnsi="宋体" w:eastAsia="宋体" w:cs="宋体"/>
          <w:bCs/>
          <w:color w:val="000000"/>
          <w:sz w:val="21"/>
          <w:szCs w:val="21"/>
          <w:highlight w:val="none"/>
        </w:rPr>
        <w:t>有效的备案资料证明材料复印件（或扫描件）；</w:t>
      </w:r>
    </w:p>
    <w:p w14:paraId="31AB89FA">
      <w:pPr>
        <w:pStyle w:val="21"/>
        <w:keepNext w:val="0"/>
        <w:keepLines w:val="0"/>
        <w:pageBreakBefore w:val="0"/>
        <w:widowControl w:val="0"/>
        <w:kinsoku/>
        <w:wordWrap w:val="0"/>
        <w:overflowPunct/>
        <w:topLinePunct w:val="0"/>
        <w:autoSpaceDE w:val="0"/>
        <w:autoSpaceDN w:val="0"/>
        <w:bidi w:val="0"/>
        <w:adjustRightInd/>
        <w:snapToGrid/>
        <w:spacing w:after="0" w:line="360" w:lineRule="exact"/>
        <w:ind w:firstLine="420" w:firstLineChars="200"/>
        <w:textAlignment w:val="baseline"/>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2.</w:t>
      </w:r>
      <w:r>
        <w:rPr>
          <w:rFonts w:hint="eastAsia" w:ascii="宋体" w:hAnsi="宋体" w:eastAsia="宋体" w:cs="宋体"/>
          <w:bCs/>
          <w:color w:val="000000"/>
          <w:sz w:val="21"/>
          <w:szCs w:val="21"/>
          <w:highlight w:val="none"/>
        </w:rPr>
        <w:t>投标产品中属第二、三类医疗器械产品的，投标文件中须按《医疗器械注册与备案管理办法》（国家市场监督管理总局令第47号）提供该</w:t>
      </w:r>
      <w:r>
        <w:rPr>
          <w:rFonts w:hint="eastAsia" w:ascii="宋体" w:hAnsi="宋体" w:eastAsia="宋体" w:cs="宋体"/>
          <w:bCs/>
          <w:color w:val="000000"/>
          <w:sz w:val="21"/>
          <w:szCs w:val="21"/>
          <w:highlight w:val="none"/>
          <w:lang w:eastAsia="zh-CN"/>
        </w:rPr>
        <w:t>货物</w:t>
      </w:r>
      <w:r>
        <w:rPr>
          <w:rFonts w:hint="eastAsia" w:ascii="宋体" w:hAnsi="宋体" w:eastAsia="宋体" w:cs="宋体"/>
          <w:bCs/>
          <w:color w:val="000000"/>
          <w:sz w:val="21"/>
          <w:szCs w:val="21"/>
          <w:highlight w:val="none"/>
        </w:rPr>
        <w:t>有效的医疗器械注册证复印件（或扫描件）。</w:t>
      </w:r>
    </w:p>
    <w:p w14:paraId="0B9E7E11">
      <w:pPr>
        <w:pStyle w:val="21"/>
        <w:keepNext w:val="0"/>
        <w:keepLines w:val="0"/>
        <w:pageBreakBefore w:val="0"/>
        <w:widowControl w:val="0"/>
        <w:kinsoku/>
        <w:wordWrap w:val="0"/>
        <w:overflowPunct/>
        <w:topLinePunct w:val="0"/>
        <w:autoSpaceDE w:val="0"/>
        <w:autoSpaceDN w:val="0"/>
        <w:bidi w:val="0"/>
        <w:adjustRightInd/>
        <w:snapToGrid/>
        <w:spacing w:after="0" w:line="360" w:lineRule="exact"/>
        <w:ind w:firstLine="420" w:firstLineChars="200"/>
        <w:textAlignment w:val="baseline"/>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lang w:eastAsia="zh-CN"/>
        </w:rPr>
        <w:t>注：</w:t>
      </w:r>
      <w:r>
        <w:rPr>
          <w:rFonts w:hint="eastAsia" w:ascii="宋体" w:hAnsi="宋体" w:eastAsia="宋体" w:cs="宋体"/>
          <w:bCs/>
          <w:color w:val="000000"/>
          <w:sz w:val="21"/>
          <w:szCs w:val="21"/>
          <w:highlight w:val="none"/>
        </w:rPr>
        <w:t>标的名称与医疗器械注册与备案凭证名称不符的，以所投产品医疗器械注册与备案凭证名称为准。</w:t>
      </w:r>
    </w:p>
    <w:p w14:paraId="075A931F">
      <w:pPr>
        <w:rPr>
          <w:rFonts w:hint="eastAsia" w:ascii="宋体" w:hAnsi="宋体" w:eastAsia="宋体" w:cs="宋体"/>
          <w:b/>
          <w:color w:val="000000"/>
          <w:sz w:val="21"/>
          <w:szCs w:val="21"/>
          <w:highlight w:val="none"/>
          <w:lang w:val="en-US" w:eastAsia="zh-CN"/>
        </w:rPr>
      </w:pPr>
      <w:r>
        <w:rPr>
          <w:rFonts w:hint="eastAsia" w:ascii="宋体" w:hAnsi="宋体" w:eastAsia="宋体" w:cs="宋体"/>
          <w:b/>
          <w:color w:val="000000"/>
          <w:sz w:val="21"/>
          <w:szCs w:val="21"/>
          <w:highlight w:val="none"/>
          <w:lang w:val="en-US" w:eastAsia="zh-CN"/>
        </w:rPr>
        <w:br w:type="page"/>
      </w:r>
    </w:p>
    <w:p w14:paraId="25594DBC">
      <w:pPr>
        <w:pStyle w:val="21"/>
        <w:keepNext w:val="0"/>
        <w:keepLines w:val="0"/>
        <w:pageBreakBefore w:val="0"/>
        <w:overflowPunct/>
        <w:topLinePunct w:val="0"/>
        <w:bidi w:val="0"/>
        <w:adjustRightInd/>
        <w:snapToGrid/>
        <w:spacing w:before="120" w:beforeLines="50" w:after="120" w:afterLines="50" w:line="360" w:lineRule="exact"/>
        <w:ind w:firstLine="422" w:firstLineChars="200"/>
        <w:rPr>
          <w:rFonts w:hint="eastAsia" w:ascii="宋体" w:hAnsi="宋体" w:eastAsia="宋体" w:cs="宋体"/>
          <w:b/>
          <w:bCs/>
          <w:color w:val="000000"/>
          <w:kern w:val="0"/>
          <w:sz w:val="24"/>
          <w:szCs w:val="24"/>
          <w:highlight w:val="none"/>
          <w:lang w:val="en-US" w:eastAsia="zh-CN" w:bidi="ar"/>
        </w:rPr>
      </w:pPr>
      <w:r>
        <w:rPr>
          <w:rFonts w:hint="eastAsia" w:ascii="宋体" w:hAnsi="宋体" w:eastAsia="宋体" w:cs="宋体"/>
          <w:b/>
          <w:color w:val="000000"/>
          <w:sz w:val="21"/>
          <w:szCs w:val="21"/>
          <w:highlight w:val="none"/>
          <w:lang w:val="en-US" w:eastAsia="zh-CN"/>
        </w:rPr>
        <w:t>九</w:t>
      </w:r>
      <w:r>
        <w:rPr>
          <w:rFonts w:hint="eastAsia" w:ascii="宋体" w:hAnsi="宋体" w:eastAsia="宋体" w:cs="宋体"/>
          <w:b/>
          <w:color w:val="000000"/>
          <w:sz w:val="21"/>
          <w:szCs w:val="21"/>
          <w:highlight w:val="none"/>
          <w:lang w:eastAsia="zh-CN"/>
        </w:rPr>
        <w:t>、</w:t>
      </w:r>
      <w:r>
        <w:rPr>
          <w:rFonts w:hint="eastAsia" w:ascii="宋体" w:hAnsi="宋体" w:eastAsia="宋体" w:cs="宋体"/>
          <w:b/>
          <w:color w:val="000000"/>
          <w:sz w:val="21"/>
          <w:szCs w:val="21"/>
          <w:highlight w:val="none"/>
          <w:lang w:val="en-US" w:eastAsia="zh-CN"/>
        </w:rPr>
        <w:t>采购需求</w:t>
      </w:r>
    </w:p>
    <w:p w14:paraId="250A0B2C">
      <w:pPr>
        <w:keepNext w:val="0"/>
        <w:keepLines w:val="0"/>
        <w:pageBreakBefore w:val="0"/>
        <w:widowControl w:val="0"/>
        <w:kinsoku/>
        <w:wordWrap/>
        <w:overflowPunct/>
        <w:topLinePunct w:val="0"/>
        <w:autoSpaceDE/>
        <w:autoSpaceDN/>
        <w:bidi w:val="0"/>
        <w:adjustRightInd/>
        <w:snapToGrid/>
        <w:spacing w:before="313" w:beforeLines="100" w:after="157" w:afterLines="50" w:line="360" w:lineRule="auto"/>
        <w:jc w:val="center"/>
        <w:textAlignment w:val="auto"/>
        <w:rPr>
          <w:rFonts w:hint="eastAsia" w:ascii="宋体" w:hAnsi="宋体" w:eastAsia="宋体" w:cs="宋体"/>
          <w:color w:val="000000"/>
          <w:sz w:val="24"/>
          <w:szCs w:val="24"/>
          <w:highlight w:val="none"/>
        </w:rPr>
      </w:pPr>
      <w:r>
        <w:rPr>
          <w:rFonts w:hint="eastAsia" w:ascii="宋体" w:hAnsi="宋体" w:eastAsia="宋体" w:cs="宋体"/>
          <w:b/>
          <w:bCs/>
          <w:color w:val="000000"/>
          <w:kern w:val="0"/>
          <w:sz w:val="24"/>
          <w:szCs w:val="24"/>
          <w:highlight w:val="none"/>
          <w:lang w:val="en-US" w:eastAsia="zh-CN" w:bidi="ar"/>
        </w:rPr>
        <w:t>分标一：</w:t>
      </w:r>
      <w:r>
        <w:rPr>
          <w:rFonts w:hint="eastAsia" w:ascii="宋体" w:hAnsi="宋体" w:eastAsia="宋体" w:cs="宋体"/>
          <w:b/>
          <w:bCs/>
          <w:color w:val="000000"/>
          <w:kern w:val="0"/>
          <w:sz w:val="24"/>
          <w:szCs w:val="24"/>
          <w:highlight w:val="none"/>
          <w:lang w:eastAsia="zh-CN" w:bidi="ar"/>
        </w:rPr>
        <w:t>眼科OCT系统</w:t>
      </w:r>
    </w:p>
    <w:tbl>
      <w:tblPr>
        <w:tblStyle w:val="54"/>
        <w:tblW w:w="104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474"/>
        <w:gridCol w:w="852"/>
        <w:gridCol w:w="6437"/>
        <w:gridCol w:w="1005"/>
      </w:tblGrid>
      <w:tr w14:paraId="3C8C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77ABCC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000000"/>
                <w:sz w:val="21"/>
                <w:szCs w:val="21"/>
                <w:highlight w:val="none"/>
                <w:vertAlign w:val="baseline"/>
                <w:lang w:val="en-US" w:eastAsia="zh-CN"/>
              </w:rPr>
            </w:pPr>
            <w:r>
              <w:rPr>
                <w:rStyle w:val="57"/>
                <w:rFonts w:hint="eastAsia" w:ascii="宋体" w:hAnsi="宋体" w:eastAsia="宋体" w:cs="宋体"/>
                <w:b/>
                <w:bCs/>
                <w:i w:val="0"/>
                <w:caps w:val="0"/>
                <w:color w:val="000000"/>
                <w:spacing w:val="0"/>
                <w:sz w:val="21"/>
                <w:szCs w:val="21"/>
                <w:highlight w:val="none"/>
              </w:rPr>
              <w:t>序号</w:t>
            </w:r>
          </w:p>
        </w:tc>
        <w:tc>
          <w:tcPr>
            <w:tcW w:w="1474" w:type="dxa"/>
            <w:tcBorders>
              <w:top w:val="single" w:color="auto" w:sz="4" w:space="0"/>
              <w:left w:val="single" w:color="auto" w:sz="4" w:space="0"/>
              <w:bottom w:val="single" w:color="auto" w:sz="4" w:space="0"/>
              <w:right w:val="single" w:color="auto" w:sz="4" w:space="0"/>
            </w:tcBorders>
            <w:noWrap w:val="0"/>
            <w:vAlign w:val="center"/>
          </w:tcPr>
          <w:p w14:paraId="1B63A2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aps w:val="0"/>
                <w:color w:val="000000"/>
                <w:spacing w:val="0"/>
                <w:sz w:val="21"/>
                <w:szCs w:val="21"/>
                <w:highlight w:val="none"/>
                <w:shd w:val="clear" w:color="auto" w:fill="FFFFFF"/>
              </w:rPr>
            </w:pPr>
            <w:r>
              <w:rPr>
                <w:rFonts w:hint="eastAsia" w:ascii="宋体" w:hAnsi="宋体" w:eastAsia="宋体" w:cs="宋体"/>
                <w:b/>
                <w:bCs/>
                <w:color w:val="000000"/>
                <w:sz w:val="21"/>
                <w:szCs w:val="21"/>
                <w:highlight w:val="none"/>
                <w:vertAlign w:val="baseline"/>
                <w:lang w:val="en-US" w:eastAsia="zh-CN"/>
              </w:rPr>
              <w:t>货物名称</w:t>
            </w:r>
          </w:p>
        </w:tc>
        <w:tc>
          <w:tcPr>
            <w:tcW w:w="852" w:type="dxa"/>
            <w:tcBorders>
              <w:top w:val="single" w:color="auto" w:sz="4" w:space="0"/>
              <w:left w:val="single" w:color="auto" w:sz="4" w:space="0"/>
              <w:bottom w:val="single" w:color="auto" w:sz="4" w:space="0"/>
              <w:right w:val="single" w:color="auto" w:sz="4" w:space="0"/>
            </w:tcBorders>
            <w:noWrap w:val="0"/>
            <w:vAlign w:val="center"/>
          </w:tcPr>
          <w:p w14:paraId="31193B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000000"/>
                <w:sz w:val="21"/>
                <w:szCs w:val="21"/>
                <w:highlight w:val="none"/>
                <w:vertAlign w:val="baseline"/>
              </w:rPr>
            </w:pPr>
            <w:r>
              <w:rPr>
                <w:rFonts w:hint="eastAsia" w:ascii="宋体" w:hAnsi="宋体" w:eastAsia="宋体" w:cs="宋体"/>
                <w:b/>
                <w:bCs/>
                <w:i w:val="0"/>
                <w:iCs w:val="0"/>
                <w:caps w:val="0"/>
                <w:color w:val="000000"/>
                <w:spacing w:val="0"/>
                <w:sz w:val="21"/>
                <w:szCs w:val="21"/>
                <w:highlight w:val="none"/>
                <w:shd w:val="clear" w:color="auto" w:fill="FFFFFF"/>
              </w:rPr>
              <w:t>数量及单位</w:t>
            </w:r>
          </w:p>
        </w:tc>
        <w:tc>
          <w:tcPr>
            <w:tcW w:w="6437" w:type="dxa"/>
            <w:tcBorders>
              <w:top w:val="single" w:color="auto" w:sz="4" w:space="0"/>
              <w:left w:val="single" w:color="auto" w:sz="4" w:space="0"/>
              <w:bottom w:val="single" w:color="auto" w:sz="4" w:space="0"/>
              <w:right w:val="single" w:color="auto" w:sz="4" w:space="0"/>
            </w:tcBorders>
            <w:noWrap w:val="0"/>
            <w:vAlign w:val="center"/>
          </w:tcPr>
          <w:p w14:paraId="4516EA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000000"/>
                <w:sz w:val="21"/>
                <w:szCs w:val="21"/>
                <w:highlight w:val="none"/>
                <w:vertAlign w:val="baseline"/>
              </w:rPr>
            </w:pPr>
            <w:r>
              <w:rPr>
                <w:rStyle w:val="57"/>
                <w:rFonts w:hint="eastAsia" w:ascii="宋体" w:hAnsi="宋体" w:eastAsia="宋体" w:cs="宋体"/>
                <w:b/>
                <w:bCs/>
                <w:i w:val="0"/>
                <w:caps w:val="0"/>
                <w:color w:val="000000"/>
                <w:spacing w:val="0"/>
                <w:sz w:val="21"/>
                <w:szCs w:val="21"/>
                <w:highlight w:val="none"/>
              </w:rPr>
              <w:t>技术参数、性能（配置）及其他要求</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2533BD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57"/>
                <w:rFonts w:hint="eastAsia" w:ascii="宋体" w:hAnsi="宋体" w:eastAsia="宋体" w:cs="宋体"/>
                <w:b/>
                <w:bCs/>
                <w:i w:val="0"/>
                <w:caps w:val="0"/>
                <w:color w:val="000000"/>
                <w:spacing w:val="0"/>
                <w:sz w:val="21"/>
                <w:szCs w:val="21"/>
                <w:highlight w:val="none"/>
              </w:rPr>
            </w:pPr>
            <w:r>
              <w:rPr>
                <w:rFonts w:hint="eastAsia" w:ascii="宋体" w:hAnsi="宋体" w:eastAsia="宋体" w:cs="宋体"/>
                <w:b/>
                <w:bCs/>
                <w:color w:val="000000"/>
                <w:highlight w:val="none"/>
                <w:lang w:val="en-US" w:eastAsia="zh-CN"/>
              </w:rPr>
              <w:t>各分项</w:t>
            </w:r>
            <w:r>
              <w:rPr>
                <w:rFonts w:hint="eastAsia" w:ascii="宋体" w:hAnsi="宋体" w:eastAsia="宋体" w:cs="宋体"/>
                <w:b/>
                <w:bCs/>
                <w:color w:val="000000"/>
                <w:highlight w:val="none"/>
              </w:rPr>
              <w:t>最高限价</w:t>
            </w:r>
            <w:r>
              <w:rPr>
                <w:rFonts w:hint="eastAsia" w:ascii="宋体" w:hAnsi="宋体" w:eastAsia="宋体" w:cs="宋体"/>
                <w:b/>
                <w:bCs/>
                <w:color w:val="000000"/>
                <w:highlight w:val="none"/>
                <w:lang w:val="en-US" w:eastAsia="zh-CN"/>
              </w:rPr>
              <w:t>合计</w:t>
            </w:r>
            <w:r>
              <w:rPr>
                <w:rFonts w:hint="eastAsia" w:ascii="宋体" w:hAnsi="宋体" w:eastAsia="宋体" w:cs="宋体"/>
                <w:b/>
                <w:bCs/>
                <w:color w:val="000000"/>
                <w:highlight w:val="none"/>
                <w:lang w:eastAsia="zh-CN"/>
              </w:rPr>
              <w:t>（</w:t>
            </w:r>
            <w:r>
              <w:rPr>
                <w:rFonts w:hint="eastAsia" w:ascii="宋体" w:hAnsi="宋体" w:eastAsia="宋体" w:cs="宋体"/>
                <w:b/>
                <w:bCs/>
                <w:color w:val="000000"/>
                <w:highlight w:val="none"/>
                <w:lang w:val="en-US" w:eastAsia="zh-CN"/>
              </w:rPr>
              <w:t>元）</w:t>
            </w:r>
          </w:p>
        </w:tc>
      </w:tr>
      <w:tr w14:paraId="1855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jc w:val="center"/>
        </w:trPr>
        <w:tc>
          <w:tcPr>
            <w:tcW w:w="660" w:type="dxa"/>
            <w:tcBorders>
              <w:top w:val="single" w:color="auto" w:sz="4" w:space="0"/>
              <w:left w:val="single" w:color="auto" w:sz="4" w:space="0"/>
              <w:right w:val="single" w:color="auto" w:sz="4" w:space="0"/>
            </w:tcBorders>
            <w:noWrap w:val="0"/>
            <w:vAlign w:val="center"/>
          </w:tcPr>
          <w:p w14:paraId="06466BB4">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宋体" w:hAnsi="宋体" w:eastAsia="宋体" w:cs="宋体"/>
                <w:b/>
                <w:bCs/>
                <w:color w:val="000000"/>
                <w:sz w:val="21"/>
                <w:szCs w:val="21"/>
                <w:highlight w:val="none"/>
                <w:vertAlign w:val="baseline"/>
                <w:lang w:val="en-US" w:eastAsia="zh-CN"/>
              </w:rPr>
            </w:pPr>
            <w:r>
              <w:rPr>
                <w:rFonts w:hint="eastAsia" w:ascii="宋体" w:hAnsi="宋体" w:cs="宋体"/>
                <w:b/>
                <w:bCs/>
                <w:color w:val="000000"/>
                <w:sz w:val="21"/>
                <w:szCs w:val="21"/>
                <w:highlight w:val="none"/>
                <w:vertAlign w:val="baseline"/>
                <w:lang w:val="en-US" w:eastAsia="zh-CN"/>
              </w:rPr>
              <w:t>1</w:t>
            </w:r>
          </w:p>
        </w:tc>
        <w:tc>
          <w:tcPr>
            <w:tcW w:w="1474" w:type="dxa"/>
            <w:tcBorders>
              <w:top w:val="single" w:color="auto" w:sz="4" w:space="0"/>
              <w:left w:val="single" w:color="auto" w:sz="4" w:space="0"/>
              <w:right w:val="single" w:color="auto" w:sz="4" w:space="0"/>
            </w:tcBorders>
            <w:noWrap w:val="0"/>
            <w:vAlign w:val="center"/>
          </w:tcPr>
          <w:p w14:paraId="259D809D">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宋体" w:hAnsi="宋体" w:eastAsia="宋体" w:cs="宋体"/>
                <w:b/>
                <w:bCs/>
                <w:color w:val="000000"/>
                <w:sz w:val="21"/>
                <w:szCs w:val="21"/>
                <w:highlight w:val="none"/>
                <w:vertAlign w:val="baseline"/>
                <w:lang w:val="en-US" w:eastAsia="zh-CN"/>
              </w:rPr>
            </w:pPr>
            <w:r>
              <w:rPr>
                <w:rFonts w:hint="eastAsia" w:ascii="宋体" w:hAnsi="宋体" w:eastAsia="宋体" w:cs="宋体"/>
                <w:b/>
                <w:bCs/>
                <w:color w:val="000000"/>
                <w:kern w:val="0"/>
                <w:sz w:val="21"/>
                <w:szCs w:val="21"/>
                <w:highlight w:val="none"/>
                <w:lang w:eastAsia="zh-CN" w:bidi="ar"/>
              </w:rPr>
              <w:t>眼科OCT系统</w:t>
            </w:r>
          </w:p>
        </w:tc>
        <w:tc>
          <w:tcPr>
            <w:tcW w:w="852" w:type="dxa"/>
            <w:tcBorders>
              <w:top w:val="single" w:color="auto" w:sz="4" w:space="0"/>
              <w:left w:val="single" w:color="auto" w:sz="4" w:space="0"/>
              <w:right w:val="single" w:color="auto" w:sz="4" w:space="0"/>
            </w:tcBorders>
            <w:noWrap w:val="0"/>
            <w:vAlign w:val="center"/>
          </w:tcPr>
          <w:p w14:paraId="491A8601">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宋体" w:hAnsi="宋体" w:eastAsia="宋体" w:cs="宋体"/>
                <w:b/>
                <w:bCs/>
                <w:color w:val="000000"/>
                <w:sz w:val="21"/>
                <w:szCs w:val="21"/>
                <w:highlight w:val="none"/>
                <w:vertAlign w:val="baseline"/>
                <w:lang w:val="en-US" w:eastAsia="zh-CN"/>
              </w:rPr>
            </w:pPr>
            <w:r>
              <w:rPr>
                <w:rFonts w:hint="eastAsia" w:ascii="宋体" w:hAnsi="宋体" w:eastAsia="宋体" w:cs="宋体"/>
                <w:b/>
                <w:bCs/>
                <w:color w:val="000000"/>
                <w:sz w:val="21"/>
                <w:szCs w:val="21"/>
                <w:highlight w:val="none"/>
                <w:vertAlign w:val="baseline"/>
                <w:lang w:val="en-US" w:eastAsia="zh-CN"/>
              </w:rPr>
              <w:t>1套</w:t>
            </w:r>
          </w:p>
        </w:tc>
        <w:tc>
          <w:tcPr>
            <w:tcW w:w="6437" w:type="dxa"/>
            <w:tcBorders>
              <w:top w:val="single" w:color="auto" w:sz="4" w:space="0"/>
              <w:left w:val="single" w:color="auto" w:sz="4" w:space="0"/>
              <w:right w:val="single" w:color="auto" w:sz="4" w:space="0"/>
            </w:tcBorders>
            <w:noWrap w:val="0"/>
            <w:vAlign w:val="center"/>
          </w:tcPr>
          <w:p w14:paraId="2A97FDE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b/>
                <w:bCs w:val="0"/>
                <w:color w:val="000000"/>
                <w:sz w:val="21"/>
                <w:szCs w:val="21"/>
                <w:highlight w:val="none"/>
                <w:lang w:val="en-US" w:eastAsia="zh-CN"/>
              </w:rPr>
              <w:t>一、技术参数</w:t>
            </w:r>
          </w:p>
          <w:p w14:paraId="443C1A7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扫频激光器中心波长：</w:t>
            </w:r>
            <w:r>
              <w:rPr>
                <w:rFonts w:hint="eastAsia" w:ascii="宋体" w:hAnsi="宋体" w:eastAsia="宋体" w:cs="宋体"/>
                <w:color w:val="000000"/>
                <w:sz w:val="21"/>
                <w:szCs w:val="21"/>
                <w:highlight w:val="none"/>
                <w:lang w:val="en-US" w:eastAsia="zh-CN"/>
              </w:rPr>
              <w:t>≤1050</w:t>
            </w:r>
            <w:r>
              <w:rPr>
                <w:rFonts w:hint="eastAsia" w:ascii="宋体" w:hAnsi="宋体" w:eastAsia="宋体" w:cs="宋体"/>
                <w:color w:val="000000"/>
                <w:sz w:val="21"/>
                <w:szCs w:val="21"/>
                <w:highlight w:val="none"/>
              </w:rPr>
              <w:t>nm</w:t>
            </w:r>
            <w:r>
              <w:rPr>
                <w:rFonts w:hint="eastAsia" w:ascii="宋体" w:hAnsi="宋体" w:eastAsia="宋体" w:cs="宋体"/>
                <w:color w:val="000000"/>
                <w:sz w:val="21"/>
                <w:szCs w:val="21"/>
                <w:highlight w:val="none"/>
                <w:lang w:val="en-US" w:eastAsia="zh-CN"/>
              </w:rPr>
              <w:t>（不计算允差）</w:t>
            </w:r>
          </w:p>
          <w:p w14:paraId="2CD13D6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扫描速度：≥400000次A- Scan/秒</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单速度激光器）</w:t>
            </w:r>
            <w:r>
              <w:rPr>
                <w:rFonts w:hint="eastAsia" w:ascii="宋体" w:hAnsi="宋体" w:eastAsia="宋体" w:cs="宋体"/>
                <w:b/>
                <w:bCs/>
                <w:color w:val="000000"/>
                <w:sz w:val="21"/>
                <w:szCs w:val="21"/>
                <w:highlight w:val="none"/>
                <w:lang w:val="en-US" w:eastAsia="zh-CN"/>
              </w:rPr>
              <w:t>（投标时提供</w:t>
            </w:r>
            <w:r>
              <w:rPr>
                <w:rFonts w:hint="eastAsia" w:ascii="宋体" w:hAnsi="宋体" w:cs="宋体"/>
                <w:b/>
                <w:bCs/>
                <w:color w:val="000000"/>
                <w:sz w:val="21"/>
                <w:szCs w:val="21"/>
                <w:highlight w:val="none"/>
                <w:lang w:val="en-US" w:eastAsia="zh-CN"/>
              </w:rPr>
              <w:t>注册证</w:t>
            </w:r>
            <w:r>
              <w:rPr>
                <w:rFonts w:hint="eastAsia" w:ascii="宋体" w:hAnsi="宋体" w:eastAsia="宋体" w:cs="宋体"/>
                <w:b/>
                <w:bCs/>
                <w:color w:val="000000"/>
                <w:sz w:val="21"/>
                <w:szCs w:val="21"/>
                <w:highlight w:val="none"/>
              </w:rPr>
              <w:t>或检验报告</w:t>
            </w:r>
            <w:r>
              <w:rPr>
                <w:rFonts w:hint="eastAsia" w:ascii="宋体" w:hAnsi="宋体" w:eastAsia="宋体" w:cs="宋体"/>
                <w:b/>
                <w:bCs/>
                <w:color w:val="000000"/>
                <w:sz w:val="21"/>
                <w:szCs w:val="21"/>
                <w:highlight w:val="none"/>
                <w:lang w:val="en-US" w:eastAsia="zh-CN"/>
              </w:rPr>
              <w:t>等</w:t>
            </w:r>
            <w:r>
              <w:rPr>
                <w:rFonts w:hint="eastAsia" w:ascii="宋体" w:hAnsi="宋体" w:eastAsia="宋体" w:cs="宋体"/>
                <w:b/>
                <w:bCs/>
                <w:color w:val="000000"/>
                <w:sz w:val="21"/>
                <w:szCs w:val="21"/>
                <w:highlight w:val="none"/>
              </w:rPr>
              <w:t>产品技术要求</w:t>
            </w:r>
            <w:r>
              <w:rPr>
                <w:rFonts w:hint="eastAsia" w:ascii="宋体" w:hAnsi="宋体" w:eastAsia="宋体" w:cs="宋体"/>
                <w:b/>
                <w:bCs/>
                <w:color w:val="000000"/>
                <w:sz w:val="21"/>
                <w:szCs w:val="21"/>
                <w:highlight w:val="none"/>
                <w:lang w:val="en-US" w:eastAsia="zh-CN"/>
              </w:rPr>
              <w:t>证明文件并加盖投标人公章为准）</w:t>
            </w:r>
            <w:r>
              <w:rPr>
                <w:rFonts w:hint="eastAsia" w:ascii="宋体" w:hAnsi="宋体" w:eastAsia="宋体" w:cs="宋体"/>
                <w:color w:val="000000"/>
                <w:sz w:val="21"/>
                <w:szCs w:val="21"/>
                <w:highlight w:val="none"/>
                <w:lang w:eastAsia="zh-CN"/>
              </w:rPr>
              <w:t>。</w:t>
            </w:r>
          </w:p>
          <w:p w14:paraId="386BB1E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OCT横向光学分辨率≤10μm</w:t>
            </w:r>
          </w:p>
          <w:p w14:paraId="107E474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眼前节成像深度≥1</w:t>
            </w: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mm</w:t>
            </w:r>
          </w:p>
          <w:p w14:paraId="1220EF1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眼后节成像深度</w:t>
            </w:r>
            <w:r>
              <w:rPr>
                <w:rFonts w:hint="eastAsia" w:ascii="宋体" w:hAnsi="宋体" w:eastAsia="宋体" w:cs="宋体"/>
                <w:color w:val="000000"/>
                <w:sz w:val="21"/>
                <w:szCs w:val="21"/>
                <w:highlight w:val="none"/>
                <w:lang w:val="en-US" w:eastAsia="zh-CN"/>
              </w:rPr>
              <w:t>≥14</w:t>
            </w:r>
            <w:r>
              <w:rPr>
                <w:rFonts w:hint="eastAsia" w:ascii="宋体" w:hAnsi="宋体" w:eastAsia="宋体" w:cs="宋体"/>
                <w:color w:val="000000"/>
                <w:sz w:val="21"/>
                <w:szCs w:val="21"/>
                <w:highlight w:val="none"/>
              </w:rPr>
              <w:t>mm</w:t>
            </w:r>
          </w:p>
          <w:p w14:paraId="2FE74DA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眼前节OCT扫描最大范围≥20mm</w:t>
            </w:r>
          </w:p>
          <w:p w14:paraId="2D16C13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rPr>
              <w:t>眼后节</w:t>
            </w:r>
            <w:r>
              <w:rPr>
                <w:rFonts w:hint="eastAsia" w:ascii="宋体" w:hAnsi="宋体" w:eastAsia="宋体" w:cs="宋体"/>
                <w:color w:val="000000"/>
                <w:sz w:val="21"/>
                <w:szCs w:val="21"/>
                <w:highlight w:val="none"/>
                <w:lang w:val="en-US" w:eastAsia="zh-CN"/>
              </w:rPr>
              <w:t>OCT</w:t>
            </w:r>
            <w:r>
              <w:rPr>
                <w:rFonts w:hint="eastAsia" w:ascii="宋体" w:hAnsi="宋体" w:eastAsia="宋体" w:cs="宋体"/>
                <w:color w:val="000000"/>
                <w:sz w:val="21"/>
                <w:szCs w:val="21"/>
                <w:highlight w:val="none"/>
              </w:rPr>
              <w:t>扫描范围≥</w:t>
            </w:r>
            <w:r>
              <w:rPr>
                <w:rFonts w:hint="eastAsia" w:ascii="宋体" w:hAnsi="宋体" w:eastAsia="宋体" w:cs="宋体"/>
                <w:color w:val="000000"/>
                <w:sz w:val="21"/>
                <w:szCs w:val="21"/>
                <w:highlight w:val="none"/>
                <w:lang w:val="en-US" w:eastAsia="zh-CN"/>
              </w:rPr>
              <w:t>30mm或</w:t>
            </w: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0°</w:t>
            </w:r>
          </w:p>
          <w:p w14:paraId="61D9189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8.</w:t>
            </w:r>
            <w:r>
              <w:rPr>
                <w:rFonts w:hint="eastAsia" w:ascii="宋体" w:hAnsi="宋体" w:eastAsia="宋体" w:cs="宋体"/>
                <w:color w:val="000000"/>
                <w:sz w:val="21"/>
                <w:szCs w:val="21"/>
                <w:highlight w:val="none"/>
              </w:rPr>
              <w:t>前节血流成像单次扫描范围≥18mm×18mm</w:t>
            </w:r>
          </w:p>
          <w:p w14:paraId="743D209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眼底血流成像单次扫描最大范围≥</w:t>
            </w:r>
            <w:r>
              <w:rPr>
                <w:rFonts w:hint="eastAsia" w:ascii="宋体" w:hAnsi="宋体" w:eastAsia="宋体" w:cs="宋体"/>
                <w:color w:val="000000"/>
                <w:sz w:val="21"/>
                <w:szCs w:val="21"/>
                <w:highlight w:val="none"/>
                <w:lang w:val="en-US" w:eastAsia="zh-CN"/>
              </w:rPr>
              <w:t>30</w:t>
            </w:r>
            <w:r>
              <w:rPr>
                <w:rFonts w:hint="eastAsia" w:ascii="宋体" w:hAnsi="宋体" w:eastAsia="宋体" w:cs="宋体"/>
                <w:color w:val="000000"/>
                <w:sz w:val="21"/>
                <w:szCs w:val="21"/>
                <w:highlight w:val="none"/>
              </w:rPr>
              <w:t>mm×</w:t>
            </w:r>
            <w:r>
              <w:rPr>
                <w:rFonts w:hint="eastAsia" w:ascii="宋体" w:hAnsi="宋体" w:eastAsia="宋体" w:cs="宋体"/>
                <w:color w:val="000000"/>
                <w:sz w:val="21"/>
                <w:szCs w:val="21"/>
                <w:highlight w:val="none"/>
                <w:lang w:val="en-US" w:eastAsia="zh-CN"/>
              </w:rPr>
              <w:t>30</w:t>
            </w:r>
            <w:r>
              <w:rPr>
                <w:rFonts w:hint="eastAsia" w:ascii="宋体" w:hAnsi="宋体" w:eastAsia="宋体" w:cs="宋体"/>
                <w:color w:val="000000"/>
                <w:sz w:val="21"/>
                <w:szCs w:val="21"/>
                <w:highlight w:val="none"/>
              </w:rPr>
              <w:t>mm</w:t>
            </w:r>
          </w:p>
          <w:p w14:paraId="3779342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10.</w:t>
            </w:r>
            <w:r>
              <w:rPr>
                <w:rFonts w:hint="eastAsia" w:ascii="宋体" w:hAnsi="宋体" w:eastAsia="宋体" w:cs="宋体"/>
                <w:color w:val="000000"/>
                <w:sz w:val="21"/>
                <w:szCs w:val="21"/>
                <w:highlight w:val="none"/>
              </w:rPr>
              <w:t>眼底血流成像拼图最大范围≥4</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mm×4</w:t>
            </w:r>
            <w:r>
              <w:rPr>
                <w:rFonts w:hint="eastAsia" w:ascii="宋体" w:hAnsi="宋体" w:eastAsia="宋体" w:cs="宋体"/>
                <w:color w:val="000000"/>
                <w:sz w:val="21"/>
                <w:szCs w:val="21"/>
                <w:highlight w:val="none"/>
                <w:lang w:val="en-US" w:eastAsia="zh-CN"/>
              </w:rPr>
              <w:t>0</w:t>
            </w:r>
            <w:r>
              <w:rPr>
                <w:rFonts w:hint="eastAsia" w:ascii="宋体" w:hAnsi="宋体" w:eastAsia="宋体" w:cs="宋体"/>
                <w:color w:val="000000"/>
                <w:sz w:val="21"/>
                <w:szCs w:val="21"/>
                <w:highlight w:val="none"/>
              </w:rPr>
              <w:t>mm</w:t>
            </w:r>
            <w:r>
              <w:rPr>
                <w:rFonts w:hint="eastAsia" w:ascii="宋体" w:hAnsi="宋体" w:eastAsia="宋体" w:cs="宋体"/>
                <w:color w:val="000000"/>
                <w:sz w:val="21"/>
                <w:szCs w:val="21"/>
                <w:highlight w:val="none"/>
                <w:lang w:eastAsia="zh-CN"/>
              </w:rPr>
              <w:t>（</w:t>
            </w:r>
            <w:r>
              <w:rPr>
                <w:rFonts w:hint="eastAsia" w:ascii="宋体" w:hAnsi="宋体" w:cs="宋体"/>
                <w:color w:val="000000"/>
                <w:sz w:val="21"/>
                <w:szCs w:val="21"/>
                <w:highlight w:val="none"/>
                <w:lang w:val="en-US" w:eastAsia="zh-CN"/>
              </w:rPr>
              <w:t>不计算允差</w:t>
            </w:r>
            <w:r>
              <w:rPr>
                <w:rFonts w:hint="eastAsia" w:ascii="宋体" w:hAnsi="宋体" w:eastAsia="宋体" w:cs="宋体"/>
                <w:color w:val="000000"/>
                <w:sz w:val="21"/>
                <w:szCs w:val="21"/>
                <w:highlight w:val="none"/>
                <w:lang w:eastAsia="zh-CN"/>
              </w:rPr>
              <w:t>）</w:t>
            </w:r>
          </w:p>
          <w:p w14:paraId="1F3A5B0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11.</w:t>
            </w:r>
            <w:r>
              <w:rPr>
                <w:rFonts w:hint="eastAsia" w:ascii="宋体" w:hAnsi="宋体" w:eastAsia="宋体" w:cs="宋体"/>
                <w:color w:val="000000"/>
                <w:sz w:val="21"/>
                <w:szCs w:val="21"/>
                <w:highlight w:val="none"/>
              </w:rPr>
              <w:t>眼底成像技术：共聚焦成像技术</w:t>
            </w:r>
          </w:p>
          <w:p w14:paraId="684D155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12.</w:t>
            </w:r>
            <w:r>
              <w:rPr>
                <w:rFonts w:hint="eastAsia" w:ascii="宋体" w:hAnsi="宋体" w:eastAsia="宋体" w:cs="宋体"/>
                <w:color w:val="000000"/>
                <w:sz w:val="21"/>
                <w:szCs w:val="21"/>
                <w:highlight w:val="none"/>
              </w:rPr>
              <w:t>眼底成像扫描中心波长标准值（</w:t>
            </w:r>
            <w:r>
              <w:rPr>
                <w:rFonts w:hint="eastAsia" w:ascii="宋体" w:hAnsi="宋体" w:cs="宋体"/>
                <w:color w:val="000000"/>
                <w:sz w:val="21"/>
                <w:szCs w:val="21"/>
                <w:highlight w:val="none"/>
                <w:lang w:eastAsia="zh-CN"/>
              </w:rPr>
              <w:t>不计算允差</w:t>
            </w:r>
            <w:r>
              <w:rPr>
                <w:rFonts w:hint="eastAsia" w:ascii="宋体" w:hAnsi="宋体" w:eastAsia="宋体" w:cs="宋体"/>
                <w:color w:val="000000"/>
                <w:sz w:val="21"/>
                <w:szCs w:val="21"/>
                <w:highlight w:val="none"/>
              </w:rPr>
              <w:t xml:space="preserve">）: </w:t>
            </w:r>
            <w:r>
              <w:rPr>
                <w:rFonts w:hint="eastAsia" w:ascii="宋体" w:hAnsi="宋体" w:eastAsia="宋体" w:cs="宋体"/>
                <w:color w:val="000000"/>
                <w:sz w:val="21"/>
                <w:szCs w:val="21"/>
                <w:highlight w:val="none"/>
                <w:lang w:val="en-US" w:eastAsia="zh-CN"/>
              </w:rPr>
              <w:t>≤830</w:t>
            </w:r>
            <w:r>
              <w:rPr>
                <w:rFonts w:hint="eastAsia" w:ascii="宋体" w:hAnsi="宋体" w:eastAsia="宋体" w:cs="宋体"/>
                <w:color w:val="000000"/>
                <w:sz w:val="21"/>
                <w:szCs w:val="21"/>
                <w:highlight w:val="none"/>
              </w:rPr>
              <w:t>nm</w:t>
            </w:r>
            <w:r>
              <w:rPr>
                <w:rFonts w:hint="eastAsia" w:ascii="宋体" w:hAnsi="宋体" w:eastAsia="宋体" w:cs="宋体"/>
                <w:b/>
                <w:bCs/>
                <w:color w:val="000000"/>
                <w:sz w:val="21"/>
                <w:szCs w:val="21"/>
                <w:highlight w:val="none"/>
                <w:lang w:eastAsia="zh-CN"/>
              </w:rPr>
              <w:t>（</w:t>
            </w:r>
            <w:r>
              <w:rPr>
                <w:rFonts w:hint="eastAsia" w:ascii="宋体" w:hAnsi="宋体" w:eastAsia="宋体" w:cs="宋体"/>
                <w:b/>
                <w:bCs/>
                <w:color w:val="000000"/>
                <w:sz w:val="21"/>
                <w:szCs w:val="21"/>
                <w:highlight w:val="none"/>
                <w:lang w:val="en-US" w:eastAsia="zh-CN"/>
              </w:rPr>
              <w:t>投标时提供</w:t>
            </w:r>
            <w:r>
              <w:rPr>
                <w:rFonts w:hint="eastAsia" w:ascii="宋体" w:hAnsi="宋体" w:cs="宋体"/>
                <w:b/>
                <w:bCs/>
                <w:color w:val="000000"/>
                <w:sz w:val="21"/>
                <w:szCs w:val="21"/>
                <w:highlight w:val="none"/>
                <w:lang w:val="en-US" w:eastAsia="zh-CN"/>
              </w:rPr>
              <w:t>注册证</w:t>
            </w:r>
            <w:r>
              <w:rPr>
                <w:rFonts w:hint="eastAsia" w:ascii="宋体" w:hAnsi="宋体" w:eastAsia="宋体" w:cs="宋体"/>
                <w:b/>
                <w:bCs/>
                <w:color w:val="000000"/>
                <w:sz w:val="21"/>
                <w:szCs w:val="21"/>
                <w:highlight w:val="none"/>
              </w:rPr>
              <w:t>或检验报告</w:t>
            </w:r>
            <w:r>
              <w:rPr>
                <w:rFonts w:hint="eastAsia" w:ascii="宋体" w:hAnsi="宋体" w:eastAsia="宋体" w:cs="宋体"/>
                <w:b/>
                <w:bCs/>
                <w:color w:val="000000"/>
                <w:sz w:val="21"/>
                <w:szCs w:val="21"/>
                <w:highlight w:val="none"/>
                <w:lang w:val="en-US" w:eastAsia="zh-CN"/>
              </w:rPr>
              <w:t>等</w:t>
            </w:r>
            <w:r>
              <w:rPr>
                <w:rFonts w:hint="eastAsia" w:ascii="宋体" w:hAnsi="宋体" w:eastAsia="宋体" w:cs="宋体"/>
                <w:b/>
                <w:bCs/>
                <w:color w:val="000000"/>
                <w:sz w:val="21"/>
                <w:szCs w:val="21"/>
                <w:highlight w:val="none"/>
              </w:rPr>
              <w:t>产品技术要求</w:t>
            </w:r>
            <w:r>
              <w:rPr>
                <w:rFonts w:hint="eastAsia" w:ascii="宋体" w:hAnsi="宋体" w:eastAsia="宋体" w:cs="宋体"/>
                <w:b/>
                <w:bCs/>
                <w:color w:val="000000"/>
                <w:sz w:val="21"/>
                <w:szCs w:val="21"/>
                <w:highlight w:val="none"/>
                <w:lang w:val="en-US" w:eastAsia="zh-CN"/>
              </w:rPr>
              <w:t>证明文件并加盖投标人公章为准）。</w:t>
            </w:r>
          </w:p>
          <w:p w14:paraId="3A13A24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13.</w:t>
            </w:r>
            <w:r>
              <w:rPr>
                <w:rFonts w:hint="eastAsia" w:ascii="宋体" w:hAnsi="宋体" w:eastAsia="宋体" w:cs="宋体"/>
                <w:color w:val="000000"/>
                <w:sz w:val="21"/>
                <w:szCs w:val="21"/>
                <w:highlight w:val="none"/>
              </w:rPr>
              <w:t>眼底成像范围≥</w:t>
            </w:r>
            <w:r>
              <w:rPr>
                <w:rFonts w:hint="eastAsia" w:ascii="宋体" w:hAnsi="宋体" w:eastAsia="宋体" w:cs="宋体"/>
                <w:color w:val="000000"/>
                <w:sz w:val="21"/>
                <w:szCs w:val="21"/>
                <w:highlight w:val="none"/>
                <w:lang w:val="en-US" w:eastAsia="zh-CN"/>
              </w:rPr>
              <w:t>106</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106</w:t>
            </w:r>
            <w:r>
              <w:rPr>
                <w:rFonts w:hint="eastAsia" w:ascii="宋体" w:hAnsi="宋体" w:eastAsia="宋体" w:cs="宋体"/>
                <w:color w:val="000000"/>
                <w:sz w:val="21"/>
                <w:szCs w:val="21"/>
                <w:highlight w:val="none"/>
              </w:rPr>
              <w:t>°</w:t>
            </w:r>
          </w:p>
          <w:p w14:paraId="2597509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14.</w:t>
            </w:r>
            <w:r>
              <w:rPr>
                <w:rFonts w:hint="eastAsia" w:ascii="宋体" w:hAnsi="宋体" w:eastAsia="宋体" w:cs="宋体"/>
                <w:color w:val="000000"/>
                <w:sz w:val="21"/>
                <w:szCs w:val="21"/>
                <w:highlight w:val="none"/>
              </w:rPr>
              <w:t>实时眼球追踪≥1</w:t>
            </w:r>
            <w:r>
              <w:rPr>
                <w:rFonts w:hint="eastAsia" w:ascii="宋体" w:hAnsi="宋体" w:eastAsia="宋体" w:cs="宋体"/>
                <w:color w:val="000000"/>
                <w:sz w:val="21"/>
                <w:szCs w:val="21"/>
                <w:highlight w:val="none"/>
                <w:lang w:val="en-US" w:eastAsia="zh-CN"/>
              </w:rPr>
              <w:t>50</w:t>
            </w:r>
            <w:r>
              <w:rPr>
                <w:rFonts w:hint="eastAsia" w:ascii="宋体" w:hAnsi="宋体" w:eastAsia="宋体" w:cs="宋体"/>
                <w:color w:val="000000"/>
                <w:sz w:val="21"/>
                <w:szCs w:val="21"/>
                <w:highlight w:val="none"/>
              </w:rPr>
              <w:t>Hz（不计算允差</w:t>
            </w:r>
            <w:r>
              <w:rPr>
                <w:rFonts w:hint="eastAsia" w:ascii="宋体" w:hAnsi="宋体" w:eastAsia="宋体" w:cs="宋体"/>
                <w:color w:val="000000"/>
                <w:sz w:val="21"/>
                <w:szCs w:val="21"/>
                <w:highlight w:val="none"/>
                <w:lang w:eastAsia="zh-CN"/>
              </w:rPr>
              <w:t>）</w:t>
            </w:r>
            <w:r>
              <w:rPr>
                <w:rFonts w:hint="eastAsia" w:ascii="宋体" w:hAnsi="宋体" w:eastAsia="宋体" w:cs="宋体"/>
                <w:b/>
                <w:bCs/>
                <w:color w:val="000000"/>
                <w:sz w:val="21"/>
                <w:szCs w:val="21"/>
                <w:highlight w:val="none"/>
                <w:lang w:eastAsia="zh-CN"/>
              </w:rPr>
              <w:t>（</w:t>
            </w:r>
            <w:r>
              <w:rPr>
                <w:rFonts w:hint="eastAsia" w:ascii="宋体" w:hAnsi="宋体" w:eastAsia="宋体" w:cs="宋体"/>
                <w:b/>
                <w:bCs/>
                <w:color w:val="000000"/>
                <w:sz w:val="21"/>
                <w:szCs w:val="21"/>
                <w:highlight w:val="none"/>
                <w:lang w:val="en-US" w:eastAsia="zh-CN"/>
              </w:rPr>
              <w:t>投标时提供</w:t>
            </w:r>
            <w:r>
              <w:rPr>
                <w:rFonts w:hint="eastAsia" w:ascii="宋体" w:hAnsi="宋体" w:cs="宋体"/>
                <w:b/>
                <w:bCs/>
                <w:color w:val="000000"/>
                <w:sz w:val="21"/>
                <w:szCs w:val="21"/>
                <w:highlight w:val="none"/>
                <w:lang w:val="en-US" w:eastAsia="zh-CN"/>
              </w:rPr>
              <w:t>注册证</w:t>
            </w:r>
            <w:r>
              <w:rPr>
                <w:rFonts w:hint="eastAsia" w:ascii="宋体" w:hAnsi="宋体" w:eastAsia="宋体" w:cs="宋体"/>
                <w:b/>
                <w:bCs/>
                <w:color w:val="000000"/>
                <w:sz w:val="21"/>
                <w:szCs w:val="21"/>
                <w:highlight w:val="none"/>
              </w:rPr>
              <w:t>或检验报告</w:t>
            </w:r>
            <w:r>
              <w:rPr>
                <w:rFonts w:hint="eastAsia" w:ascii="宋体" w:hAnsi="宋体" w:eastAsia="宋体" w:cs="宋体"/>
                <w:b/>
                <w:bCs/>
                <w:color w:val="000000"/>
                <w:sz w:val="21"/>
                <w:szCs w:val="21"/>
                <w:highlight w:val="none"/>
                <w:lang w:val="en-US" w:eastAsia="zh-CN"/>
              </w:rPr>
              <w:t>等</w:t>
            </w:r>
            <w:r>
              <w:rPr>
                <w:rFonts w:hint="eastAsia" w:ascii="宋体" w:hAnsi="宋体" w:eastAsia="宋体" w:cs="宋体"/>
                <w:b/>
                <w:bCs/>
                <w:color w:val="000000"/>
                <w:sz w:val="21"/>
                <w:szCs w:val="21"/>
                <w:highlight w:val="none"/>
              </w:rPr>
              <w:t>产品技术要求</w:t>
            </w:r>
            <w:r>
              <w:rPr>
                <w:rFonts w:hint="eastAsia" w:ascii="宋体" w:hAnsi="宋体" w:eastAsia="宋体" w:cs="宋体"/>
                <w:b/>
                <w:bCs/>
                <w:color w:val="000000"/>
                <w:sz w:val="21"/>
                <w:szCs w:val="21"/>
                <w:highlight w:val="none"/>
                <w:lang w:val="en-US" w:eastAsia="zh-CN"/>
              </w:rPr>
              <w:t>证明文件并加盖投标人公章为准）。</w:t>
            </w:r>
          </w:p>
          <w:p w14:paraId="5F0BFA2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15.</w:t>
            </w:r>
            <w:r>
              <w:rPr>
                <w:rFonts w:hint="eastAsia" w:ascii="宋体" w:hAnsi="宋体" w:eastAsia="宋体" w:cs="宋体"/>
                <w:color w:val="000000"/>
                <w:sz w:val="21"/>
                <w:szCs w:val="21"/>
                <w:highlight w:val="none"/>
              </w:rPr>
              <w:t>动态C-scan显示，C-scan平面可根据组织结构自适应变化</w:t>
            </w:r>
            <w:r>
              <w:rPr>
                <w:rFonts w:hint="eastAsia" w:ascii="宋体" w:hAnsi="宋体" w:eastAsia="宋体" w:cs="宋体"/>
                <w:color w:val="000000"/>
                <w:sz w:val="21"/>
                <w:szCs w:val="21"/>
                <w:highlight w:val="none"/>
                <w:lang w:val="en-US" w:eastAsia="zh-CN"/>
              </w:rPr>
              <w:t>;具备基于深度学习的人工智能分层，支持手动调整分层线并可自动扩展调整范围。</w:t>
            </w:r>
          </w:p>
          <w:p w14:paraId="760E454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16.</w:t>
            </w:r>
            <w:r>
              <w:rPr>
                <w:rFonts w:hint="eastAsia" w:ascii="宋体" w:hAnsi="宋体" w:eastAsia="宋体" w:cs="宋体"/>
                <w:color w:val="000000"/>
                <w:sz w:val="21"/>
                <w:szCs w:val="21"/>
                <w:highlight w:val="none"/>
              </w:rPr>
              <w:t>血流成像量化功能至少包含：血流密度、血管长度密度、血管直径指数、分形维数</w:t>
            </w:r>
            <w:r>
              <w:rPr>
                <w:rFonts w:hint="eastAsia" w:ascii="宋体" w:hAnsi="宋体" w:eastAsia="宋体" w:cs="宋体"/>
                <w:color w:val="000000"/>
                <w:sz w:val="21"/>
                <w:szCs w:val="21"/>
                <w:highlight w:val="none"/>
                <w:lang w:eastAsia="zh-CN"/>
              </w:rPr>
              <w:t>。</w:t>
            </w:r>
          </w:p>
          <w:p w14:paraId="245174C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17.</w:t>
            </w:r>
            <w:r>
              <w:rPr>
                <w:rFonts w:hint="eastAsia" w:ascii="宋体" w:hAnsi="宋体" w:eastAsia="宋体" w:cs="宋体"/>
                <w:color w:val="000000"/>
                <w:sz w:val="21"/>
                <w:szCs w:val="21"/>
                <w:highlight w:val="none"/>
              </w:rPr>
              <w:t>青光眼分析具备杯盘比、视杯视盘面积、盘沿面积、神经纤维层厚度、神经节细胞复合体厚度、青光眼进展趋势厚度等参数进行自动量化，支持双眼及对比分析</w:t>
            </w:r>
            <w:r>
              <w:rPr>
                <w:rFonts w:hint="eastAsia" w:ascii="宋体" w:hAnsi="宋体" w:eastAsia="宋体" w:cs="宋体"/>
                <w:color w:val="000000"/>
                <w:sz w:val="21"/>
                <w:szCs w:val="21"/>
                <w:highlight w:val="none"/>
                <w:lang w:eastAsia="zh-CN"/>
              </w:rPr>
              <w:t>。</w:t>
            </w:r>
          </w:p>
          <w:p w14:paraId="296A5CA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18.</w:t>
            </w:r>
            <w:r>
              <w:rPr>
                <w:rFonts w:hint="eastAsia" w:ascii="宋体" w:hAnsi="宋体" w:eastAsia="宋体" w:cs="宋体"/>
                <w:color w:val="000000"/>
                <w:sz w:val="21"/>
                <w:szCs w:val="21"/>
                <w:highlight w:val="none"/>
              </w:rPr>
              <w:t>具备脉络膜大中血管显示及量化功能，支持拼图后量化</w:t>
            </w:r>
            <w:r>
              <w:rPr>
                <w:rFonts w:hint="eastAsia" w:eastAsia="宋体"/>
                <w:color w:val="000000"/>
                <w:highlight w:val="none"/>
                <w:lang w:eastAsia="zh-CN"/>
              </w:rPr>
              <w:t>；</w:t>
            </w:r>
            <w:r>
              <w:rPr>
                <w:rFonts w:hint="eastAsia" w:ascii="宋体" w:hAnsi="宋体" w:eastAsia="宋体" w:cs="宋体"/>
                <w:color w:val="000000"/>
                <w:sz w:val="21"/>
                <w:szCs w:val="21"/>
                <w:highlight w:val="none"/>
              </w:rPr>
              <w:t>具备晶体厚度、晶状体倾斜、晶体偏心距、晶体拱高、晶状体矢高CLR、瞳孔直径、白到白测量功能、具备ICL拱高自动测量功能</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具备360度晶状体形态显示分析。</w:t>
            </w:r>
          </w:p>
          <w:p w14:paraId="78DA7BC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19.前节测量</w:t>
            </w:r>
            <w:r>
              <w:rPr>
                <w:rFonts w:hint="eastAsia" w:ascii="宋体" w:hAnsi="宋体" w:eastAsia="宋体" w:cs="宋体"/>
                <w:color w:val="000000"/>
                <w:sz w:val="21"/>
                <w:szCs w:val="21"/>
                <w:highlight w:val="none"/>
              </w:rPr>
              <w:t>包含角膜曲率和厚度、瞳孔直径、前房深度、晶体厚度、角膜直径的测量</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具备角膜地形图、角膜上皮厚度地形图、角膜基质厚度地形图</w:t>
            </w:r>
            <w:r>
              <w:rPr>
                <w:rFonts w:hint="eastAsia" w:ascii="宋体" w:hAnsi="宋体" w:eastAsia="宋体" w:cs="宋体"/>
                <w:color w:val="000000"/>
                <w:sz w:val="21"/>
                <w:szCs w:val="21"/>
                <w:highlight w:val="none"/>
                <w:lang w:eastAsia="zh-CN"/>
              </w:rPr>
              <w:t>。</w:t>
            </w:r>
          </w:p>
          <w:p w14:paraId="59D22E4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20.</w:t>
            </w:r>
            <w:r>
              <w:rPr>
                <w:rFonts w:hint="eastAsia" w:ascii="宋体" w:hAnsi="宋体" w:eastAsia="宋体" w:cs="宋体"/>
                <w:color w:val="000000"/>
                <w:sz w:val="21"/>
                <w:szCs w:val="21"/>
                <w:highlight w:val="none"/>
              </w:rPr>
              <w:t>具备小梁虹膜空间面积、房角开放距离、小梁虹膜夹角、房角隐窝面积、</w:t>
            </w:r>
            <w:r>
              <w:rPr>
                <w:rFonts w:hint="eastAsia" w:ascii="宋体" w:hAnsi="宋体" w:eastAsia="宋体" w:cs="宋体"/>
                <w:color w:val="000000"/>
                <w:sz w:val="21"/>
                <w:szCs w:val="21"/>
                <w:highlight w:val="none"/>
                <w:lang w:val="en-US" w:eastAsia="zh-CN"/>
              </w:rPr>
              <w:t>支持360°全景房角自动量化</w:t>
            </w:r>
            <w:r>
              <w:rPr>
                <w:rFonts w:hint="eastAsia" w:ascii="宋体" w:hAnsi="宋体" w:eastAsia="宋体" w:cs="宋体"/>
                <w:color w:val="000000"/>
                <w:sz w:val="21"/>
                <w:szCs w:val="21"/>
                <w:highlight w:val="none"/>
              </w:rPr>
              <w:t>等自动测量功能</w:t>
            </w:r>
            <w:r>
              <w:rPr>
                <w:rFonts w:hint="eastAsia" w:ascii="宋体" w:hAnsi="宋体" w:eastAsia="宋体" w:cs="宋体"/>
                <w:color w:val="000000"/>
                <w:sz w:val="21"/>
                <w:szCs w:val="21"/>
                <w:highlight w:val="none"/>
                <w:lang w:eastAsia="zh-CN"/>
              </w:rPr>
              <w:t>。</w:t>
            </w:r>
          </w:p>
          <w:p w14:paraId="195B918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21.具备内置前节镜头组件，前后节成像可由电机自动切换镜头，无外置镜头下即可显示全景前节断层图像同时显示角膜及双侧房角。</w:t>
            </w:r>
          </w:p>
          <w:p w14:paraId="6B8EFA1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22.可在非超广角镜头下使用标准镜头进行黄斑及视神经精细成像。</w:t>
            </w:r>
          </w:p>
          <w:p w14:paraId="383F947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23.</w:t>
            </w:r>
            <w:r>
              <w:rPr>
                <w:rFonts w:hint="eastAsia" w:ascii="宋体" w:hAnsi="宋体" w:eastAsia="宋体" w:cs="宋体"/>
                <w:color w:val="000000"/>
                <w:sz w:val="21"/>
                <w:szCs w:val="21"/>
                <w:highlight w:val="none"/>
              </w:rPr>
              <w:t>具备一键</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非手动杆操作）</w:t>
            </w:r>
            <w:r>
              <w:rPr>
                <w:rFonts w:hint="eastAsia" w:ascii="宋体" w:hAnsi="宋体" w:eastAsia="宋体" w:cs="宋体"/>
                <w:color w:val="000000"/>
                <w:sz w:val="21"/>
                <w:szCs w:val="21"/>
                <w:highlight w:val="none"/>
              </w:rPr>
              <w:t>全自动对准及对焦功能，包含设备机头上下左右前后、OCT图像自动居中及对焦、OCT信号自动调节至最强信号等</w:t>
            </w:r>
            <w:r>
              <w:rPr>
                <w:rFonts w:hint="eastAsia" w:ascii="宋体" w:hAnsi="宋体" w:eastAsia="宋体" w:cs="宋体"/>
                <w:color w:val="000000"/>
                <w:sz w:val="21"/>
                <w:szCs w:val="21"/>
                <w:highlight w:val="none"/>
                <w:lang w:eastAsia="zh-CN"/>
              </w:rPr>
              <w:t>。</w:t>
            </w:r>
          </w:p>
          <w:p w14:paraId="794EC6E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24.具备全层去伪影功能，在OCTA及断层图像上的血流信号均可去除投射伪影。</w:t>
            </w:r>
          </w:p>
          <w:p w14:paraId="3BAF811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25.</w:t>
            </w:r>
            <w:r>
              <w:rPr>
                <w:rFonts w:hint="eastAsia" w:ascii="宋体" w:hAnsi="宋体" w:eastAsia="宋体" w:cs="宋体"/>
                <w:color w:val="000000"/>
                <w:sz w:val="21"/>
                <w:szCs w:val="21"/>
                <w:highlight w:val="none"/>
              </w:rPr>
              <w:t>可根据用户习惯，自定义常用扫描模式</w:t>
            </w:r>
            <w:r>
              <w:rPr>
                <w:rFonts w:hint="eastAsia" w:ascii="宋体" w:hAnsi="宋体" w:eastAsia="宋体" w:cs="宋体"/>
                <w:color w:val="000000"/>
                <w:sz w:val="21"/>
                <w:szCs w:val="21"/>
                <w:highlight w:val="none"/>
                <w:lang w:eastAsia="zh-CN"/>
              </w:rPr>
              <w:t>。</w:t>
            </w:r>
          </w:p>
          <w:p w14:paraId="63FAA2B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26.</w:t>
            </w:r>
            <w:r>
              <w:rPr>
                <w:rFonts w:hint="eastAsia" w:ascii="宋体" w:hAnsi="宋体" w:eastAsia="宋体" w:cs="宋体"/>
                <w:color w:val="000000"/>
                <w:sz w:val="21"/>
                <w:szCs w:val="21"/>
                <w:highlight w:val="none"/>
              </w:rPr>
              <w:t>最小瞳孔直径：≤2mm</w:t>
            </w:r>
          </w:p>
          <w:p w14:paraId="6838FAF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27.</w:t>
            </w:r>
            <w:r>
              <w:rPr>
                <w:rFonts w:hint="eastAsia" w:ascii="宋体" w:hAnsi="宋体" w:eastAsia="宋体" w:cs="宋体"/>
                <w:color w:val="000000"/>
                <w:sz w:val="21"/>
                <w:szCs w:val="21"/>
                <w:highlight w:val="none"/>
              </w:rPr>
              <w:t>屈光补偿范围≥-3</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D~+4</w:t>
            </w: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rPr>
              <w:t>D</w:t>
            </w:r>
          </w:p>
          <w:p w14:paraId="7598346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28.</w:t>
            </w:r>
            <w:r>
              <w:rPr>
                <w:rFonts w:hint="eastAsia" w:ascii="宋体" w:hAnsi="宋体" w:eastAsia="宋体" w:cs="宋体"/>
                <w:color w:val="000000"/>
                <w:sz w:val="21"/>
                <w:szCs w:val="21"/>
                <w:highlight w:val="none"/>
              </w:rPr>
              <w:t>颏托可调节范围≥</w:t>
            </w:r>
            <w:r>
              <w:rPr>
                <w:rFonts w:hint="eastAsia" w:ascii="宋体" w:hAnsi="宋体" w:eastAsia="宋体" w:cs="宋体"/>
                <w:color w:val="000000"/>
                <w:sz w:val="21"/>
                <w:szCs w:val="21"/>
                <w:highlight w:val="none"/>
                <w:lang w:val="en-US" w:eastAsia="zh-CN"/>
              </w:rPr>
              <w:t>80</w:t>
            </w:r>
            <w:r>
              <w:rPr>
                <w:rFonts w:hint="eastAsia" w:ascii="宋体" w:hAnsi="宋体" w:eastAsia="宋体" w:cs="宋体"/>
                <w:color w:val="000000"/>
                <w:sz w:val="21"/>
                <w:szCs w:val="21"/>
                <w:highlight w:val="none"/>
              </w:rPr>
              <w:t>mm</w:t>
            </w:r>
          </w:p>
          <w:p w14:paraId="2962751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29.</w:t>
            </w:r>
            <w:r>
              <w:rPr>
                <w:rFonts w:hint="eastAsia" w:ascii="宋体" w:hAnsi="宋体" w:eastAsia="宋体" w:cs="宋体"/>
                <w:color w:val="000000"/>
                <w:sz w:val="21"/>
                <w:szCs w:val="21"/>
                <w:highlight w:val="none"/>
              </w:rPr>
              <w:t>显示器: 非曲面屏，避免图像查看变形</w:t>
            </w:r>
          </w:p>
          <w:p w14:paraId="659A64D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30.可实现多终端数据分析浏览</w:t>
            </w:r>
          </w:p>
          <w:p w14:paraId="73BF306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二</w:t>
            </w:r>
            <w:r>
              <w:rPr>
                <w:rFonts w:hint="eastAsia" w:ascii="宋体" w:hAnsi="宋体" w:eastAsia="宋体" w:cs="宋体"/>
                <w:b/>
                <w:bCs/>
                <w:color w:val="000000"/>
                <w:sz w:val="21"/>
                <w:szCs w:val="21"/>
                <w:highlight w:val="none"/>
              </w:rPr>
              <w:t>、设备配置清单：</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2451"/>
              <w:gridCol w:w="658"/>
              <w:gridCol w:w="695"/>
              <w:gridCol w:w="705"/>
            </w:tblGrid>
            <w:tr w14:paraId="57B6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0"/>
                  <w:vAlign w:val="top"/>
                </w:tcPr>
                <w:p w14:paraId="42B4F3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b/>
                      <w:bCs/>
                      <w:color w:val="000000"/>
                      <w:sz w:val="21"/>
                      <w:szCs w:val="21"/>
                      <w:highlight w:val="none"/>
                      <w:vertAlign w:val="baseline"/>
                      <w:lang w:val="en-US" w:eastAsia="zh-CN"/>
                    </w:rPr>
                    <w:t>序号</w:t>
                  </w:r>
                </w:p>
              </w:tc>
              <w:tc>
                <w:tcPr>
                  <w:tcW w:w="2451" w:type="dxa"/>
                  <w:tcBorders>
                    <w:top w:val="single" w:color="auto" w:sz="4" w:space="0"/>
                    <w:left w:val="single" w:color="auto" w:sz="4" w:space="0"/>
                    <w:bottom w:val="single" w:color="auto" w:sz="4" w:space="0"/>
                    <w:right w:val="single" w:color="auto" w:sz="4" w:space="0"/>
                  </w:tcBorders>
                  <w:noWrap w:val="0"/>
                  <w:vAlign w:val="top"/>
                </w:tcPr>
                <w:p w14:paraId="43603A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b/>
                      <w:bCs/>
                      <w:color w:val="000000"/>
                      <w:sz w:val="21"/>
                      <w:szCs w:val="21"/>
                      <w:highlight w:val="none"/>
                      <w:vertAlign w:val="baseline"/>
                      <w:lang w:val="en-US" w:eastAsia="zh-CN"/>
                    </w:rPr>
                    <w:t>名称</w:t>
                  </w:r>
                </w:p>
              </w:tc>
              <w:tc>
                <w:tcPr>
                  <w:tcW w:w="658" w:type="dxa"/>
                  <w:tcBorders>
                    <w:top w:val="single" w:color="auto" w:sz="4" w:space="0"/>
                    <w:left w:val="single" w:color="auto" w:sz="4" w:space="0"/>
                    <w:bottom w:val="single" w:color="auto" w:sz="4" w:space="0"/>
                    <w:right w:val="single" w:color="auto" w:sz="4" w:space="0"/>
                  </w:tcBorders>
                  <w:noWrap w:val="0"/>
                  <w:vAlign w:val="top"/>
                </w:tcPr>
                <w:p w14:paraId="11E083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b/>
                      <w:bCs/>
                      <w:color w:val="000000"/>
                      <w:sz w:val="21"/>
                      <w:szCs w:val="21"/>
                      <w:highlight w:val="none"/>
                      <w:vertAlign w:val="baseline"/>
                      <w:lang w:val="en-US" w:eastAsia="zh-CN"/>
                    </w:rPr>
                    <w:t>数量</w:t>
                  </w:r>
                </w:p>
              </w:tc>
              <w:tc>
                <w:tcPr>
                  <w:tcW w:w="695" w:type="dxa"/>
                  <w:tcBorders>
                    <w:top w:val="single" w:color="auto" w:sz="4" w:space="0"/>
                    <w:left w:val="single" w:color="auto" w:sz="4" w:space="0"/>
                    <w:bottom w:val="single" w:color="auto" w:sz="4" w:space="0"/>
                    <w:right w:val="single" w:color="auto" w:sz="4" w:space="0"/>
                  </w:tcBorders>
                  <w:noWrap w:val="0"/>
                  <w:vAlign w:val="top"/>
                </w:tcPr>
                <w:p w14:paraId="1109F7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b/>
                      <w:bCs/>
                      <w:color w:val="000000"/>
                      <w:sz w:val="21"/>
                      <w:szCs w:val="21"/>
                      <w:highlight w:val="none"/>
                      <w:vertAlign w:val="baseline"/>
                      <w:lang w:val="en-US" w:eastAsia="zh-CN"/>
                    </w:rPr>
                    <w:t>单位</w:t>
                  </w:r>
                </w:p>
              </w:tc>
              <w:tc>
                <w:tcPr>
                  <w:tcW w:w="705" w:type="dxa"/>
                  <w:tcBorders>
                    <w:top w:val="single" w:color="auto" w:sz="4" w:space="0"/>
                    <w:left w:val="single" w:color="auto" w:sz="4" w:space="0"/>
                    <w:bottom w:val="single" w:color="auto" w:sz="4" w:space="0"/>
                    <w:right w:val="single" w:color="auto" w:sz="4" w:space="0"/>
                  </w:tcBorders>
                  <w:noWrap w:val="0"/>
                  <w:vAlign w:val="top"/>
                </w:tcPr>
                <w:p w14:paraId="03C10C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b/>
                      <w:bCs/>
                      <w:color w:val="000000"/>
                      <w:sz w:val="21"/>
                      <w:szCs w:val="21"/>
                      <w:highlight w:val="none"/>
                      <w:vertAlign w:val="baseline"/>
                      <w:lang w:val="en-US" w:eastAsia="zh-CN"/>
                    </w:rPr>
                    <w:t>备注</w:t>
                  </w:r>
                </w:p>
              </w:tc>
            </w:tr>
            <w:tr w14:paraId="7AE8A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0"/>
                  <w:vAlign w:val="top"/>
                </w:tcPr>
                <w:p w14:paraId="4BE1A0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1</w:t>
                  </w:r>
                </w:p>
              </w:tc>
              <w:tc>
                <w:tcPr>
                  <w:tcW w:w="2451" w:type="dxa"/>
                  <w:tcBorders>
                    <w:top w:val="single" w:color="auto" w:sz="4" w:space="0"/>
                    <w:left w:val="single" w:color="auto" w:sz="4" w:space="0"/>
                    <w:bottom w:val="single" w:color="auto" w:sz="4" w:space="0"/>
                    <w:right w:val="single" w:color="auto" w:sz="4" w:space="0"/>
                  </w:tcBorders>
                  <w:noWrap w:val="0"/>
                  <w:vAlign w:val="top"/>
                </w:tcPr>
                <w:p w14:paraId="0C4A5AF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lang w:val="en-US" w:eastAsia="zh-CN"/>
                    </w:rPr>
                    <w:t>OCT主机</w:t>
                  </w:r>
                </w:p>
              </w:tc>
              <w:tc>
                <w:tcPr>
                  <w:tcW w:w="658" w:type="dxa"/>
                  <w:tcBorders>
                    <w:top w:val="single" w:color="auto" w:sz="4" w:space="0"/>
                    <w:left w:val="single" w:color="auto" w:sz="4" w:space="0"/>
                    <w:bottom w:val="single" w:color="auto" w:sz="4" w:space="0"/>
                    <w:right w:val="single" w:color="auto" w:sz="4" w:space="0"/>
                  </w:tcBorders>
                  <w:noWrap w:val="0"/>
                  <w:vAlign w:val="top"/>
                </w:tcPr>
                <w:p w14:paraId="7343027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1</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2CBF2D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套</w:t>
                  </w:r>
                </w:p>
              </w:tc>
              <w:tc>
                <w:tcPr>
                  <w:tcW w:w="705" w:type="dxa"/>
                  <w:tcBorders>
                    <w:top w:val="single" w:color="auto" w:sz="4" w:space="0"/>
                    <w:left w:val="single" w:color="auto" w:sz="4" w:space="0"/>
                    <w:bottom w:val="single" w:color="auto" w:sz="4" w:space="0"/>
                    <w:right w:val="single" w:color="auto" w:sz="4" w:space="0"/>
                  </w:tcBorders>
                  <w:noWrap w:val="0"/>
                  <w:vAlign w:val="top"/>
                </w:tcPr>
                <w:p w14:paraId="5D4F7D7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p>
              </w:tc>
            </w:tr>
            <w:tr w14:paraId="3EE9A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0"/>
                  <w:vAlign w:val="top"/>
                </w:tcPr>
                <w:p w14:paraId="2B8EC30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2</w:t>
                  </w:r>
                </w:p>
              </w:tc>
              <w:tc>
                <w:tcPr>
                  <w:tcW w:w="2451" w:type="dxa"/>
                  <w:tcBorders>
                    <w:top w:val="single" w:color="auto" w:sz="4" w:space="0"/>
                    <w:left w:val="single" w:color="auto" w:sz="4" w:space="0"/>
                    <w:bottom w:val="single" w:color="auto" w:sz="4" w:space="0"/>
                    <w:right w:val="single" w:color="auto" w:sz="4" w:space="0"/>
                  </w:tcBorders>
                  <w:noWrap w:val="0"/>
                  <w:vAlign w:val="top"/>
                </w:tcPr>
                <w:p w14:paraId="259863D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lang w:val="en-US" w:eastAsia="zh-CN"/>
                    </w:rPr>
                    <w:t>前节镜头</w:t>
                  </w:r>
                </w:p>
              </w:tc>
              <w:tc>
                <w:tcPr>
                  <w:tcW w:w="658" w:type="dxa"/>
                  <w:tcBorders>
                    <w:top w:val="single" w:color="auto" w:sz="4" w:space="0"/>
                    <w:left w:val="single" w:color="auto" w:sz="4" w:space="0"/>
                    <w:bottom w:val="single" w:color="auto" w:sz="4" w:space="0"/>
                    <w:right w:val="single" w:color="auto" w:sz="4" w:space="0"/>
                  </w:tcBorders>
                  <w:noWrap w:val="0"/>
                  <w:vAlign w:val="top"/>
                </w:tcPr>
                <w:p w14:paraId="0E7995A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1</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553E035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套</w:t>
                  </w:r>
                </w:p>
              </w:tc>
              <w:tc>
                <w:tcPr>
                  <w:tcW w:w="705" w:type="dxa"/>
                  <w:tcBorders>
                    <w:top w:val="single" w:color="auto" w:sz="4" w:space="0"/>
                    <w:left w:val="single" w:color="auto" w:sz="4" w:space="0"/>
                    <w:bottom w:val="single" w:color="auto" w:sz="4" w:space="0"/>
                    <w:right w:val="single" w:color="auto" w:sz="4" w:space="0"/>
                  </w:tcBorders>
                  <w:noWrap w:val="0"/>
                  <w:vAlign w:val="top"/>
                </w:tcPr>
                <w:p w14:paraId="39BDD2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p>
              </w:tc>
            </w:tr>
            <w:tr w14:paraId="71A45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0"/>
                  <w:vAlign w:val="center"/>
                </w:tcPr>
                <w:p w14:paraId="314FD95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3</w:t>
                  </w:r>
                </w:p>
              </w:tc>
              <w:tc>
                <w:tcPr>
                  <w:tcW w:w="2451" w:type="dxa"/>
                  <w:tcBorders>
                    <w:top w:val="single" w:color="auto" w:sz="4" w:space="0"/>
                    <w:left w:val="single" w:color="auto" w:sz="4" w:space="0"/>
                    <w:bottom w:val="single" w:color="auto" w:sz="4" w:space="0"/>
                    <w:right w:val="single" w:color="auto" w:sz="4" w:space="0"/>
                  </w:tcBorders>
                  <w:noWrap w:val="0"/>
                  <w:vAlign w:val="top"/>
                </w:tcPr>
                <w:p w14:paraId="362D3A5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lang w:val="en-US" w:eastAsia="zh-CN"/>
                    </w:rPr>
                    <w:t>超广角镜头</w:t>
                  </w:r>
                </w:p>
              </w:tc>
              <w:tc>
                <w:tcPr>
                  <w:tcW w:w="658" w:type="dxa"/>
                  <w:tcBorders>
                    <w:top w:val="single" w:color="auto" w:sz="4" w:space="0"/>
                    <w:left w:val="single" w:color="auto" w:sz="4" w:space="0"/>
                    <w:bottom w:val="single" w:color="auto" w:sz="4" w:space="0"/>
                    <w:right w:val="single" w:color="auto" w:sz="4" w:space="0"/>
                  </w:tcBorders>
                  <w:noWrap w:val="0"/>
                  <w:vAlign w:val="top"/>
                </w:tcPr>
                <w:p w14:paraId="18BB274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1</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3CE309A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套</w:t>
                  </w:r>
                </w:p>
              </w:tc>
              <w:tc>
                <w:tcPr>
                  <w:tcW w:w="705" w:type="dxa"/>
                  <w:tcBorders>
                    <w:top w:val="single" w:color="auto" w:sz="4" w:space="0"/>
                    <w:left w:val="single" w:color="auto" w:sz="4" w:space="0"/>
                    <w:bottom w:val="single" w:color="auto" w:sz="4" w:space="0"/>
                    <w:right w:val="single" w:color="auto" w:sz="4" w:space="0"/>
                  </w:tcBorders>
                  <w:noWrap w:val="0"/>
                  <w:vAlign w:val="top"/>
                </w:tcPr>
                <w:p w14:paraId="4A2F6D2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p>
              </w:tc>
            </w:tr>
            <w:tr w14:paraId="38E6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0"/>
                  <w:vAlign w:val="top"/>
                </w:tcPr>
                <w:p w14:paraId="1394248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4</w:t>
                  </w:r>
                </w:p>
              </w:tc>
              <w:tc>
                <w:tcPr>
                  <w:tcW w:w="2451" w:type="dxa"/>
                  <w:tcBorders>
                    <w:top w:val="single" w:color="auto" w:sz="4" w:space="0"/>
                    <w:left w:val="single" w:color="auto" w:sz="4" w:space="0"/>
                    <w:bottom w:val="single" w:color="auto" w:sz="4" w:space="0"/>
                    <w:right w:val="single" w:color="auto" w:sz="4" w:space="0"/>
                  </w:tcBorders>
                  <w:noWrap w:val="0"/>
                  <w:vAlign w:val="top"/>
                </w:tcPr>
                <w:p w14:paraId="717488E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lang w:val="en-US" w:eastAsia="zh-CN"/>
                    </w:rPr>
                    <w:t>高分辨率显示器</w:t>
                  </w:r>
                </w:p>
              </w:tc>
              <w:tc>
                <w:tcPr>
                  <w:tcW w:w="658" w:type="dxa"/>
                  <w:tcBorders>
                    <w:top w:val="single" w:color="auto" w:sz="4" w:space="0"/>
                    <w:left w:val="single" w:color="auto" w:sz="4" w:space="0"/>
                    <w:bottom w:val="single" w:color="auto" w:sz="4" w:space="0"/>
                    <w:right w:val="single" w:color="auto" w:sz="4" w:space="0"/>
                  </w:tcBorders>
                  <w:noWrap w:val="0"/>
                  <w:vAlign w:val="top"/>
                </w:tcPr>
                <w:p w14:paraId="09E2B42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1</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41AFCD3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套</w:t>
                  </w:r>
                </w:p>
              </w:tc>
              <w:tc>
                <w:tcPr>
                  <w:tcW w:w="705" w:type="dxa"/>
                  <w:tcBorders>
                    <w:top w:val="single" w:color="auto" w:sz="4" w:space="0"/>
                    <w:left w:val="single" w:color="auto" w:sz="4" w:space="0"/>
                    <w:bottom w:val="single" w:color="auto" w:sz="4" w:space="0"/>
                    <w:right w:val="single" w:color="auto" w:sz="4" w:space="0"/>
                  </w:tcBorders>
                  <w:noWrap w:val="0"/>
                  <w:vAlign w:val="top"/>
                </w:tcPr>
                <w:p w14:paraId="7EB2200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p>
              </w:tc>
            </w:tr>
            <w:tr w14:paraId="170B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0"/>
                  <w:vAlign w:val="top"/>
                </w:tcPr>
                <w:p w14:paraId="293FAF6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5</w:t>
                  </w:r>
                </w:p>
              </w:tc>
              <w:tc>
                <w:tcPr>
                  <w:tcW w:w="2451" w:type="dxa"/>
                  <w:tcBorders>
                    <w:top w:val="single" w:color="auto" w:sz="4" w:space="0"/>
                    <w:left w:val="single" w:color="auto" w:sz="4" w:space="0"/>
                    <w:bottom w:val="single" w:color="auto" w:sz="4" w:space="0"/>
                    <w:right w:val="single" w:color="auto" w:sz="4" w:space="0"/>
                  </w:tcBorders>
                  <w:noWrap w:val="0"/>
                  <w:vAlign w:val="top"/>
                </w:tcPr>
                <w:p w14:paraId="45AEAC8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lang w:val="en-US" w:eastAsia="zh-CN"/>
                    </w:rPr>
                    <w:t>远程分析服务器</w:t>
                  </w:r>
                </w:p>
              </w:tc>
              <w:tc>
                <w:tcPr>
                  <w:tcW w:w="658" w:type="dxa"/>
                  <w:tcBorders>
                    <w:top w:val="single" w:color="auto" w:sz="4" w:space="0"/>
                    <w:left w:val="single" w:color="auto" w:sz="4" w:space="0"/>
                    <w:bottom w:val="single" w:color="auto" w:sz="4" w:space="0"/>
                    <w:right w:val="single" w:color="auto" w:sz="4" w:space="0"/>
                  </w:tcBorders>
                  <w:noWrap w:val="0"/>
                  <w:vAlign w:val="top"/>
                </w:tcPr>
                <w:p w14:paraId="373A442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1</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576A99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套</w:t>
                  </w:r>
                </w:p>
              </w:tc>
              <w:tc>
                <w:tcPr>
                  <w:tcW w:w="705" w:type="dxa"/>
                  <w:tcBorders>
                    <w:top w:val="single" w:color="auto" w:sz="4" w:space="0"/>
                    <w:left w:val="single" w:color="auto" w:sz="4" w:space="0"/>
                    <w:bottom w:val="single" w:color="auto" w:sz="4" w:space="0"/>
                    <w:right w:val="single" w:color="auto" w:sz="4" w:space="0"/>
                  </w:tcBorders>
                  <w:noWrap w:val="0"/>
                  <w:vAlign w:val="top"/>
                </w:tcPr>
                <w:p w14:paraId="578FF35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p>
              </w:tc>
            </w:tr>
            <w:tr w14:paraId="6649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0"/>
                  <w:vAlign w:val="top"/>
                </w:tcPr>
                <w:p w14:paraId="1F4FCA0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6</w:t>
                  </w:r>
                </w:p>
              </w:tc>
              <w:tc>
                <w:tcPr>
                  <w:tcW w:w="2451" w:type="dxa"/>
                  <w:tcBorders>
                    <w:top w:val="single" w:color="auto" w:sz="4" w:space="0"/>
                    <w:left w:val="single" w:color="auto" w:sz="4" w:space="0"/>
                    <w:bottom w:val="single" w:color="auto" w:sz="4" w:space="0"/>
                    <w:right w:val="single" w:color="auto" w:sz="4" w:space="0"/>
                  </w:tcBorders>
                  <w:noWrap w:val="0"/>
                  <w:vAlign w:val="top"/>
                </w:tcPr>
                <w:p w14:paraId="46C7FC7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lang w:val="en-US" w:eastAsia="zh-CN"/>
                    </w:rPr>
                    <w:t>分析软件</w:t>
                  </w:r>
                </w:p>
              </w:tc>
              <w:tc>
                <w:tcPr>
                  <w:tcW w:w="658" w:type="dxa"/>
                  <w:tcBorders>
                    <w:top w:val="single" w:color="auto" w:sz="4" w:space="0"/>
                    <w:left w:val="single" w:color="auto" w:sz="4" w:space="0"/>
                    <w:bottom w:val="single" w:color="auto" w:sz="4" w:space="0"/>
                    <w:right w:val="single" w:color="auto" w:sz="4" w:space="0"/>
                  </w:tcBorders>
                  <w:noWrap w:val="0"/>
                  <w:vAlign w:val="top"/>
                </w:tcPr>
                <w:p w14:paraId="3EFD020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1</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4FFB4D5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套</w:t>
                  </w:r>
                </w:p>
              </w:tc>
              <w:tc>
                <w:tcPr>
                  <w:tcW w:w="705" w:type="dxa"/>
                  <w:tcBorders>
                    <w:top w:val="single" w:color="auto" w:sz="4" w:space="0"/>
                    <w:left w:val="single" w:color="auto" w:sz="4" w:space="0"/>
                    <w:bottom w:val="single" w:color="auto" w:sz="4" w:space="0"/>
                    <w:right w:val="single" w:color="auto" w:sz="4" w:space="0"/>
                  </w:tcBorders>
                  <w:noWrap w:val="0"/>
                  <w:vAlign w:val="top"/>
                </w:tcPr>
                <w:p w14:paraId="7EE91C1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p>
              </w:tc>
            </w:tr>
            <w:tr w14:paraId="12749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0"/>
                  <w:vAlign w:val="top"/>
                </w:tcPr>
                <w:p w14:paraId="138D060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7</w:t>
                  </w:r>
                </w:p>
              </w:tc>
              <w:tc>
                <w:tcPr>
                  <w:tcW w:w="2451" w:type="dxa"/>
                  <w:tcBorders>
                    <w:top w:val="single" w:color="auto" w:sz="4" w:space="0"/>
                    <w:left w:val="single" w:color="auto" w:sz="4" w:space="0"/>
                    <w:bottom w:val="single" w:color="auto" w:sz="4" w:space="0"/>
                    <w:right w:val="single" w:color="auto" w:sz="4" w:space="0"/>
                  </w:tcBorders>
                  <w:noWrap w:val="0"/>
                  <w:vAlign w:val="top"/>
                </w:tcPr>
                <w:p w14:paraId="4ACE14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lang w:val="en-US" w:eastAsia="zh-CN"/>
                    </w:rPr>
                    <w:t>工作站主机</w:t>
                  </w:r>
                </w:p>
              </w:tc>
              <w:tc>
                <w:tcPr>
                  <w:tcW w:w="658" w:type="dxa"/>
                  <w:tcBorders>
                    <w:top w:val="single" w:color="auto" w:sz="4" w:space="0"/>
                    <w:left w:val="single" w:color="auto" w:sz="4" w:space="0"/>
                    <w:bottom w:val="single" w:color="auto" w:sz="4" w:space="0"/>
                    <w:right w:val="single" w:color="auto" w:sz="4" w:space="0"/>
                  </w:tcBorders>
                  <w:noWrap w:val="0"/>
                  <w:vAlign w:val="top"/>
                </w:tcPr>
                <w:p w14:paraId="05F90D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1</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3ECB926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套</w:t>
                  </w:r>
                </w:p>
              </w:tc>
              <w:tc>
                <w:tcPr>
                  <w:tcW w:w="705" w:type="dxa"/>
                  <w:tcBorders>
                    <w:top w:val="single" w:color="auto" w:sz="4" w:space="0"/>
                    <w:left w:val="single" w:color="auto" w:sz="4" w:space="0"/>
                    <w:bottom w:val="single" w:color="auto" w:sz="4" w:space="0"/>
                    <w:right w:val="single" w:color="auto" w:sz="4" w:space="0"/>
                  </w:tcBorders>
                  <w:noWrap w:val="0"/>
                  <w:vAlign w:val="top"/>
                </w:tcPr>
                <w:p w14:paraId="7E1782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p>
              </w:tc>
            </w:tr>
            <w:tr w14:paraId="505F7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0"/>
                  <w:vAlign w:val="top"/>
                </w:tcPr>
                <w:p w14:paraId="0A17244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8</w:t>
                  </w:r>
                </w:p>
              </w:tc>
              <w:tc>
                <w:tcPr>
                  <w:tcW w:w="2451" w:type="dxa"/>
                  <w:tcBorders>
                    <w:top w:val="single" w:color="auto" w:sz="4" w:space="0"/>
                    <w:left w:val="single" w:color="auto" w:sz="4" w:space="0"/>
                    <w:bottom w:val="single" w:color="auto" w:sz="4" w:space="0"/>
                    <w:right w:val="single" w:color="auto" w:sz="4" w:space="0"/>
                  </w:tcBorders>
                  <w:noWrap w:val="0"/>
                  <w:vAlign w:val="top"/>
                </w:tcPr>
                <w:p w14:paraId="559D68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lang w:val="en-US" w:eastAsia="zh-CN"/>
                    </w:rPr>
                    <w:t>电动升降台</w:t>
                  </w:r>
                </w:p>
              </w:tc>
              <w:tc>
                <w:tcPr>
                  <w:tcW w:w="658" w:type="dxa"/>
                  <w:tcBorders>
                    <w:top w:val="single" w:color="auto" w:sz="4" w:space="0"/>
                    <w:left w:val="single" w:color="auto" w:sz="4" w:space="0"/>
                    <w:bottom w:val="single" w:color="auto" w:sz="4" w:space="0"/>
                    <w:right w:val="single" w:color="auto" w:sz="4" w:space="0"/>
                  </w:tcBorders>
                  <w:noWrap w:val="0"/>
                  <w:vAlign w:val="top"/>
                </w:tcPr>
                <w:p w14:paraId="5F639B1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1</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7D9696C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套</w:t>
                  </w:r>
                </w:p>
              </w:tc>
              <w:tc>
                <w:tcPr>
                  <w:tcW w:w="705" w:type="dxa"/>
                  <w:tcBorders>
                    <w:top w:val="single" w:color="auto" w:sz="4" w:space="0"/>
                    <w:left w:val="single" w:color="auto" w:sz="4" w:space="0"/>
                    <w:bottom w:val="single" w:color="auto" w:sz="4" w:space="0"/>
                    <w:right w:val="single" w:color="auto" w:sz="4" w:space="0"/>
                  </w:tcBorders>
                  <w:noWrap w:val="0"/>
                  <w:vAlign w:val="top"/>
                </w:tcPr>
                <w:p w14:paraId="553A10E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p>
              </w:tc>
            </w:tr>
            <w:tr w14:paraId="6351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0"/>
                  <w:vAlign w:val="top"/>
                </w:tcPr>
                <w:p w14:paraId="08279FD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9</w:t>
                  </w:r>
                </w:p>
              </w:tc>
              <w:tc>
                <w:tcPr>
                  <w:tcW w:w="2451" w:type="dxa"/>
                  <w:tcBorders>
                    <w:top w:val="single" w:color="auto" w:sz="4" w:space="0"/>
                    <w:left w:val="single" w:color="auto" w:sz="4" w:space="0"/>
                    <w:bottom w:val="single" w:color="auto" w:sz="4" w:space="0"/>
                    <w:right w:val="single" w:color="auto" w:sz="4" w:space="0"/>
                  </w:tcBorders>
                  <w:noWrap w:val="0"/>
                  <w:vAlign w:val="top"/>
                </w:tcPr>
                <w:p w14:paraId="7CD913E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lang w:val="en-US" w:eastAsia="zh-CN"/>
                    </w:rPr>
                    <w:t>高清彩色打印机</w:t>
                  </w:r>
                </w:p>
              </w:tc>
              <w:tc>
                <w:tcPr>
                  <w:tcW w:w="658" w:type="dxa"/>
                  <w:tcBorders>
                    <w:top w:val="single" w:color="auto" w:sz="4" w:space="0"/>
                    <w:left w:val="single" w:color="auto" w:sz="4" w:space="0"/>
                    <w:bottom w:val="single" w:color="auto" w:sz="4" w:space="0"/>
                    <w:right w:val="single" w:color="auto" w:sz="4" w:space="0"/>
                  </w:tcBorders>
                  <w:noWrap w:val="0"/>
                  <w:vAlign w:val="top"/>
                </w:tcPr>
                <w:p w14:paraId="602A0D3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1</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7851087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套</w:t>
                  </w:r>
                </w:p>
              </w:tc>
              <w:tc>
                <w:tcPr>
                  <w:tcW w:w="705" w:type="dxa"/>
                  <w:tcBorders>
                    <w:top w:val="single" w:color="auto" w:sz="4" w:space="0"/>
                    <w:left w:val="single" w:color="auto" w:sz="4" w:space="0"/>
                    <w:bottom w:val="single" w:color="auto" w:sz="4" w:space="0"/>
                    <w:right w:val="single" w:color="auto" w:sz="4" w:space="0"/>
                  </w:tcBorders>
                  <w:noWrap w:val="0"/>
                  <w:vAlign w:val="top"/>
                </w:tcPr>
                <w:p w14:paraId="3744A75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p>
              </w:tc>
            </w:tr>
            <w:tr w14:paraId="42D3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0"/>
                  <w:vAlign w:val="top"/>
                </w:tcPr>
                <w:p w14:paraId="3CAB894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10</w:t>
                  </w:r>
                </w:p>
              </w:tc>
              <w:tc>
                <w:tcPr>
                  <w:tcW w:w="2451" w:type="dxa"/>
                  <w:tcBorders>
                    <w:top w:val="single" w:color="auto" w:sz="4" w:space="0"/>
                    <w:left w:val="single" w:color="auto" w:sz="4" w:space="0"/>
                    <w:bottom w:val="single" w:color="auto" w:sz="4" w:space="0"/>
                    <w:right w:val="single" w:color="auto" w:sz="4" w:space="0"/>
                  </w:tcBorders>
                  <w:noWrap w:val="0"/>
                  <w:vAlign w:val="top"/>
                </w:tcPr>
                <w:p w14:paraId="20D6A06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lang w:val="en-US" w:eastAsia="zh-CN"/>
                    </w:rPr>
                    <w:t>存储服务器</w:t>
                  </w:r>
                </w:p>
              </w:tc>
              <w:tc>
                <w:tcPr>
                  <w:tcW w:w="658" w:type="dxa"/>
                  <w:tcBorders>
                    <w:top w:val="single" w:color="auto" w:sz="4" w:space="0"/>
                    <w:left w:val="single" w:color="auto" w:sz="4" w:space="0"/>
                    <w:bottom w:val="single" w:color="auto" w:sz="4" w:space="0"/>
                    <w:right w:val="single" w:color="auto" w:sz="4" w:space="0"/>
                  </w:tcBorders>
                  <w:noWrap w:val="0"/>
                  <w:vAlign w:val="top"/>
                </w:tcPr>
                <w:p w14:paraId="013F7AD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rPr>
                  </w:pPr>
                  <w:r>
                    <w:rPr>
                      <w:rFonts w:hint="eastAsia" w:ascii="宋体" w:hAnsi="宋体" w:eastAsia="宋体" w:cs="宋体"/>
                      <w:color w:val="000000"/>
                      <w:sz w:val="21"/>
                      <w:szCs w:val="21"/>
                      <w:highlight w:val="none"/>
                    </w:rPr>
                    <w:t>1</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161D96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套</w:t>
                  </w:r>
                </w:p>
              </w:tc>
              <w:tc>
                <w:tcPr>
                  <w:tcW w:w="705" w:type="dxa"/>
                  <w:tcBorders>
                    <w:top w:val="single" w:color="auto" w:sz="4" w:space="0"/>
                    <w:left w:val="single" w:color="auto" w:sz="4" w:space="0"/>
                    <w:bottom w:val="single" w:color="auto" w:sz="4" w:space="0"/>
                    <w:right w:val="single" w:color="auto" w:sz="4" w:space="0"/>
                  </w:tcBorders>
                  <w:noWrap w:val="0"/>
                  <w:vAlign w:val="top"/>
                </w:tcPr>
                <w:p w14:paraId="295ACA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p>
              </w:tc>
            </w:tr>
          </w:tbl>
          <w:p w14:paraId="2B72039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rPr>
            </w:pPr>
          </w:p>
        </w:tc>
        <w:tc>
          <w:tcPr>
            <w:tcW w:w="1005" w:type="dxa"/>
            <w:tcBorders>
              <w:top w:val="single" w:color="auto" w:sz="4" w:space="0"/>
              <w:left w:val="single" w:color="auto" w:sz="4" w:space="0"/>
              <w:bottom w:val="single" w:color="auto" w:sz="4" w:space="0"/>
              <w:right w:val="single" w:color="auto" w:sz="4" w:space="0"/>
            </w:tcBorders>
            <w:noWrap w:val="0"/>
            <w:vAlign w:val="center"/>
          </w:tcPr>
          <w:p w14:paraId="120210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2580000</w:t>
            </w:r>
          </w:p>
        </w:tc>
      </w:tr>
    </w:tbl>
    <w:p w14:paraId="020DDFD1">
      <w:pPr>
        <w:rPr>
          <w:color w:val="000000"/>
          <w:highlight w:val="none"/>
        </w:rPr>
      </w:pPr>
    </w:p>
    <w:p w14:paraId="12FDB55C">
      <w:pPr>
        <w:rPr>
          <w:color w:val="000000"/>
          <w:highlight w:val="none"/>
        </w:rPr>
      </w:pPr>
    </w:p>
    <w:p w14:paraId="43EAE3AA">
      <w:pPr>
        <w:rPr>
          <w:color w:val="000000"/>
          <w:highlight w:val="none"/>
        </w:rPr>
      </w:pPr>
    </w:p>
    <w:tbl>
      <w:tblPr>
        <w:tblStyle w:val="54"/>
        <w:tblW w:w="10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6"/>
        <w:gridCol w:w="8465"/>
      </w:tblGrid>
      <w:tr w14:paraId="12FE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0661" w:type="dxa"/>
            <w:gridSpan w:val="2"/>
            <w:tcBorders>
              <w:top w:val="single" w:color="auto" w:sz="4" w:space="0"/>
              <w:left w:val="single" w:color="auto" w:sz="4" w:space="0"/>
              <w:bottom w:val="single" w:color="auto" w:sz="4" w:space="0"/>
              <w:right w:val="single" w:color="auto" w:sz="4" w:space="0"/>
            </w:tcBorders>
            <w:noWrap w:val="0"/>
            <w:vAlign w:val="center"/>
          </w:tcPr>
          <w:p w14:paraId="1B5CC5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bCs/>
                <w:color w:val="000000"/>
                <w:sz w:val="21"/>
                <w:szCs w:val="21"/>
                <w:highlight w:val="none"/>
                <w:lang w:val="en-US" w:eastAsia="zh-CN"/>
              </w:rPr>
            </w:pPr>
            <w:r>
              <w:rPr>
                <w:rFonts w:hint="eastAsia" w:ascii="宋体" w:hAnsi="宋体" w:eastAsia="宋体" w:cs="宋体"/>
                <w:bCs/>
                <w:color w:val="000000"/>
                <w:sz w:val="21"/>
                <w:szCs w:val="21"/>
                <w:highlight w:val="none"/>
              </w:rPr>
              <w:t>▲</w:t>
            </w:r>
            <w:r>
              <w:rPr>
                <w:rFonts w:hint="eastAsia" w:ascii="宋体" w:hAnsi="宋体" w:cs="宋体"/>
                <w:b/>
                <w:bCs/>
                <w:color w:val="000000"/>
                <w:sz w:val="21"/>
                <w:szCs w:val="21"/>
                <w:highlight w:val="none"/>
                <w:lang w:val="en-US" w:eastAsia="zh-CN"/>
              </w:rPr>
              <w:t>二、商务条款</w:t>
            </w:r>
          </w:p>
        </w:tc>
      </w:tr>
      <w:tr w14:paraId="07CC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96" w:type="dxa"/>
            <w:tcBorders>
              <w:top w:val="single" w:color="auto" w:sz="4" w:space="0"/>
              <w:left w:val="single" w:color="auto" w:sz="4" w:space="0"/>
              <w:bottom w:val="single" w:color="auto" w:sz="4" w:space="0"/>
              <w:right w:val="single" w:color="auto" w:sz="4" w:space="0"/>
            </w:tcBorders>
            <w:noWrap w:val="0"/>
            <w:vAlign w:val="center"/>
          </w:tcPr>
          <w:p w14:paraId="44DF282F">
            <w:pPr>
              <w:keepNext w:val="0"/>
              <w:keepLines w:val="0"/>
              <w:pageBreakBefore w:val="0"/>
              <w:tabs>
                <w:tab w:val="center" w:pos="4153"/>
                <w:tab w:val="right" w:pos="8306"/>
              </w:tabs>
              <w:kinsoku w:val="0"/>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b w:val="0"/>
                <w:bCs w:val="0"/>
                <w:color w:val="000000"/>
                <w:kern w:val="0"/>
                <w:sz w:val="21"/>
                <w:szCs w:val="21"/>
                <w:highlight w:val="none"/>
                <w:lang w:eastAsia="zh-CN" w:bidi="ar"/>
              </w:rPr>
            </w:pPr>
            <w:r>
              <w:rPr>
                <w:rFonts w:hint="eastAsia" w:ascii="宋体" w:hAnsi="宋体" w:eastAsia="宋体" w:cs="宋体"/>
                <w:b/>
                <w:color w:val="000000"/>
                <w:kern w:val="21"/>
                <w:sz w:val="21"/>
                <w:szCs w:val="21"/>
                <w:highlight w:val="none"/>
                <w:lang w:val="en-US" w:eastAsia="zh-CN" w:bidi="ar"/>
              </w:rPr>
              <w:t>交货期及地点</w:t>
            </w:r>
          </w:p>
        </w:tc>
        <w:tc>
          <w:tcPr>
            <w:tcW w:w="8465" w:type="dxa"/>
            <w:tcBorders>
              <w:top w:val="single" w:color="auto" w:sz="4" w:space="0"/>
              <w:left w:val="single" w:color="auto" w:sz="4" w:space="0"/>
              <w:bottom w:val="single" w:color="auto" w:sz="4" w:space="0"/>
              <w:right w:val="single" w:color="auto" w:sz="4" w:space="0"/>
            </w:tcBorders>
            <w:noWrap w:val="0"/>
            <w:vAlign w:val="center"/>
          </w:tcPr>
          <w:p w14:paraId="185B6403">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1.交货期：</w:t>
            </w:r>
            <w:r>
              <w:rPr>
                <w:rFonts w:hint="eastAsia" w:ascii="宋体" w:hAnsi="宋体" w:eastAsia="宋体" w:cs="宋体"/>
                <w:color w:val="000000"/>
                <w:sz w:val="21"/>
                <w:szCs w:val="21"/>
                <w:highlight w:val="none"/>
                <w:lang w:eastAsia="zh-CN"/>
              </w:rPr>
              <w:t>采购合同签订后</w:t>
            </w:r>
            <w:r>
              <w:rPr>
                <w:rFonts w:hint="eastAsia" w:ascii="宋体" w:hAnsi="宋体" w:eastAsia="宋体" w:cs="宋体"/>
                <w:color w:val="000000"/>
                <w:sz w:val="21"/>
                <w:szCs w:val="21"/>
                <w:highlight w:val="none"/>
                <w:lang w:val="en-US" w:eastAsia="zh-CN"/>
              </w:rPr>
              <w:t>30</w:t>
            </w:r>
            <w:r>
              <w:rPr>
                <w:rFonts w:hint="eastAsia" w:ascii="宋体" w:hAnsi="宋体" w:eastAsia="宋体" w:cs="宋体"/>
                <w:color w:val="000000"/>
                <w:sz w:val="21"/>
                <w:szCs w:val="21"/>
                <w:highlight w:val="none"/>
                <w:lang w:eastAsia="zh-CN"/>
              </w:rPr>
              <w:t>个</w:t>
            </w:r>
            <w:r>
              <w:rPr>
                <w:rFonts w:hint="eastAsia" w:ascii="宋体" w:hAnsi="宋体" w:eastAsia="宋体" w:cs="宋体"/>
                <w:color w:val="000000"/>
                <w:sz w:val="21"/>
                <w:szCs w:val="21"/>
                <w:highlight w:val="none"/>
                <w:lang w:val="en-US" w:eastAsia="zh-CN"/>
              </w:rPr>
              <w:t>日历</w:t>
            </w:r>
            <w:r>
              <w:rPr>
                <w:rFonts w:hint="eastAsia" w:ascii="宋体" w:hAnsi="宋体" w:eastAsia="宋体" w:cs="宋体"/>
                <w:color w:val="000000"/>
                <w:sz w:val="21"/>
                <w:szCs w:val="21"/>
                <w:highlight w:val="none"/>
                <w:lang w:eastAsia="zh-CN"/>
              </w:rPr>
              <w:t>日内交货并完成安装调试</w:t>
            </w:r>
            <w:r>
              <w:rPr>
                <w:rFonts w:hint="eastAsia" w:ascii="宋体" w:hAnsi="宋体" w:eastAsia="宋体" w:cs="宋体"/>
                <w:bCs/>
                <w:color w:val="000000"/>
                <w:sz w:val="21"/>
                <w:szCs w:val="21"/>
                <w:highlight w:val="none"/>
              </w:rPr>
              <w:t>。</w:t>
            </w:r>
          </w:p>
          <w:p w14:paraId="53F32BF3">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2.交付地点：采购人指定地点。</w:t>
            </w:r>
          </w:p>
          <w:p w14:paraId="02ADA3CD">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kern w:val="0"/>
                <w:sz w:val="21"/>
                <w:szCs w:val="21"/>
                <w:highlight w:val="none"/>
              </w:rPr>
            </w:pPr>
            <w:r>
              <w:rPr>
                <w:rFonts w:hint="eastAsia" w:ascii="宋体" w:hAnsi="宋体" w:eastAsia="宋体" w:cs="宋体"/>
                <w:bCs/>
                <w:color w:val="000000"/>
                <w:sz w:val="21"/>
                <w:szCs w:val="21"/>
                <w:highlight w:val="none"/>
                <w:lang w:val="en-US" w:eastAsia="zh-CN"/>
              </w:rPr>
              <w:t>3.交货方式：现场交货</w:t>
            </w:r>
          </w:p>
        </w:tc>
      </w:tr>
      <w:tr w14:paraId="0873F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96" w:type="dxa"/>
            <w:tcBorders>
              <w:top w:val="single" w:color="auto" w:sz="4" w:space="0"/>
              <w:left w:val="single" w:color="auto" w:sz="4" w:space="0"/>
              <w:bottom w:val="single" w:color="auto" w:sz="4" w:space="0"/>
              <w:right w:val="single" w:color="auto" w:sz="4" w:space="0"/>
            </w:tcBorders>
            <w:noWrap w:val="0"/>
            <w:vAlign w:val="center"/>
          </w:tcPr>
          <w:p w14:paraId="4A97EA5C">
            <w:pPr>
              <w:keepNext w:val="0"/>
              <w:keepLines w:val="0"/>
              <w:pageBreakBefore w:val="0"/>
              <w:kinsoku/>
              <w:overflowPunct/>
              <w:topLinePunct w:val="0"/>
              <w:bidi w:val="0"/>
              <w:spacing w:line="400" w:lineRule="exact"/>
              <w:ind w:firstLine="13" w:firstLineChars="6"/>
              <w:jc w:val="center"/>
              <w:outlineLvl w:val="0"/>
              <w:rPr>
                <w:rFonts w:hint="eastAsia" w:ascii="宋体" w:hAnsi="宋体" w:eastAsia="宋体" w:cs="宋体"/>
                <w:b w:val="0"/>
                <w:bCs w:val="0"/>
                <w:color w:val="000000"/>
                <w:kern w:val="0"/>
                <w:sz w:val="21"/>
                <w:szCs w:val="21"/>
                <w:highlight w:val="none"/>
                <w:lang w:eastAsia="zh-CN" w:bidi="ar"/>
              </w:rPr>
            </w:pPr>
            <w:r>
              <w:rPr>
                <w:rFonts w:hint="eastAsia" w:ascii="宋体" w:hAnsi="宋体" w:eastAsia="宋体" w:cs="宋体"/>
                <w:b/>
                <w:color w:val="000000"/>
                <w:sz w:val="21"/>
                <w:szCs w:val="21"/>
                <w:highlight w:val="none"/>
                <w:lang w:eastAsia="zh-CN" w:bidi="ar"/>
              </w:rPr>
              <w:t>投标报价</w:t>
            </w:r>
          </w:p>
        </w:tc>
        <w:tc>
          <w:tcPr>
            <w:tcW w:w="8465" w:type="dxa"/>
            <w:tcBorders>
              <w:top w:val="single" w:color="auto" w:sz="4" w:space="0"/>
              <w:left w:val="single" w:color="auto" w:sz="4" w:space="0"/>
              <w:bottom w:val="single" w:color="auto" w:sz="4" w:space="0"/>
              <w:right w:val="single" w:color="auto" w:sz="4" w:space="0"/>
            </w:tcBorders>
            <w:noWrap w:val="0"/>
            <w:vAlign w:val="center"/>
          </w:tcPr>
          <w:p w14:paraId="51F9D6F1">
            <w:pPr>
              <w:keepNext w:val="0"/>
              <w:keepLines w:val="0"/>
              <w:pageBreakBefore w:val="0"/>
              <w:widowControl/>
              <w:kinsoku/>
              <w:wordWrap/>
              <w:overflowPunct/>
              <w:topLinePunct w:val="0"/>
              <w:bidi w:val="0"/>
              <w:spacing w:line="380" w:lineRule="exact"/>
              <w:ind w:firstLine="13" w:firstLineChars="6"/>
              <w:jc w:val="both"/>
              <w:outlineLvl w:val="0"/>
              <w:rPr>
                <w:rFonts w:hint="eastAsia" w:ascii="宋体" w:hAnsi="宋体" w:eastAsia="宋体" w:cs="宋体"/>
                <w:color w:val="000000"/>
                <w:kern w:val="0"/>
                <w:sz w:val="21"/>
                <w:szCs w:val="21"/>
                <w:highlight w:val="none"/>
              </w:rPr>
            </w:pPr>
            <w:r>
              <w:rPr>
                <w:rFonts w:hint="eastAsia" w:ascii="宋体" w:hAnsi="宋体" w:eastAsia="宋体" w:cs="宋体"/>
                <w:color w:val="000000"/>
                <w:spacing w:val="6"/>
                <w:sz w:val="21"/>
                <w:szCs w:val="21"/>
                <w:highlight w:val="none"/>
                <w:lang w:eastAsia="zh-CN" w:bidi="ar"/>
              </w:rPr>
              <w:t>项目实行总承包报价，投标报价包含货物、货物标准附件、备品备件、专用工具、设备安装辅材、施工辅材、包装、运输、装卸、保险、</w:t>
            </w:r>
            <w:r>
              <w:rPr>
                <w:rFonts w:hint="eastAsia" w:ascii="宋体" w:hAnsi="宋体" w:eastAsia="宋体" w:cs="宋体"/>
                <w:color w:val="000000"/>
                <w:spacing w:val="6"/>
                <w:sz w:val="21"/>
                <w:szCs w:val="21"/>
                <w:highlight w:val="none"/>
                <w:lang w:val="en-US" w:eastAsia="zh-CN" w:bidi="ar"/>
              </w:rPr>
              <w:t>招标代理费、</w:t>
            </w:r>
            <w:r>
              <w:rPr>
                <w:rFonts w:hint="eastAsia" w:ascii="宋体" w:hAnsi="宋体" w:eastAsia="宋体" w:cs="宋体"/>
                <w:color w:val="000000"/>
                <w:spacing w:val="6"/>
                <w:sz w:val="21"/>
                <w:szCs w:val="21"/>
                <w:highlight w:val="none"/>
                <w:lang w:eastAsia="zh-CN" w:bidi="ar"/>
              </w:rPr>
              <w:t>货到就位的各种费用以及安装、调试等本招标文件所列设备材料需进行补充完善才能完成本项目的功能配置或实际采购中产品材料有任何遗漏的费用（含本项目需要但本文件中未列出的设备材料、功能配置）、税金、售后服务、技术培训</w:t>
            </w:r>
            <w:r>
              <w:rPr>
                <w:rFonts w:hint="eastAsia" w:ascii="宋体" w:hAnsi="宋体" w:cs="宋体"/>
                <w:color w:val="000000"/>
                <w:spacing w:val="6"/>
                <w:sz w:val="21"/>
                <w:szCs w:val="21"/>
                <w:highlight w:val="none"/>
                <w:lang w:eastAsia="zh-CN" w:bidi="ar"/>
              </w:rPr>
              <w:t>、</w:t>
            </w:r>
            <w:r>
              <w:rPr>
                <w:rFonts w:hint="eastAsia" w:ascii="宋体" w:hAnsi="宋体" w:cs="宋体"/>
                <w:color w:val="000000"/>
                <w:spacing w:val="6"/>
                <w:sz w:val="21"/>
                <w:szCs w:val="21"/>
                <w:highlight w:val="none"/>
                <w:lang w:val="en-US" w:eastAsia="zh-CN" w:bidi="ar"/>
              </w:rPr>
              <w:t>端口费</w:t>
            </w:r>
            <w:r>
              <w:rPr>
                <w:rFonts w:hint="eastAsia" w:ascii="宋体" w:hAnsi="宋体" w:eastAsia="宋体" w:cs="宋体"/>
                <w:color w:val="000000"/>
                <w:spacing w:val="6"/>
                <w:sz w:val="21"/>
                <w:szCs w:val="21"/>
                <w:highlight w:val="none"/>
                <w:lang w:eastAsia="zh-CN" w:bidi="ar"/>
              </w:rPr>
              <w:t>及其他所有成本费用，以及合同明示或暗示的所有责任、义务和一般风险等一切费用。投标人综合考虑在报价中。</w:t>
            </w:r>
          </w:p>
        </w:tc>
      </w:tr>
      <w:tr w14:paraId="7923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96" w:type="dxa"/>
            <w:tcBorders>
              <w:top w:val="single" w:color="auto" w:sz="4" w:space="0"/>
              <w:left w:val="single" w:color="auto" w:sz="4" w:space="0"/>
              <w:bottom w:val="single" w:color="auto" w:sz="4" w:space="0"/>
              <w:right w:val="single" w:color="auto" w:sz="4" w:space="0"/>
            </w:tcBorders>
            <w:noWrap w:val="0"/>
            <w:vAlign w:val="center"/>
          </w:tcPr>
          <w:p w14:paraId="63F866DD">
            <w:pPr>
              <w:keepNext w:val="0"/>
              <w:keepLines w:val="0"/>
              <w:pageBreakBefore w:val="0"/>
              <w:kinsoku w:val="0"/>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b w:val="0"/>
                <w:bCs w:val="0"/>
                <w:color w:val="000000"/>
                <w:kern w:val="0"/>
                <w:sz w:val="21"/>
                <w:szCs w:val="21"/>
                <w:highlight w:val="none"/>
                <w:lang w:eastAsia="zh-CN" w:bidi="ar"/>
              </w:rPr>
            </w:pPr>
            <w:r>
              <w:rPr>
                <w:rFonts w:hint="eastAsia" w:ascii="宋体" w:hAnsi="宋体" w:eastAsia="宋体" w:cs="宋体"/>
                <w:b/>
                <w:color w:val="000000"/>
                <w:kern w:val="21"/>
                <w:sz w:val="21"/>
                <w:szCs w:val="21"/>
                <w:highlight w:val="none"/>
                <w:lang w:val="en-US" w:eastAsia="zh-CN" w:bidi="ar"/>
              </w:rPr>
              <w:t>付款方式</w:t>
            </w:r>
          </w:p>
        </w:tc>
        <w:tc>
          <w:tcPr>
            <w:tcW w:w="8465" w:type="dxa"/>
            <w:tcBorders>
              <w:top w:val="single" w:color="auto" w:sz="4" w:space="0"/>
              <w:left w:val="single" w:color="auto" w:sz="4" w:space="0"/>
              <w:bottom w:val="single" w:color="auto" w:sz="4" w:space="0"/>
              <w:right w:val="single" w:color="auto" w:sz="4" w:space="0"/>
            </w:tcBorders>
            <w:noWrap w:val="0"/>
            <w:vAlign w:val="center"/>
          </w:tcPr>
          <w:p w14:paraId="0E887787">
            <w:pPr>
              <w:keepNext w:val="0"/>
              <w:keepLines w:val="0"/>
              <w:pageBreakBefore w:val="0"/>
              <w:widowControl/>
              <w:kinsoku/>
              <w:wordWrap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kern w:val="21"/>
                <w:sz w:val="21"/>
                <w:szCs w:val="21"/>
                <w:highlight w:val="none"/>
                <w:lang w:val="en-US" w:eastAsia="zh-CN" w:bidi="ar"/>
              </w:rPr>
            </w:pPr>
            <w:r>
              <w:rPr>
                <w:rFonts w:hint="eastAsia" w:ascii="宋体" w:hAnsi="宋体" w:eastAsia="宋体" w:cs="宋体"/>
                <w:color w:val="000000"/>
                <w:kern w:val="21"/>
                <w:sz w:val="21"/>
                <w:szCs w:val="21"/>
                <w:highlight w:val="none"/>
                <w:lang w:val="en-US" w:eastAsia="zh-CN" w:bidi="ar"/>
              </w:rPr>
              <w:t>1.付款进度安排:签订合同后30个工作日内，支付合同价款的30%，设备安装验收合格正常使用后30个工作日内，支付合同价款的70%。</w:t>
            </w:r>
          </w:p>
          <w:p w14:paraId="0DFD20BB">
            <w:pPr>
              <w:keepNext w:val="0"/>
              <w:keepLines w:val="0"/>
              <w:pageBreakBefore w:val="0"/>
              <w:widowControl/>
              <w:kinsoku/>
              <w:wordWrap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kern w:val="21"/>
                <w:sz w:val="21"/>
                <w:szCs w:val="21"/>
                <w:highlight w:val="none"/>
                <w:lang w:val="en-US" w:eastAsia="zh-CN" w:bidi="ar"/>
              </w:rPr>
            </w:pPr>
            <w:r>
              <w:rPr>
                <w:rFonts w:hint="eastAsia" w:ascii="宋体" w:hAnsi="宋体" w:eastAsia="宋体" w:cs="宋体"/>
                <w:color w:val="000000"/>
                <w:kern w:val="21"/>
                <w:sz w:val="21"/>
                <w:szCs w:val="21"/>
                <w:highlight w:val="none"/>
                <w:lang w:val="en-US" w:eastAsia="zh-CN" w:bidi="ar"/>
              </w:rPr>
              <w:t>2.中标人须在设备验收合格后及时向甲方提供符合国家规定及采购人要求的全额有效的税务发票，采购人未收到发票的，有权不予支付相应款项直至乙方提供合格发票，并不承担延迟付款责任。发票认证通过是付款的必要前提之一。</w:t>
            </w:r>
          </w:p>
          <w:p w14:paraId="14EC5E9F">
            <w:pPr>
              <w:keepNext w:val="0"/>
              <w:keepLines w:val="0"/>
              <w:pageBreakBefore w:val="0"/>
              <w:widowControl/>
              <w:kinsoku/>
              <w:wordWrap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kern w:val="21"/>
                <w:sz w:val="21"/>
                <w:szCs w:val="21"/>
                <w:highlight w:val="none"/>
                <w:lang w:val="en-US" w:eastAsia="zh-CN" w:bidi="ar"/>
              </w:rPr>
            </w:pPr>
            <w:r>
              <w:rPr>
                <w:rFonts w:hint="eastAsia" w:ascii="宋体" w:hAnsi="宋体" w:eastAsia="宋体" w:cs="宋体"/>
                <w:color w:val="000000"/>
                <w:kern w:val="21"/>
                <w:sz w:val="21"/>
                <w:szCs w:val="21"/>
                <w:highlight w:val="none"/>
                <w:lang w:val="en-US" w:eastAsia="zh-CN" w:bidi="ar"/>
              </w:rPr>
              <w:t>3.本合同执行中相关的一切税费均由乙方负担。</w:t>
            </w:r>
          </w:p>
          <w:p w14:paraId="7EA7C378">
            <w:pPr>
              <w:keepNext w:val="0"/>
              <w:keepLines w:val="0"/>
              <w:pageBreakBefore w:val="0"/>
              <w:widowControl/>
              <w:kinsoku/>
              <w:wordWrap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sz w:val="21"/>
                <w:szCs w:val="21"/>
                <w:highlight w:val="none"/>
              </w:rPr>
            </w:pPr>
            <w:r>
              <w:rPr>
                <w:rFonts w:hint="eastAsia" w:ascii="宋体" w:hAnsi="宋体" w:eastAsia="宋体" w:cs="宋体"/>
                <w:color w:val="000000"/>
                <w:kern w:val="21"/>
                <w:sz w:val="21"/>
                <w:szCs w:val="21"/>
                <w:highlight w:val="none"/>
                <w:lang w:val="en-US" w:eastAsia="zh-CN" w:bidi="ar"/>
              </w:rPr>
              <w:t>4.资金支付方式：银行转账</w:t>
            </w:r>
          </w:p>
        </w:tc>
      </w:tr>
      <w:tr w14:paraId="72E2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196" w:type="dxa"/>
            <w:tcBorders>
              <w:top w:val="single" w:color="auto" w:sz="4" w:space="0"/>
              <w:left w:val="single" w:color="auto" w:sz="4" w:space="0"/>
              <w:bottom w:val="single" w:color="auto" w:sz="4" w:space="0"/>
              <w:right w:val="single" w:color="auto" w:sz="4" w:space="0"/>
            </w:tcBorders>
            <w:noWrap w:val="0"/>
            <w:vAlign w:val="center"/>
          </w:tcPr>
          <w:p w14:paraId="7AD2DDF8">
            <w:pPr>
              <w:keepNext w:val="0"/>
              <w:keepLines w:val="0"/>
              <w:pageBreakBefore w:val="0"/>
              <w:kinsoku/>
              <w:overflowPunct/>
              <w:topLinePunct w:val="0"/>
              <w:bidi w:val="0"/>
              <w:spacing w:line="400" w:lineRule="exact"/>
              <w:ind w:firstLine="13" w:firstLineChars="6"/>
              <w:jc w:val="center"/>
              <w:rPr>
                <w:rFonts w:hint="eastAsia" w:ascii="宋体" w:hAnsi="宋体" w:eastAsia="宋体" w:cs="宋体"/>
                <w:b/>
                <w:color w:val="000000"/>
                <w:sz w:val="21"/>
                <w:szCs w:val="21"/>
                <w:highlight w:val="none"/>
                <w:lang w:eastAsia="zh-CN" w:bidi="ar"/>
              </w:rPr>
            </w:pPr>
            <w:r>
              <w:rPr>
                <w:rFonts w:hint="eastAsia" w:ascii="宋体" w:hAnsi="宋体" w:eastAsia="宋体" w:cs="宋体"/>
                <w:b/>
                <w:color w:val="000000"/>
                <w:sz w:val="21"/>
                <w:szCs w:val="21"/>
                <w:highlight w:val="none"/>
                <w:lang w:eastAsia="zh-CN" w:bidi="ar"/>
              </w:rPr>
              <w:t>保修期及售后</w:t>
            </w:r>
          </w:p>
          <w:p w14:paraId="14783CEB">
            <w:pPr>
              <w:keepNext w:val="0"/>
              <w:keepLines w:val="0"/>
              <w:pageBreakBefore w:val="0"/>
              <w:kinsoku/>
              <w:overflowPunct/>
              <w:topLinePunct w:val="0"/>
              <w:bidi w:val="0"/>
              <w:spacing w:line="400" w:lineRule="exact"/>
              <w:ind w:firstLine="13" w:firstLineChars="6"/>
              <w:jc w:val="center"/>
              <w:rPr>
                <w:rFonts w:hint="eastAsia" w:ascii="宋体" w:hAnsi="宋体" w:eastAsia="宋体" w:cs="宋体"/>
                <w:b w:val="0"/>
                <w:bCs w:val="0"/>
                <w:color w:val="000000"/>
                <w:kern w:val="0"/>
                <w:sz w:val="21"/>
                <w:szCs w:val="21"/>
                <w:highlight w:val="none"/>
                <w:lang w:eastAsia="zh-CN" w:bidi="ar"/>
              </w:rPr>
            </w:pPr>
            <w:r>
              <w:rPr>
                <w:rFonts w:hint="eastAsia" w:ascii="宋体" w:hAnsi="宋体" w:eastAsia="宋体" w:cs="宋体"/>
                <w:b/>
                <w:color w:val="000000"/>
                <w:sz w:val="21"/>
                <w:szCs w:val="21"/>
                <w:highlight w:val="none"/>
                <w:lang w:eastAsia="zh-CN" w:bidi="ar"/>
              </w:rPr>
              <w:t>服务要求</w:t>
            </w:r>
          </w:p>
        </w:tc>
        <w:tc>
          <w:tcPr>
            <w:tcW w:w="8465" w:type="dxa"/>
            <w:tcBorders>
              <w:top w:val="single" w:color="auto" w:sz="4" w:space="0"/>
              <w:left w:val="single" w:color="auto" w:sz="4" w:space="0"/>
              <w:bottom w:val="single" w:color="auto" w:sz="4" w:space="0"/>
              <w:right w:val="single" w:color="auto" w:sz="4" w:space="0"/>
            </w:tcBorders>
            <w:noWrap w:val="0"/>
            <w:vAlign w:val="center"/>
          </w:tcPr>
          <w:p w14:paraId="51654AB8">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1.中标人应按照国家有关法律法规规定以及投标文件承诺，为采购人提供售后服务。</w:t>
            </w:r>
          </w:p>
          <w:p w14:paraId="7BC1766B">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2.质量保修范围:</w:t>
            </w:r>
            <w:r>
              <w:rPr>
                <w:rFonts w:hint="eastAsia" w:ascii="宋体" w:hAnsi="宋体" w:eastAsia="宋体" w:cs="宋体"/>
                <w:color w:val="000000"/>
                <w:sz w:val="21"/>
                <w:szCs w:val="21"/>
                <w:highlight w:val="none"/>
                <w:u w:val="single"/>
                <w:lang w:eastAsia="zh-CN" w:bidi="ar"/>
              </w:rPr>
              <w:t>本项目采购范围内的所有设备</w:t>
            </w:r>
            <w:r>
              <w:rPr>
                <w:rFonts w:hint="eastAsia" w:ascii="宋体" w:hAnsi="宋体" w:eastAsia="宋体" w:cs="宋体"/>
                <w:color w:val="000000"/>
                <w:sz w:val="21"/>
                <w:szCs w:val="21"/>
                <w:highlight w:val="none"/>
                <w:lang w:eastAsia="zh-CN" w:bidi="ar"/>
              </w:rPr>
              <w:t>。免费保修期内上门维修（维修费和元器件费包含在投标报价中）、更换零部件，软件终身免费升级服务，设备生产厂家提供远程联机维护服务，能对设备进行软件升级及故障分析；保修期：按中标人投标文件承诺（且不低于采购文件要求）执行。</w:t>
            </w:r>
          </w:p>
          <w:p w14:paraId="3DE94E53">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eastAsia="zh-CN" w:bidi="ar"/>
              </w:rPr>
              <w:t>3.免费保修期：按国家有关产品“三包”规定执行“三包”；免费保修期为不少于</w:t>
            </w:r>
            <w:r>
              <w:rPr>
                <w:rFonts w:hint="eastAsia" w:ascii="宋体" w:hAnsi="宋体" w:eastAsia="宋体" w:cs="宋体"/>
                <w:color w:val="000000"/>
                <w:sz w:val="21"/>
                <w:szCs w:val="21"/>
                <w:highlight w:val="none"/>
                <w:lang w:val="en-US" w:eastAsia="zh-CN" w:bidi="ar"/>
              </w:rPr>
              <w:t>6</w:t>
            </w:r>
            <w:r>
              <w:rPr>
                <w:rFonts w:hint="eastAsia" w:ascii="宋体" w:hAnsi="宋体" w:eastAsia="宋体" w:cs="宋体"/>
                <w:color w:val="000000"/>
                <w:sz w:val="21"/>
                <w:szCs w:val="21"/>
                <w:highlight w:val="none"/>
                <w:lang w:eastAsia="zh-CN" w:bidi="ar"/>
              </w:rPr>
              <w:t>年（免费保修期从设备验收合格之日起计算），免费保修期内上门维修不收取任何费用，提供备用机</w:t>
            </w:r>
            <w:r>
              <w:rPr>
                <w:rFonts w:hint="eastAsia" w:ascii="宋体" w:hAnsi="宋体" w:eastAsia="宋体" w:cs="宋体"/>
                <w:color w:val="000000"/>
                <w:sz w:val="21"/>
                <w:szCs w:val="21"/>
                <w:highlight w:val="none"/>
                <w:lang w:val="en-US" w:eastAsia="zh-CN" w:bidi="ar"/>
              </w:rPr>
              <w:t>。</w:t>
            </w:r>
          </w:p>
          <w:p w14:paraId="237EC133">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4.在免费保修期内因货物本身的质量问题发生故障，中标人应负责免费修理和更换零部件。对达不到技术要求者，根据实际情况，采购人有权按以下办法处理：</w:t>
            </w:r>
          </w:p>
          <w:p w14:paraId="12D613CE">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（1）更换：由中标人承担所发生的全部费用。</w:t>
            </w:r>
          </w:p>
          <w:p w14:paraId="676B3CCB">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（2）贬值处理：由采购人与中标人双方合议定价。</w:t>
            </w:r>
          </w:p>
          <w:p w14:paraId="3E9BC227">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（3）退货处理：中标人应退还采购人支付的合同款，同时应承担该货物的直接费用（运输、保险、检验、货款利息及银行手续费等）。</w:t>
            </w:r>
          </w:p>
          <w:p w14:paraId="54DB4DE0">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5.如在使用过程中发生质量问题，中标人在接到采购人通知后</w:t>
            </w:r>
            <w:r>
              <w:rPr>
                <w:rFonts w:hint="eastAsia" w:ascii="宋体" w:hAnsi="宋体" w:cs="宋体"/>
                <w:color w:val="000000"/>
                <w:sz w:val="21"/>
                <w:szCs w:val="21"/>
                <w:highlight w:val="none"/>
                <w:u w:val="single"/>
                <w:lang w:val="en-US" w:eastAsia="zh-CN" w:bidi="ar"/>
              </w:rPr>
              <w:t>2</w:t>
            </w:r>
            <w:r>
              <w:rPr>
                <w:rFonts w:hint="eastAsia" w:ascii="宋体" w:hAnsi="宋体" w:eastAsia="宋体" w:cs="宋体"/>
                <w:color w:val="000000"/>
                <w:sz w:val="21"/>
                <w:szCs w:val="21"/>
                <w:highlight w:val="none"/>
                <w:lang w:eastAsia="zh-CN" w:bidi="ar"/>
              </w:rPr>
              <w:t>小时内响应，</w:t>
            </w:r>
            <w:r>
              <w:rPr>
                <w:rFonts w:hint="eastAsia" w:ascii="宋体" w:hAnsi="宋体" w:cs="宋体"/>
                <w:color w:val="000000"/>
                <w:sz w:val="21"/>
                <w:szCs w:val="21"/>
                <w:highlight w:val="none"/>
                <w:u w:val="single"/>
                <w:lang w:val="en-US" w:eastAsia="zh-CN" w:bidi="ar"/>
              </w:rPr>
              <w:t>8</w:t>
            </w:r>
            <w:r>
              <w:rPr>
                <w:rFonts w:hint="eastAsia" w:ascii="宋体" w:hAnsi="宋体" w:eastAsia="宋体" w:cs="宋体"/>
                <w:color w:val="000000"/>
                <w:sz w:val="21"/>
                <w:szCs w:val="21"/>
                <w:highlight w:val="none"/>
                <w:lang w:eastAsia="zh-CN" w:bidi="ar"/>
              </w:rPr>
              <w:t>小时内到达现场进行处理，</w:t>
            </w:r>
            <w:r>
              <w:rPr>
                <w:rFonts w:hint="eastAsia" w:ascii="宋体" w:hAnsi="宋体" w:cs="宋体"/>
                <w:color w:val="000000"/>
                <w:kern w:val="0"/>
                <w:sz w:val="21"/>
                <w:szCs w:val="21"/>
                <w:highlight w:val="none"/>
              </w:rPr>
              <w:t>一般故障不超过24小时，重大故障不超过48小时</w:t>
            </w:r>
            <w:r>
              <w:rPr>
                <w:rFonts w:hint="eastAsia" w:ascii="宋体" w:hAnsi="宋体" w:eastAsia="宋体" w:cs="宋体"/>
                <w:color w:val="000000"/>
                <w:sz w:val="21"/>
                <w:szCs w:val="21"/>
                <w:highlight w:val="none"/>
                <w:lang w:eastAsia="zh-CN" w:bidi="ar"/>
              </w:rPr>
              <w:t>恢复正常使用。保修期限内设备开机率不低于95%(按全年365天计算)，若设备故障停机率超过5%，每超出一天，质保期</w:t>
            </w:r>
            <w:r>
              <w:rPr>
                <w:rFonts w:hint="eastAsia" w:ascii="宋体" w:hAnsi="宋体" w:cs="宋体"/>
                <w:color w:val="000000"/>
                <w:sz w:val="21"/>
                <w:szCs w:val="21"/>
                <w:highlight w:val="none"/>
                <w:lang w:val="en-US" w:eastAsia="zh-CN" w:bidi="ar"/>
              </w:rPr>
              <w:t>按1:3</w:t>
            </w:r>
            <w:r>
              <w:rPr>
                <w:rFonts w:hint="eastAsia" w:ascii="宋体" w:hAnsi="宋体" w:eastAsia="宋体" w:cs="宋体"/>
                <w:color w:val="000000"/>
                <w:sz w:val="21"/>
                <w:szCs w:val="21"/>
                <w:highlight w:val="none"/>
                <w:lang w:eastAsia="zh-CN" w:bidi="ar"/>
              </w:rPr>
              <w:t>相应延长</w:t>
            </w:r>
            <w:r>
              <w:rPr>
                <w:rFonts w:hint="eastAsia" w:ascii="宋体" w:hAnsi="宋体" w:cs="宋体"/>
                <w:color w:val="000000"/>
                <w:sz w:val="21"/>
                <w:szCs w:val="21"/>
                <w:highlight w:val="none"/>
                <w:lang w:eastAsia="zh-CN" w:bidi="ar"/>
              </w:rPr>
              <w:t>。</w:t>
            </w:r>
            <w:r>
              <w:rPr>
                <w:rFonts w:hint="eastAsia" w:ascii="宋体" w:hAnsi="宋体" w:eastAsia="宋体" w:cs="宋体"/>
                <w:color w:val="000000"/>
                <w:sz w:val="21"/>
                <w:szCs w:val="21"/>
                <w:highlight w:val="none"/>
                <w:lang w:eastAsia="zh-CN" w:bidi="ar"/>
              </w:rPr>
              <w:t>中标人逾期响应、到达现场、排除故障或者无法排除故障的，采购人有权自行或寻找第三方机构获得维修、维护等售后服务，全部费用由中标人承担，且无需经过中标人同意、确认。</w:t>
            </w:r>
          </w:p>
          <w:p w14:paraId="497600B2">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6.在免费保修期内，中标人应对货物出现的质量及安全问题负责处理解决并承担一切费用。</w:t>
            </w:r>
          </w:p>
          <w:p w14:paraId="0D6C9A02">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7.本项目采购范围内的货物因人为因素出现的故障不在免费保修范围内。超过免费保修期的机器设备，提供终生维修服务。</w:t>
            </w:r>
          </w:p>
          <w:p w14:paraId="74153899">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lang w:eastAsia="zh-CN" w:bidi="ar"/>
              </w:rPr>
              <w:t>8.中标人提供的货物在免费保修期内，因设计、工艺或材料的缺陷和其它质量原因造成的问题，由中标人负责，费用从最后一笔支付的合同价款当中扣除，不足以扣除的，由中标人另行支付。</w:t>
            </w:r>
          </w:p>
        </w:tc>
      </w:tr>
      <w:tr w14:paraId="10DA7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2196" w:type="dxa"/>
            <w:tcBorders>
              <w:top w:val="single" w:color="auto" w:sz="4" w:space="0"/>
              <w:left w:val="single" w:color="auto" w:sz="4" w:space="0"/>
              <w:bottom w:val="single" w:color="auto" w:sz="4" w:space="0"/>
              <w:right w:val="single" w:color="auto" w:sz="4" w:space="0"/>
            </w:tcBorders>
            <w:noWrap w:val="0"/>
            <w:vAlign w:val="center"/>
          </w:tcPr>
          <w:p w14:paraId="2F1CB7BC">
            <w:pPr>
              <w:keepNext w:val="0"/>
              <w:keepLines w:val="0"/>
              <w:pageBreakBefore w:val="0"/>
              <w:overflowPunct/>
              <w:topLinePunct w:val="0"/>
              <w:bidi w:val="0"/>
              <w:spacing w:line="400" w:lineRule="exact"/>
              <w:jc w:val="center"/>
              <w:rPr>
                <w:rFonts w:hint="eastAsia" w:ascii="宋体" w:hAnsi="宋体" w:eastAsia="宋体" w:cs="宋体"/>
                <w:b/>
                <w:color w:val="000000"/>
                <w:sz w:val="21"/>
                <w:szCs w:val="21"/>
                <w:highlight w:val="none"/>
                <w:lang w:eastAsia="zh-CN" w:bidi="ar"/>
              </w:rPr>
            </w:pPr>
            <w:r>
              <w:rPr>
                <w:rFonts w:hint="eastAsia" w:ascii="宋体" w:hAnsi="宋体" w:eastAsia="宋体" w:cs="宋体"/>
                <w:b/>
                <w:color w:val="000000"/>
                <w:sz w:val="21"/>
                <w:szCs w:val="21"/>
                <w:highlight w:val="none"/>
                <w:lang w:eastAsia="zh-CN" w:bidi="ar"/>
              </w:rPr>
              <w:t>合同签订时间及</w:t>
            </w:r>
          </w:p>
          <w:p w14:paraId="740641BA">
            <w:pPr>
              <w:keepNext w:val="0"/>
              <w:keepLines w:val="0"/>
              <w:pageBreakBefore w:val="0"/>
              <w:kinsoku/>
              <w:overflowPunct/>
              <w:topLinePunct w:val="0"/>
              <w:autoSpaceDE/>
              <w:autoSpaceDN/>
              <w:bidi w:val="0"/>
              <w:adjustRightInd/>
              <w:snapToGrid/>
              <w:spacing w:line="400" w:lineRule="exact"/>
              <w:ind w:firstLine="13" w:firstLineChars="6"/>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color w:val="000000"/>
                <w:sz w:val="21"/>
                <w:szCs w:val="21"/>
                <w:highlight w:val="none"/>
                <w:lang w:eastAsia="zh-CN" w:bidi="ar"/>
              </w:rPr>
              <w:t>地点</w:t>
            </w:r>
          </w:p>
        </w:tc>
        <w:tc>
          <w:tcPr>
            <w:tcW w:w="8465" w:type="dxa"/>
            <w:tcBorders>
              <w:top w:val="single" w:color="auto" w:sz="4" w:space="0"/>
              <w:left w:val="single" w:color="auto" w:sz="4" w:space="0"/>
              <w:bottom w:val="single" w:color="auto" w:sz="4" w:space="0"/>
              <w:right w:val="single" w:color="auto" w:sz="4" w:space="0"/>
            </w:tcBorders>
            <w:noWrap w:val="0"/>
            <w:vAlign w:val="center"/>
          </w:tcPr>
          <w:p w14:paraId="09A81076">
            <w:pPr>
              <w:keepNext w:val="0"/>
              <w:keepLines w:val="0"/>
              <w:pageBreakBefore w:val="0"/>
              <w:widowControl/>
              <w:kinsoku/>
              <w:wordWrap/>
              <w:overflowPunct/>
              <w:topLinePunct w:val="0"/>
              <w:autoSpaceDE/>
              <w:autoSpaceDN/>
              <w:bidi w:val="0"/>
              <w:adjustRightInd/>
              <w:snapToGrid/>
              <w:spacing w:line="380" w:lineRule="exact"/>
              <w:ind w:firstLine="12" w:firstLineChars="6"/>
              <w:jc w:val="both"/>
              <w:textAlignment w:val="auto"/>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1</w:t>
            </w:r>
            <w:r>
              <w:rPr>
                <w:rFonts w:hint="eastAsia" w:ascii="宋体" w:hAnsi="宋体" w:eastAsia="宋体" w:cs="宋体"/>
                <w:color w:val="000000"/>
                <w:sz w:val="21"/>
                <w:szCs w:val="21"/>
                <w:highlight w:val="none"/>
                <w:lang w:val="en-US" w:eastAsia="zh-CN" w:bidi="ar"/>
              </w:rPr>
              <w:t>.</w:t>
            </w:r>
            <w:r>
              <w:rPr>
                <w:rFonts w:hint="eastAsia" w:ascii="宋体" w:hAnsi="宋体" w:eastAsia="宋体" w:cs="宋体"/>
                <w:color w:val="000000"/>
                <w:sz w:val="21"/>
                <w:szCs w:val="21"/>
                <w:highlight w:val="none"/>
                <w:lang w:eastAsia="zh-CN" w:bidi="ar"/>
              </w:rPr>
              <w:t>签订合同时间：自中标通知书发出之日25日内。</w:t>
            </w:r>
          </w:p>
          <w:p w14:paraId="57059EC1">
            <w:pPr>
              <w:keepNext w:val="0"/>
              <w:keepLines w:val="0"/>
              <w:pageBreakBefore w:val="0"/>
              <w:widowControl/>
              <w:kinsoku/>
              <w:wordWrap/>
              <w:overflowPunct/>
              <w:topLinePunct w:val="0"/>
              <w:autoSpaceDE/>
              <w:autoSpaceDN/>
              <w:bidi w:val="0"/>
              <w:adjustRightInd/>
              <w:snapToGrid/>
              <w:spacing w:line="380" w:lineRule="exact"/>
              <w:ind w:firstLine="12" w:firstLineChars="6"/>
              <w:jc w:val="both"/>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bidi="ar"/>
              </w:rPr>
              <w:t>2</w:t>
            </w:r>
            <w:r>
              <w:rPr>
                <w:rFonts w:hint="eastAsia" w:ascii="宋体" w:hAnsi="宋体" w:eastAsia="宋体" w:cs="宋体"/>
                <w:color w:val="000000"/>
                <w:sz w:val="21"/>
                <w:szCs w:val="21"/>
                <w:highlight w:val="none"/>
                <w:lang w:val="en-US" w:eastAsia="zh-CN" w:bidi="ar"/>
              </w:rPr>
              <w:t>.</w:t>
            </w:r>
            <w:r>
              <w:rPr>
                <w:rFonts w:hint="eastAsia" w:ascii="宋体" w:hAnsi="宋体" w:eastAsia="宋体" w:cs="宋体"/>
                <w:color w:val="000000"/>
                <w:sz w:val="21"/>
                <w:szCs w:val="21"/>
                <w:highlight w:val="none"/>
                <w:lang w:eastAsia="zh-CN" w:bidi="ar"/>
              </w:rPr>
              <w:t>签订合同地点：广西壮族自治区南溪山医院（广西壮族自治区第二人民医院）指定地点。</w:t>
            </w:r>
          </w:p>
        </w:tc>
      </w:tr>
      <w:tr w14:paraId="26D8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96" w:type="dxa"/>
            <w:tcBorders>
              <w:top w:val="single" w:color="auto" w:sz="4" w:space="0"/>
              <w:left w:val="single" w:color="auto" w:sz="4" w:space="0"/>
              <w:bottom w:val="single" w:color="auto" w:sz="4" w:space="0"/>
              <w:right w:val="single" w:color="auto" w:sz="4" w:space="0"/>
            </w:tcBorders>
            <w:noWrap w:val="0"/>
            <w:vAlign w:val="center"/>
          </w:tcPr>
          <w:p w14:paraId="079CB8F4">
            <w:pPr>
              <w:keepNext w:val="0"/>
              <w:keepLines w:val="0"/>
              <w:pageBreakBefore w:val="0"/>
              <w:kinsoku/>
              <w:overflowPunct/>
              <w:topLinePunct w:val="0"/>
              <w:bidi w:val="0"/>
              <w:spacing w:line="400" w:lineRule="exact"/>
              <w:ind w:left="13" w:leftChars="6"/>
              <w:jc w:val="center"/>
              <w:rPr>
                <w:rFonts w:hint="eastAsia" w:ascii="宋体" w:hAnsi="宋体" w:eastAsia="宋体" w:cs="宋体"/>
                <w:b w:val="0"/>
                <w:bCs w:val="0"/>
                <w:color w:val="000000"/>
                <w:kern w:val="0"/>
                <w:sz w:val="21"/>
                <w:szCs w:val="21"/>
                <w:highlight w:val="none"/>
                <w:lang w:eastAsia="zh-CN" w:bidi="ar"/>
              </w:rPr>
            </w:pPr>
            <w:r>
              <w:rPr>
                <w:rFonts w:hint="eastAsia" w:ascii="宋体" w:hAnsi="宋体" w:eastAsia="宋体" w:cs="宋体"/>
                <w:b/>
                <w:color w:val="000000"/>
                <w:sz w:val="21"/>
                <w:szCs w:val="21"/>
                <w:highlight w:val="none"/>
                <w:lang w:eastAsia="zh-CN" w:bidi="ar"/>
              </w:rPr>
              <w:t>包装和运输</w:t>
            </w:r>
          </w:p>
        </w:tc>
        <w:tc>
          <w:tcPr>
            <w:tcW w:w="8465" w:type="dxa"/>
            <w:tcBorders>
              <w:top w:val="single" w:color="auto" w:sz="4" w:space="0"/>
              <w:left w:val="single" w:color="auto" w:sz="4" w:space="0"/>
              <w:bottom w:val="single" w:color="auto" w:sz="4" w:space="0"/>
              <w:right w:val="single" w:color="auto" w:sz="4" w:space="0"/>
            </w:tcBorders>
            <w:noWrap w:val="0"/>
            <w:vAlign w:val="center"/>
          </w:tcPr>
          <w:p w14:paraId="5A67B44C">
            <w:pPr>
              <w:keepNext w:val="0"/>
              <w:keepLines w:val="0"/>
              <w:pageBreakBefore w:val="0"/>
              <w:widowControl/>
              <w:kinsoku/>
              <w:wordWrap/>
              <w:overflowPunct/>
              <w:topLinePunct w:val="0"/>
              <w:bidi w:val="0"/>
              <w:spacing w:line="380" w:lineRule="exact"/>
              <w:ind w:left="13" w:left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1.原厂原包装，包装完好、完整无破损、未开封。</w:t>
            </w:r>
          </w:p>
          <w:p w14:paraId="452359B1">
            <w:pPr>
              <w:keepNext w:val="0"/>
              <w:keepLines w:val="0"/>
              <w:pageBreakBefore w:val="0"/>
              <w:widowControl/>
              <w:kinsoku/>
              <w:wordWrap/>
              <w:overflowPunct/>
              <w:topLinePunct w:val="0"/>
              <w:bidi w:val="0"/>
              <w:spacing w:line="380" w:lineRule="exact"/>
              <w:ind w:left="13" w:left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2.包装及运输方式应综合考虑运输距离、防潮、防震、防锈和防破损装卸等要求。</w:t>
            </w:r>
          </w:p>
          <w:p w14:paraId="3E1AB36D">
            <w:pPr>
              <w:keepNext w:val="0"/>
              <w:keepLines w:val="0"/>
              <w:pageBreakBefore w:val="0"/>
              <w:widowControl/>
              <w:kinsoku/>
              <w:wordWrap/>
              <w:overflowPunct/>
              <w:topLinePunct w:val="0"/>
              <w:bidi w:val="0"/>
              <w:spacing w:line="380" w:lineRule="exact"/>
              <w:ind w:left="13" w:left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3.国家对包装及运输有相关强制性标准或要求的，中标人应当执行。</w:t>
            </w:r>
          </w:p>
          <w:p w14:paraId="620606E3">
            <w:pPr>
              <w:keepNext w:val="0"/>
              <w:keepLines w:val="0"/>
              <w:pageBreakBefore w:val="0"/>
              <w:widowControl/>
              <w:kinsoku/>
              <w:wordWrap/>
              <w:overflowPunct/>
              <w:topLinePunct w:val="0"/>
              <w:bidi w:val="0"/>
              <w:spacing w:line="380" w:lineRule="exact"/>
              <w:ind w:left="13" w:leftChars="6"/>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bidi="ar"/>
              </w:rPr>
              <w:t>4.产品（含包装）运抵采购人指定交付地点前发生损坏的，相关损失由中标人自行承担。</w:t>
            </w:r>
          </w:p>
        </w:tc>
      </w:tr>
      <w:tr w14:paraId="0E1E3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196" w:type="dxa"/>
            <w:tcBorders>
              <w:top w:val="single" w:color="auto" w:sz="4" w:space="0"/>
              <w:left w:val="single" w:color="auto" w:sz="4" w:space="0"/>
              <w:bottom w:val="single" w:color="auto" w:sz="4" w:space="0"/>
              <w:right w:val="single" w:color="auto" w:sz="4" w:space="0"/>
            </w:tcBorders>
            <w:noWrap w:val="0"/>
            <w:vAlign w:val="center"/>
          </w:tcPr>
          <w:p w14:paraId="1115345B">
            <w:pPr>
              <w:keepNext w:val="0"/>
              <w:keepLines w:val="0"/>
              <w:pageBreakBefore w:val="0"/>
              <w:kinsoku/>
              <w:overflowPunct/>
              <w:topLinePunct w:val="0"/>
              <w:bidi w:val="0"/>
              <w:spacing w:line="400" w:lineRule="exact"/>
              <w:jc w:val="center"/>
              <w:rPr>
                <w:rFonts w:hint="eastAsia" w:ascii="宋体" w:hAnsi="宋体" w:eastAsia="宋体" w:cs="宋体"/>
                <w:b w:val="0"/>
                <w:bCs w:val="0"/>
                <w:color w:val="000000"/>
                <w:kern w:val="0"/>
                <w:sz w:val="21"/>
                <w:szCs w:val="21"/>
                <w:highlight w:val="none"/>
                <w:lang w:eastAsia="zh-CN" w:bidi="ar"/>
              </w:rPr>
            </w:pPr>
            <w:r>
              <w:rPr>
                <w:rFonts w:hint="eastAsia" w:ascii="宋体" w:hAnsi="宋体" w:eastAsia="宋体" w:cs="宋体"/>
                <w:b/>
                <w:color w:val="000000"/>
                <w:sz w:val="21"/>
                <w:szCs w:val="21"/>
                <w:highlight w:val="none"/>
                <w:lang w:eastAsia="zh-CN" w:bidi="ar"/>
              </w:rPr>
              <w:t>保险</w:t>
            </w:r>
          </w:p>
        </w:tc>
        <w:tc>
          <w:tcPr>
            <w:tcW w:w="8465" w:type="dxa"/>
            <w:tcBorders>
              <w:top w:val="single" w:color="auto" w:sz="4" w:space="0"/>
              <w:left w:val="single" w:color="auto" w:sz="4" w:space="0"/>
              <w:bottom w:val="single" w:color="auto" w:sz="4" w:space="0"/>
              <w:right w:val="single" w:color="auto" w:sz="4" w:space="0"/>
            </w:tcBorders>
            <w:noWrap w:val="0"/>
            <w:vAlign w:val="center"/>
          </w:tcPr>
          <w:p w14:paraId="0CCF0CB2">
            <w:pPr>
              <w:keepNext w:val="0"/>
              <w:keepLines w:val="0"/>
              <w:pageBreakBefore w:val="0"/>
              <w:widowControl/>
              <w:kinsoku/>
              <w:wordWrap/>
              <w:overflowPunct/>
              <w:topLinePunct w:val="0"/>
              <w:bidi w:val="0"/>
              <w:spacing w:line="380" w:lineRule="exact"/>
              <w:rPr>
                <w:rFonts w:hint="eastAsia" w:ascii="宋体" w:hAnsi="宋体" w:eastAsia="宋体" w:cs="宋体"/>
                <w:bCs/>
                <w:color w:val="000000"/>
                <w:sz w:val="21"/>
                <w:szCs w:val="21"/>
                <w:highlight w:val="none"/>
              </w:rPr>
            </w:pPr>
            <w:r>
              <w:rPr>
                <w:rFonts w:hint="eastAsia" w:ascii="宋体" w:hAnsi="宋体" w:eastAsia="宋体" w:cs="宋体"/>
                <w:color w:val="000000"/>
                <w:sz w:val="21"/>
                <w:szCs w:val="21"/>
                <w:highlight w:val="none"/>
                <w:lang w:eastAsia="zh-CN" w:bidi="ar"/>
              </w:rPr>
              <w:t>若投标人为本项目标的及标的涉及的相关材料、设备、人员、运输等购买保险的，相关费用由投标人自行承担。</w:t>
            </w:r>
          </w:p>
        </w:tc>
      </w:tr>
      <w:tr w14:paraId="786C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196" w:type="dxa"/>
            <w:tcBorders>
              <w:top w:val="single" w:color="auto" w:sz="4" w:space="0"/>
              <w:left w:val="single" w:color="auto" w:sz="4" w:space="0"/>
              <w:bottom w:val="single" w:color="auto" w:sz="4" w:space="0"/>
              <w:right w:val="single" w:color="auto" w:sz="4" w:space="0"/>
            </w:tcBorders>
            <w:noWrap w:val="0"/>
            <w:vAlign w:val="center"/>
          </w:tcPr>
          <w:p w14:paraId="3B0E90A5">
            <w:pPr>
              <w:keepNext w:val="0"/>
              <w:keepLines w:val="0"/>
              <w:pageBreakBefore w:val="0"/>
              <w:kinsoku/>
              <w:overflowPunct/>
              <w:topLinePunct w:val="0"/>
              <w:bidi w:val="0"/>
              <w:spacing w:line="400" w:lineRule="exact"/>
              <w:ind w:firstLine="13" w:firstLineChars="6"/>
              <w:jc w:val="center"/>
              <w:rPr>
                <w:rFonts w:hint="eastAsia" w:ascii="宋体" w:hAnsi="宋体" w:eastAsia="宋体" w:cs="宋体"/>
                <w:color w:val="000000"/>
                <w:kern w:val="0"/>
                <w:sz w:val="21"/>
                <w:szCs w:val="21"/>
                <w:highlight w:val="none"/>
              </w:rPr>
            </w:pPr>
            <w:r>
              <w:rPr>
                <w:rFonts w:hint="eastAsia" w:ascii="宋体" w:hAnsi="宋体" w:eastAsia="宋体" w:cs="宋体"/>
                <w:b/>
                <w:color w:val="000000"/>
                <w:sz w:val="21"/>
                <w:szCs w:val="21"/>
                <w:highlight w:val="none"/>
                <w:lang w:eastAsia="zh-CN" w:bidi="ar"/>
              </w:rPr>
              <w:t>验收标准</w:t>
            </w:r>
          </w:p>
        </w:tc>
        <w:tc>
          <w:tcPr>
            <w:tcW w:w="8465" w:type="dxa"/>
            <w:tcBorders>
              <w:top w:val="single" w:color="auto" w:sz="4" w:space="0"/>
              <w:left w:val="single" w:color="auto" w:sz="4" w:space="0"/>
              <w:bottom w:val="single" w:color="auto" w:sz="4" w:space="0"/>
              <w:right w:val="single" w:color="auto" w:sz="4" w:space="0"/>
            </w:tcBorders>
            <w:noWrap w:val="0"/>
            <w:vAlign w:val="center"/>
          </w:tcPr>
          <w:p w14:paraId="3528B7A2">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（1）初步验收：</w:t>
            </w:r>
          </w:p>
          <w:p w14:paraId="46BDEB3D">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标的在规定的时间内到货，标的（含包装）完整、完好，与</w:t>
            </w:r>
            <w:r>
              <w:rPr>
                <w:rFonts w:hint="eastAsia" w:ascii="宋体" w:hAnsi="宋体" w:eastAsia="宋体" w:cs="宋体"/>
                <w:bCs/>
                <w:color w:val="000000"/>
                <w:sz w:val="21"/>
                <w:szCs w:val="21"/>
                <w:highlight w:val="none"/>
                <w:lang w:eastAsia="zh-CN"/>
              </w:rPr>
              <w:t>投标</w:t>
            </w:r>
            <w:r>
              <w:rPr>
                <w:rFonts w:hint="eastAsia" w:ascii="宋体" w:hAnsi="宋体" w:eastAsia="宋体" w:cs="宋体"/>
                <w:bCs/>
                <w:color w:val="000000"/>
                <w:sz w:val="21"/>
                <w:szCs w:val="21"/>
                <w:highlight w:val="none"/>
              </w:rPr>
              <w:t>承诺的产品（制造商、品牌、规格型号等）一致，标的无明显瑕疵、无损坏，装箱清单、用户手册、原厂保修卡、安装操作使用和维护手册、随机资料等所有技术资料、工具和备品、备件齐全。全部满足以上情形的，视为初步验收合格，标的不符合上述情形的，采购人在初步验收后七个工作日内以书面形式向</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提出，</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应自收到采购人书面异议后七个工作日内及时予以解决，否则，视为初步验收不合格，不予进行交付验收。</w:t>
            </w:r>
          </w:p>
          <w:p w14:paraId="118289F7">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（2）交付验收：</w:t>
            </w:r>
          </w:p>
          <w:p w14:paraId="19710FB4">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标的的技术指标与</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的</w:t>
            </w:r>
            <w:r>
              <w:rPr>
                <w:rFonts w:hint="eastAsia" w:ascii="宋体" w:hAnsi="宋体" w:eastAsia="宋体" w:cs="宋体"/>
                <w:bCs/>
                <w:color w:val="000000"/>
                <w:sz w:val="21"/>
                <w:szCs w:val="21"/>
                <w:highlight w:val="none"/>
                <w:lang w:eastAsia="zh-CN"/>
              </w:rPr>
              <w:t>投标</w:t>
            </w:r>
            <w:r>
              <w:rPr>
                <w:rFonts w:hint="eastAsia" w:ascii="宋体" w:hAnsi="宋体" w:eastAsia="宋体" w:cs="宋体"/>
                <w:bCs/>
                <w:color w:val="000000"/>
                <w:sz w:val="21"/>
                <w:szCs w:val="21"/>
                <w:highlight w:val="none"/>
              </w:rPr>
              <w:t>承诺一致或更高，且满足采购文件全部实质性要求，视为交付验收合格。标的不符合上述情形的，采购人在交付验收后七个工作日内以书面形式向</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提出，</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应自收到采购人书面异议后七个工作日内及时予以解决，否则，视为交付验收不合格。</w:t>
            </w:r>
          </w:p>
          <w:p w14:paraId="5F648A5B">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（3）最终验收：</w:t>
            </w:r>
          </w:p>
          <w:p w14:paraId="1292729A">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标的交付验收合格投入使用后，</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提供的售后服务与其</w:t>
            </w:r>
            <w:r>
              <w:rPr>
                <w:rFonts w:hint="eastAsia" w:ascii="宋体" w:hAnsi="宋体" w:eastAsia="宋体" w:cs="宋体"/>
                <w:bCs/>
                <w:color w:val="000000"/>
                <w:sz w:val="21"/>
                <w:szCs w:val="21"/>
                <w:highlight w:val="none"/>
                <w:lang w:eastAsia="zh-CN"/>
              </w:rPr>
              <w:t>投标</w:t>
            </w:r>
            <w:r>
              <w:rPr>
                <w:rFonts w:hint="eastAsia" w:ascii="宋体" w:hAnsi="宋体" w:eastAsia="宋体" w:cs="宋体"/>
                <w:bCs/>
                <w:color w:val="000000"/>
                <w:sz w:val="21"/>
                <w:szCs w:val="21"/>
                <w:highlight w:val="none"/>
              </w:rPr>
              <w:t>承诺一致或更优，且</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履行完合同约定的应当由</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履行的全部事项之，视为最终验收合格。</w:t>
            </w:r>
          </w:p>
          <w:p w14:paraId="7EB886E9">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（4）其他事项：</w:t>
            </w:r>
          </w:p>
          <w:p w14:paraId="44AEB2DE">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1）验收时，双方应当派员在场，并对验收结果签署意见，否则视为其同意验收结果。</w:t>
            </w:r>
          </w:p>
          <w:p w14:paraId="6C6E9199">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2）由于</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的原因造成采购人验收不合格、影响采购人正常使用的，由此造成的损失由</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承担。初步验收或交付验收不合格的，采购人有权终止合同并全部退货，同时报相关监督管理部门处理，由此造成甲方经济损失的由</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负责承担全部赔偿责任。</w:t>
            </w:r>
          </w:p>
          <w:p w14:paraId="689621D7">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3）对技术复杂的货物，采购人可请国家认可的专业检测机构参与初步验收及交付验收，并由其出具质量检测报告，费用由</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承担。</w:t>
            </w:r>
          </w:p>
          <w:p w14:paraId="0A75573E">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4）验收过程中所产生的一切费用均由</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承担，</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在</w:t>
            </w:r>
            <w:r>
              <w:rPr>
                <w:rFonts w:hint="eastAsia" w:ascii="宋体" w:hAnsi="宋体" w:eastAsia="宋体" w:cs="宋体"/>
                <w:bCs/>
                <w:color w:val="000000"/>
                <w:sz w:val="21"/>
                <w:szCs w:val="21"/>
                <w:highlight w:val="none"/>
                <w:lang w:eastAsia="zh-CN"/>
              </w:rPr>
              <w:t>投标报价</w:t>
            </w:r>
            <w:r>
              <w:rPr>
                <w:rFonts w:hint="eastAsia" w:ascii="宋体" w:hAnsi="宋体" w:eastAsia="宋体" w:cs="宋体"/>
                <w:bCs/>
                <w:color w:val="000000"/>
                <w:sz w:val="21"/>
                <w:szCs w:val="21"/>
                <w:highlight w:val="none"/>
              </w:rPr>
              <w:t>时应综合考虑相关费用。</w:t>
            </w:r>
          </w:p>
          <w:p w14:paraId="732B1EDB">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5）采购人对产品的验收不免除</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的质量保证责任。</w:t>
            </w:r>
          </w:p>
          <w:p w14:paraId="7DB05D48">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6）其他未尽事宜应严格按照《关于印发广西壮族自治区政府采购项目履约验收管理办法的通知》[桂财采〔2015〕22号]以及《财政部关于进一步加强政府采购需求和履约验收管理的指导意见》[财库〔2016〕205号]规定执行。</w:t>
            </w:r>
          </w:p>
          <w:p w14:paraId="523DC90B">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7）验收产生的费用</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负责。</w:t>
            </w:r>
          </w:p>
        </w:tc>
      </w:tr>
      <w:tr w14:paraId="2C3C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196" w:type="dxa"/>
            <w:tcBorders>
              <w:top w:val="single" w:color="auto" w:sz="4" w:space="0"/>
              <w:left w:val="single" w:color="auto" w:sz="4" w:space="0"/>
              <w:bottom w:val="single" w:color="auto" w:sz="4" w:space="0"/>
              <w:right w:val="single" w:color="auto" w:sz="4" w:space="0"/>
            </w:tcBorders>
            <w:noWrap w:val="0"/>
            <w:vAlign w:val="center"/>
          </w:tcPr>
          <w:p w14:paraId="799EF6BB">
            <w:pPr>
              <w:keepNext w:val="0"/>
              <w:keepLines w:val="0"/>
              <w:pageBreakBefore w:val="0"/>
              <w:kinsoku/>
              <w:overflowPunct/>
              <w:topLinePunct w:val="0"/>
              <w:bidi w:val="0"/>
              <w:spacing w:line="400" w:lineRule="exact"/>
              <w:ind w:firstLine="13" w:firstLineChars="6"/>
              <w:jc w:val="center"/>
              <w:outlineLvl w:val="0"/>
              <w:rPr>
                <w:rFonts w:hint="eastAsia" w:ascii="宋体" w:hAnsi="宋体" w:eastAsia="宋体" w:cs="宋体"/>
                <w:color w:val="000000"/>
                <w:kern w:val="0"/>
                <w:sz w:val="21"/>
                <w:szCs w:val="21"/>
                <w:highlight w:val="none"/>
              </w:rPr>
            </w:pPr>
            <w:r>
              <w:rPr>
                <w:rFonts w:hint="eastAsia" w:ascii="宋体" w:hAnsi="宋体" w:eastAsia="宋体" w:cs="宋体"/>
                <w:b/>
                <w:color w:val="000000"/>
                <w:sz w:val="21"/>
                <w:szCs w:val="21"/>
                <w:highlight w:val="none"/>
                <w:lang w:eastAsia="zh-CN" w:bidi="ar"/>
              </w:rPr>
              <w:t>其他要求</w:t>
            </w:r>
          </w:p>
        </w:tc>
        <w:tc>
          <w:tcPr>
            <w:tcW w:w="8465" w:type="dxa"/>
            <w:tcBorders>
              <w:top w:val="single" w:color="auto" w:sz="4" w:space="0"/>
              <w:left w:val="single" w:color="auto" w:sz="4" w:space="0"/>
              <w:bottom w:val="single" w:color="auto" w:sz="4" w:space="0"/>
              <w:right w:val="single" w:color="auto" w:sz="4" w:space="0"/>
            </w:tcBorders>
            <w:noWrap w:val="0"/>
            <w:vAlign w:val="center"/>
          </w:tcPr>
          <w:p w14:paraId="43B8B599">
            <w:pPr>
              <w:keepNext w:val="0"/>
              <w:keepLines w:val="0"/>
              <w:pageBreakBefore w:val="0"/>
              <w:widowControl/>
              <w:kinsoku/>
              <w:wordWrap/>
              <w:overflowPunct/>
              <w:topLinePunct w:val="0"/>
              <w:bidi w:val="0"/>
              <w:adjustRightInd/>
              <w:snapToGrid/>
              <w:spacing w:line="380" w:lineRule="exact"/>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1.本分标最高限价金额：2580000元</w:t>
            </w:r>
            <w:r>
              <w:rPr>
                <w:rFonts w:hint="eastAsia" w:ascii="宋体" w:hAnsi="宋体" w:eastAsia="宋体" w:cs="宋体"/>
                <w:color w:val="000000"/>
                <w:sz w:val="21"/>
                <w:szCs w:val="21"/>
                <w:highlight w:val="none"/>
                <w:lang w:val="en-US" w:eastAsia="zh-CN"/>
              </w:rPr>
              <w:t>，</w:t>
            </w:r>
            <w:r>
              <w:rPr>
                <w:rFonts w:hint="eastAsia" w:ascii="宋体" w:hAnsi="宋体" w:eastAsia="宋体" w:cs="宋体"/>
                <w:b/>
                <w:bCs/>
                <w:color w:val="000000"/>
                <w:sz w:val="21"/>
                <w:szCs w:val="21"/>
                <w:highlight w:val="none"/>
              </w:rPr>
              <w:t>投标报价超出最高限价金额的，投标文件作无效处理。</w:t>
            </w:r>
          </w:p>
          <w:p w14:paraId="357574AD">
            <w:pPr>
              <w:keepNext w:val="0"/>
              <w:keepLines w:val="0"/>
              <w:pageBreakBefore w:val="0"/>
              <w:widowControl/>
              <w:kinsoku/>
              <w:wordWrap/>
              <w:overflowPunct/>
              <w:topLinePunct w:val="0"/>
              <w:bidi w:val="0"/>
              <w:spacing w:line="380" w:lineRule="exact"/>
              <w:ind w:firstLine="12" w:firstLineChars="6"/>
              <w:jc w:val="both"/>
              <w:outlineLvl w:val="0"/>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2.</w:t>
            </w:r>
            <w:r>
              <w:rPr>
                <w:rFonts w:hint="eastAsia" w:ascii="宋体" w:hAnsi="宋体" w:eastAsia="宋体" w:cs="宋体"/>
                <w:b w:val="0"/>
                <w:bCs/>
                <w:color w:val="000000"/>
                <w:sz w:val="21"/>
                <w:szCs w:val="21"/>
                <w:highlight w:val="none"/>
                <w:lang w:eastAsia="zh-CN"/>
              </w:rPr>
              <w:t>投标人必须承诺设备验收合格后免费对采购人的使用人员进行操作及相关知识的培训，并确保设备有1～2人能熟练使用设备，并能排除简单的软硬件故障。</w:t>
            </w:r>
          </w:p>
          <w:p w14:paraId="2DAE9036">
            <w:pPr>
              <w:keepNext w:val="0"/>
              <w:keepLines w:val="0"/>
              <w:pageBreakBefore w:val="0"/>
              <w:widowControl/>
              <w:kinsoku/>
              <w:wordWrap/>
              <w:overflowPunct/>
              <w:topLinePunct w:val="0"/>
              <w:bidi w:val="0"/>
              <w:spacing w:line="380" w:lineRule="exact"/>
              <w:ind w:firstLine="12" w:firstLineChars="6"/>
              <w:jc w:val="both"/>
              <w:outlineLvl w:val="0"/>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3.</w:t>
            </w:r>
            <w:r>
              <w:rPr>
                <w:rFonts w:hint="eastAsia" w:ascii="宋体" w:hAnsi="宋体" w:eastAsia="宋体" w:cs="宋体"/>
                <w:b w:val="0"/>
                <w:bCs/>
                <w:color w:val="000000"/>
                <w:sz w:val="21"/>
                <w:szCs w:val="21"/>
                <w:highlight w:val="none"/>
                <w:lang w:eastAsia="zh-CN"/>
              </w:rPr>
              <w:t>设备必须是全新、完整、未使用过的产品；设备到货后，供应商和购买方应在现场进行清点；清点过程中如果发现因包装或运输不当引起的仪器外观或内部的损坏，供应商应负责更换；若发现错发/漏发情况，供应商应负责更换和补发。</w:t>
            </w:r>
          </w:p>
          <w:p w14:paraId="3FA9EB9F">
            <w:pPr>
              <w:keepNext w:val="0"/>
              <w:keepLines w:val="0"/>
              <w:pageBreakBefore w:val="0"/>
              <w:widowControl/>
              <w:kinsoku/>
              <w:wordWrap/>
              <w:overflowPunct/>
              <w:topLinePunct w:val="0"/>
              <w:bidi w:val="0"/>
              <w:spacing w:line="380" w:lineRule="exact"/>
              <w:ind w:firstLine="12" w:firstLineChars="6"/>
              <w:jc w:val="both"/>
              <w:outlineLvl w:val="0"/>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4.</w:t>
            </w:r>
            <w:r>
              <w:rPr>
                <w:rFonts w:hint="eastAsia" w:ascii="宋体" w:hAnsi="宋体" w:eastAsia="宋体" w:cs="宋体"/>
                <w:b w:val="0"/>
                <w:bCs/>
                <w:color w:val="000000"/>
                <w:sz w:val="21"/>
                <w:szCs w:val="21"/>
                <w:highlight w:val="none"/>
                <w:lang w:eastAsia="zh-CN"/>
              </w:rPr>
              <w:t>安装标准及验收标准：符合我国国家有关技术规范和技术标准；设备安装后，医院按国际和国家标准及厂方标准进行质量验收；卖方应向买方提供详细的验收标准、验收手册。</w:t>
            </w:r>
          </w:p>
          <w:p w14:paraId="772961F3">
            <w:pPr>
              <w:keepNext w:val="0"/>
              <w:keepLines w:val="0"/>
              <w:pageBreakBefore w:val="0"/>
              <w:widowControl/>
              <w:kinsoku/>
              <w:wordWrap/>
              <w:overflowPunct/>
              <w:topLinePunct w:val="0"/>
              <w:bidi w:val="0"/>
              <w:spacing w:line="380" w:lineRule="exact"/>
              <w:ind w:firstLine="12" w:firstLineChars="6"/>
              <w:jc w:val="both"/>
              <w:outlineLvl w:val="0"/>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5.</w:t>
            </w:r>
            <w:r>
              <w:rPr>
                <w:rFonts w:hint="eastAsia" w:ascii="宋体" w:hAnsi="宋体" w:eastAsia="宋体" w:cs="宋体"/>
                <w:b w:val="0"/>
                <w:bCs/>
                <w:color w:val="000000"/>
                <w:sz w:val="21"/>
                <w:szCs w:val="21"/>
                <w:highlight w:val="none"/>
                <w:lang w:eastAsia="zh-CN"/>
              </w:rPr>
              <w:t>采购人在中华人民共和国境内使用中标人提供的产品及服务时免受第三方提出的侵犯其专利权或其它知识产权的起诉。如果第三方提出侵权指控，中标人应承担由此而引起的一切法律责任和费用。</w:t>
            </w:r>
          </w:p>
          <w:p w14:paraId="5DB68443">
            <w:pPr>
              <w:keepNext w:val="0"/>
              <w:keepLines w:val="0"/>
              <w:pageBreakBefore w:val="0"/>
              <w:widowControl/>
              <w:kinsoku/>
              <w:wordWrap/>
              <w:overflowPunct/>
              <w:topLinePunct w:val="0"/>
              <w:bidi w:val="0"/>
              <w:spacing w:line="380" w:lineRule="exact"/>
              <w:ind w:firstLine="12" w:firstLineChars="6"/>
              <w:jc w:val="both"/>
              <w:outlineLvl w:val="0"/>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6.</w:t>
            </w:r>
            <w:r>
              <w:rPr>
                <w:rFonts w:hint="eastAsia" w:ascii="宋体" w:hAnsi="宋体" w:eastAsia="宋体" w:cs="宋体"/>
                <w:b w:val="0"/>
                <w:bCs/>
                <w:color w:val="000000"/>
                <w:sz w:val="21"/>
                <w:szCs w:val="21"/>
                <w:highlight w:val="none"/>
                <w:lang w:eastAsia="zh-CN"/>
              </w:rPr>
              <w:t>在货物验收时候，如发现存在虚假响应，采购人将终止合同，并上报监督管理部门进行处罚。</w:t>
            </w:r>
          </w:p>
          <w:p w14:paraId="0D9AB7E6">
            <w:pPr>
              <w:keepNext w:val="0"/>
              <w:keepLines w:val="0"/>
              <w:pageBreakBefore w:val="0"/>
              <w:widowControl/>
              <w:kinsoku/>
              <w:wordWrap/>
              <w:overflowPunct/>
              <w:topLinePunct w:val="0"/>
              <w:bidi w:val="0"/>
              <w:spacing w:line="380" w:lineRule="exact"/>
              <w:ind w:firstLine="12" w:firstLineChars="6"/>
              <w:jc w:val="both"/>
              <w:outlineLvl w:val="0"/>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7.</w:t>
            </w:r>
            <w:r>
              <w:rPr>
                <w:rFonts w:hint="eastAsia" w:ascii="宋体" w:hAnsi="宋体" w:eastAsia="宋体" w:cs="宋体"/>
                <w:b w:val="0"/>
                <w:bCs/>
                <w:color w:val="000000"/>
                <w:sz w:val="21"/>
                <w:szCs w:val="21"/>
                <w:highlight w:val="none"/>
                <w:lang w:eastAsia="zh-CN"/>
              </w:rPr>
              <w:t>交钥匙工程：中标人负责全部产品的安装调试后直接交付运行。在保修期内，中标人保证采购人能够合法应用该器械/服务。在此过程中，采购人应当提供一切必要支持。若可能出现的后续证件、手续，中标人必须提供办理的流程及方法。</w:t>
            </w:r>
          </w:p>
          <w:p w14:paraId="787A7E63">
            <w:pPr>
              <w:keepNext w:val="0"/>
              <w:keepLines w:val="0"/>
              <w:pageBreakBefore w:val="0"/>
              <w:widowControl/>
              <w:kinsoku/>
              <w:wordWrap/>
              <w:overflowPunct/>
              <w:topLinePunct w:val="0"/>
              <w:bidi w:val="0"/>
              <w:spacing w:line="380" w:lineRule="exact"/>
              <w:ind w:firstLine="12" w:firstLineChars="6"/>
              <w:jc w:val="both"/>
              <w:outlineLvl w:val="0"/>
              <w:rPr>
                <w:rFonts w:hint="eastAsia" w:ascii="宋体" w:hAnsi="宋体" w:eastAsia="宋体" w:cs="宋体"/>
                <w:bCs/>
                <w:color w:val="000000"/>
                <w:sz w:val="21"/>
                <w:szCs w:val="21"/>
                <w:highlight w:val="none"/>
              </w:rPr>
            </w:pPr>
            <w:r>
              <w:rPr>
                <w:rFonts w:hint="eastAsia" w:ascii="宋体" w:hAnsi="宋体" w:eastAsia="宋体" w:cs="宋体"/>
                <w:b w:val="0"/>
                <w:bCs/>
                <w:color w:val="000000"/>
                <w:sz w:val="21"/>
                <w:szCs w:val="21"/>
                <w:highlight w:val="none"/>
                <w:lang w:val="en-US" w:eastAsia="zh-CN"/>
              </w:rPr>
              <w:t>8.</w:t>
            </w:r>
            <w:r>
              <w:rPr>
                <w:rFonts w:hint="eastAsia" w:ascii="宋体" w:hAnsi="宋体" w:eastAsia="宋体" w:cs="宋体"/>
                <w:b w:val="0"/>
                <w:bCs/>
                <w:color w:val="000000"/>
                <w:sz w:val="21"/>
                <w:szCs w:val="21"/>
                <w:highlight w:val="none"/>
                <w:lang w:eastAsia="zh-CN"/>
              </w:rPr>
              <w:t>本项目采购标的需执行的国家相关标准、行业标准、地方标准或其他强制性标准、规范等要求。</w:t>
            </w:r>
          </w:p>
        </w:tc>
      </w:tr>
    </w:tbl>
    <w:p w14:paraId="1B00F72D">
      <w:pPr>
        <w:rPr>
          <w:rFonts w:hint="eastAsia" w:ascii="宋体" w:hAnsi="宋体" w:cs="宋体"/>
          <w:b/>
          <w:bCs/>
          <w:color w:val="000000"/>
          <w:kern w:val="0"/>
          <w:sz w:val="24"/>
          <w:szCs w:val="24"/>
          <w:highlight w:val="none"/>
          <w:lang w:val="en-US" w:eastAsia="zh-CN" w:bidi="ar"/>
        </w:rPr>
      </w:pPr>
      <w:r>
        <w:rPr>
          <w:rFonts w:hint="eastAsia" w:ascii="宋体" w:hAnsi="宋体" w:cs="宋体"/>
          <w:b/>
          <w:bCs/>
          <w:color w:val="000000"/>
          <w:kern w:val="0"/>
          <w:sz w:val="24"/>
          <w:szCs w:val="24"/>
          <w:highlight w:val="none"/>
          <w:lang w:val="en-US" w:eastAsia="zh-CN" w:bidi="ar"/>
        </w:rPr>
        <w:br w:type="page"/>
      </w:r>
    </w:p>
    <w:p w14:paraId="21CD8010">
      <w:pPr>
        <w:keepNext w:val="0"/>
        <w:keepLines w:val="0"/>
        <w:pageBreakBefore w:val="0"/>
        <w:widowControl w:val="0"/>
        <w:kinsoku/>
        <w:wordWrap/>
        <w:overflowPunct/>
        <w:topLinePunct w:val="0"/>
        <w:autoSpaceDE/>
        <w:autoSpaceDN/>
        <w:bidi w:val="0"/>
        <w:adjustRightInd/>
        <w:snapToGrid/>
        <w:spacing w:before="313" w:beforeLines="100" w:after="157" w:afterLines="50" w:line="360" w:lineRule="auto"/>
        <w:jc w:val="center"/>
        <w:textAlignment w:val="auto"/>
        <w:rPr>
          <w:color w:val="000000"/>
          <w:sz w:val="24"/>
          <w:szCs w:val="24"/>
          <w:highlight w:val="none"/>
        </w:rPr>
      </w:pPr>
      <w:r>
        <w:rPr>
          <w:rFonts w:hint="eastAsia" w:ascii="宋体" w:hAnsi="宋体" w:cs="宋体"/>
          <w:b/>
          <w:bCs/>
          <w:color w:val="000000"/>
          <w:kern w:val="0"/>
          <w:sz w:val="24"/>
          <w:szCs w:val="24"/>
          <w:highlight w:val="none"/>
          <w:lang w:val="en-US" w:eastAsia="zh-CN" w:bidi="ar"/>
        </w:rPr>
        <w:t>分标二：</w:t>
      </w:r>
      <w:r>
        <w:rPr>
          <w:rFonts w:hint="eastAsia" w:ascii="宋体" w:hAnsi="宋体" w:cs="宋体"/>
          <w:b/>
          <w:bCs/>
          <w:color w:val="000000"/>
          <w:kern w:val="0"/>
          <w:sz w:val="24"/>
          <w:szCs w:val="24"/>
          <w:highlight w:val="none"/>
          <w:lang w:eastAsia="zh-CN" w:bidi="ar"/>
        </w:rPr>
        <w:t>体外生命支持系统（ECMO）</w:t>
      </w:r>
    </w:p>
    <w:tbl>
      <w:tblPr>
        <w:tblStyle w:val="54"/>
        <w:tblW w:w="102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330"/>
        <w:gridCol w:w="920"/>
        <w:gridCol w:w="6203"/>
        <w:gridCol w:w="1012"/>
      </w:tblGrid>
      <w:tr w14:paraId="4932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737" w:type="dxa"/>
            <w:noWrap w:val="0"/>
            <w:vAlign w:val="center"/>
          </w:tcPr>
          <w:p w14:paraId="6504AFFA">
            <w:pPr>
              <w:spacing w:line="360" w:lineRule="exact"/>
              <w:jc w:val="center"/>
              <w:rPr>
                <w:rFonts w:hint="eastAsia" w:ascii="宋体" w:hAnsi="宋体" w:cs="宋体"/>
                <w:b/>
                <w:bCs/>
                <w:color w:val="000000"/>
                <w:szCs w:val="21"/>
                <w:highlight w:val="none"/>
              </w:rPr>
            </w:pPr>
            <w:r>
              <w:rPr>
                <w:rStyle w:val="57"/>
                <w:rFonts w:hint="eastAsia" w:ascii="宋体" w:hAnsi="宋体" w:cs="宋体"/>
                <w:b/>
                <w:bCs/>
                <w:color w:val="000000"/>
                <w:szCs w:val="21"/>
                <w:highlight w:val="none"/>
              </w:rPr>
              <w:t>序号</w:t>
            </w:r>
          </w:p>
        </w:tc>
        <w:tc>
          <w:tcPr>
            <w:tcW w:w="1330" w:type="dxa"/>
            <w:noWrap w:val="0"/>
            <w:vAlign w:val="center"/>
          </w:tcPr>
          <w:p w14:paraId="505ADDD6">
            <w:pPr>
              <w:spacing w:line="360" w:lineRule="exact"/>
              <w:jc w:val="center"/>
              <w:rPr>
                <w:rFonts w:ascii="宋体" w:hAnsi="宋体" w:cs="宋体"/>
                <w:b/>
                <w:bCs/>
                <w:color w:val="000000"/>
                <w:szCs w:val="21"/>
                <w:highlight w:val="none"/>
                <w:shd w:val="clear" w:color="auto" w:fill="FFFFFF"/>
              </w:rPr>
            </w:pPr>
            <w:r>
              <w:rPr>
                <w:rFonts w:hint="eastAsia" w:ascii="宋体" w:hAnsi="宋体" w:cs="宋体"/>
                <w:b/>
                <w:bCs/>
                <w:color w:val="000000"/>
                <w:szCs w:val="21"/>
                <w:highlight w:val="none"/>
              </w:rPr>
              <w:t>货物名称</w:t>
            </w:r>
          </w:p>
        </w:tc>
        <w:tc>
          <w:tcPr>
            <w:tcW w:w="920" w:type="dxa"/>
            <w:noWrap w:val="0"/>
            <w:vAlign w:val="center"/>
          </w:tcPr>
          <w:p w14:paraId="05409EF2">
            <w:pPr>
              <w:spacing w:line="360" w:lineRule="exact"/>
              <w:jc w:val="center"/>
              <w:rPr>
                <w:rFonts w:ascii="宋体" w:hAnsi="宋体" w:cs="宋体"/>
                <w:b/>
                <w:bCs/>
                <w:color w:val="000000"/>
                <w:szCs w:val="21"/>
                <w:highlight w:val="none"/>
              </w:rPr>
            </w:pPr>
            <w:r>
              <w:rPr>
                <w:rFonts w:hint="eastAsia" w:ascii="宋体" w:hAnsi="宋体" w:cs="宋体"/>
                <w:b/>
                <w:bCs/>
                <w:color w:val="000000"/>
                <w:szCs w:val="21"/>
                <w:highlight w:val="none"/>
                <w:shd w:val="clear" w:color="auto" w:fill="FFFFFF"/>
              </w:rPr>
              <w:t>数量及单位</w:t>
            </w:r>
          </w:p>
        </w:tc>
        <w:tc>
          <w:tcPr>
            <w:tcW w:w="6203" w:type="dxa"/>
            <w:noWrap w:val="0"/>
            <w:vAlign w:val="center"/>
          </w:tcPr>
          <w:p w14:paraId="75C73CA8">
            <w:pPr>
              <w:spacing w:line="360" w:lineRule="exact"/>
              <w:jc w:val="center"/>
              <w:rPr>
                <w:rFonts w:ascii="宋体" w:hAnsi="宋体" w:cs="宋体"/>
                <w:b/>
                <w:bCs/>
                <w:color w:val="000000"/>
                <w:szCs w:val="21"/>
                <w:highlight w:val="none"/>
              </w:rPr>
            </w:pPr>
            <w:r>
              <w:rPr>
                <w:rStyle w:val="57"/>
                <w:rFonts w:hint="eastAsia" w:ascii="宋体" w:hAnsi="宋体" w:cs="宋体"/>
                <w:b/>
                <w:bCs/>
                <w:color w:val="000000"/>
                <w:szCs w:val="21"/>
                <w:highlight w:val="none"/>
              </w:rPr>
              <w:t>技术参数、性能（配置）及其他要求</w:t>
            </w:r>
          </w:p>
        </w:tc>
        <w:tc>
          <w:tcPr>
            <w:tcW w:w="1012" w:type="dxa"/>
            <w:noWrap w:val="0"/>
            <w:vAlign w:val="center"/>
          </w:tcPr>
          <w:p w14:paraId="391E657E">
            <w:pPr>
              <w:spacing w:line="360" w:lineRule="exact"/>
              <w:jc w:val="center"/>
              <w:rPr>
                <w:rStyle w:val="57"/>
                <w:rFonts w:hint="eastAsia" w:ascii="宋体" w:hAnsi="宋体" w:cs="宋体"/>
                <w:b/>
                <w:bCs/>
                <w:color w:val="000000"/>
                <w:szCs w:val="21"/>
                <w:highlight w:val="none"/>
              </w:rPr>
            </w:pPr>
            <w:r>
              <w:rPr>
                <w:rFonts w:hint="eastAsia" w:ascii="宋体" w:hAnsi="宋体"/>
                <w:b/>
                <w:bCs/>
                <w:color w:val="000000"/>
                <w:highlight w:val="none"/>
              </w:rPr>
              <w:t>各分项最高限价合计（元）</w:t>
            </w:r>
          </w:p>
        </w:tc>
      </w:tr>
      <w:tr w14:paraId="27F1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0" w:hRule="atLeast"/>
          <w:jc w:val="center"/>
        </w:trPr>
        <w:tc>
          <w:tcPr>
            <w:tcW w:w="737" w:type="dxa"/>
            <w:noWrap w:val="0"/>
            <w:vAlign w:val="center"/>
          </w:tcPr>
          <w:p w14:paraId="57784334">
            <w:pPr>
              <w:spacing w:line="360" w:lineRule="exact"/>
              <w:jc w:val="center"/>
              <w:rPr>
                <w:rFonts w:hint="eastAsia" w:ascii="宋体" w:hAnsi="宋体" w:cs="宋体"/>
                <w:b/>
                <w:bCs/>
                <w:color w:val="000000"/>
                <w:szCs w:val="21"/>
                <w:highlight w:val="none"/>
              </w:rPr>
            </w:pPr>
            <w:r>
              <w:rPr>
                <w:rFonts w:hint="eastAsia" w:ascii="宋体" w:hAnsi="宋体" w:cs="宋体"/>
                <w:b/>
                <w:bCs/>
                <w:color w:val="000000"/>
                <w:szCs w:val="21"/>
                <w:highlight w:val="none"/>
              </w:rPr>
              <w:t>1</w:t>
            </w:r>
          </w:p>
        </w:tc>
        <w:tc>
          <w:tcPr>
            <w:tcW w:w="1330" w:type="dxa"/>
            <w:noWrap w:val="0"/>
            <w:vAlign w:val="center"/>
          </w:tcPr>
          <w:p w14:paraId="2A29837C">
            <w:pPr>
              <w:spacing w:line="360" w:lineRule="exact"/>
              <w:jc w:val="center"/>
              <w:rPr>
                <w:rFonts w:hint="eastAsia"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 xml:space="preserve"> </w:t>
            </w:r>
            <w:r>
              <w:rPr>
                <w:rFonts w:hint="eastAsia" w:ascii="宋体" w:hAnsi="宋体" w:eastAsia="宋体" w:cs="宋体"/>
                <w:b/>
                <w:bCs/>
                <w:color w:val="000000"/>
                <w:kern w:val="0"/>
                <w:sz w:val="21"/>
                <w:szCs w:val="21"/>
                <w:highlight w:val="none"/>
                <w:lang w:eastAsia="zh-CN" w:bidi="ar"/>
              </w:rPr>
              <w:t>体外生命支持系统（ECMO）</w:t>
            </w:r>
          </w:p>
        </w:tc>
        <w:tc>
          <w:tcPr>
            <w:tcW w:w="920" w:type="dxa"/>
            <w:noWrap w:val="0"/>
            <w:vAlign w:val="center"/>
          </w:tcPr>
          <w:p w14:paraId="53D6BC61">
            <w:pPr>
              <w:spacing w:line="360" w:lineRule="exact"/>
              <w:jc w:val="center"/>
              <w:rPr>
                <w:rFonts w:hint="eastAsia" w:ascii="宋体" w:hAnsi="宋体" w:eastAsia="宋体" w:cs="宋体"/>
                <w:b/>
                <w:bCs/>
                <w:color w:val="000000"/>
                <w:kern w:val="0"/>
                <w:szCs w:val="21"/>
                <w:highlight w:val="none"/>
                <w:lang w:eastAsia="zh-CN" w:bidi="ar"/>
              </w:rPr>
            </w:pPr>
            <w:r>
              <w:rPr>
                <w:rFonts w:hint="eastAsia" w:ascii="宋体" w:hAnsi="宋体" w:cs="宋体"/>
                <w:b/>
                <w:bCs/>
                <w:color w:val="000000"/>
                <w:szCs w:val="21"/>
                <w:highlight w:val="none"/>
              </w:rPr>
              <w:t>1</w:t>
            </w:r>
            <w:r>
              <w:rPr>
                <w:rFonts w:hint="eastAsia" w:ascii="宋体" w:hAnsi="宋体" w:cs="宋体"/>
                <w:b/>
                <w:bCs/>
                <w:color w:val="000000"/>
                <w:szCs w:val="21"/>
                <w:highlight w:val="none"/>
                <w:lang w:val="en-US" w:eastAsia="zh-CN"/>
              </w:rPr>
              <w:t>套</w:t>
            </w:r>
          </w:p>
        </w:tc>
        <w:tc>
          <w:tcPr>
            <w:tcW w:w="6203" w:type="dxa"/>
            <w:noWrap w:val="0"/>
            <w:vAlign w:val="center"/>
          </w:tcPr>
          <w:p w14:paraId="5DDABB99">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lang w:val="en-US" w:eastAsia="zh-CN"/>
              </w:rPr>
              <w:t>一、技术参数：</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1.主要功能技术要求</w:t>
            </w:r>
          </w:p>
          <w:p w14:paraId="52016672">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1.1.工作原理：磁性耦合原理。</w:t>
            </w:r>
          </w:p>
          <w:p w14:paraId="20902FCE">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▲1.2具备床旁和便捷二种转运模式，整机≤10kg。</w:t>
            </w:r>
          </w:p>
          <w:p w14:paraId="72D7A029">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●1.3离心泵泵头基座和显示屏集成整体化，内置电池可拆卸快速更换，可反复充电，持续供电≥180分钟。具备单独携带转运功能。驱动装置可以独立工作，可以调节流量和转速数据。</w:t>
            </w:r>
          </w:p>
          <w:p w14:paraId="32B121DA">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1.4具备开机自检、实时自检及错误诊断功能，具备流量  高低限报警，转速高低限报警功能，并可设置报警范围。</w:t>
            </w:r>
          </w:p>
          <w:p w14:paraId="75B826B4">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1.5备用驱动泵可独自预充操作。</w:t>
            </w:r>
          </w:p>
          <w:p w14:paraId="6D8F6C99">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1.6驱动泵具备流量监测和气泡监测传感器，可以实时流量、气泡监测。</w:t>
            </w:r>
          </w:p>
          <w:p w14:paraId="07F14BC7">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▲1.7转速：≤5500RPM,实现低转速高流量，避免过高转速产热造成血液破坏。</w:t>
            </w:r>
          </w:p>
          <w:p w14:paraId="6944424C">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1.8转速误差：±20RPM</w:t>
            </w:r>
          </w:p>
          <w:p w14:paraId="0599A17F">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1.9流量：</w:t>
            </w:r>
            <w:r>
              <w:rPr>
                <w:rFonts w:hint="eastAsia" w:ascii="宋体" w:hAnsi="宋体" w:eastAsia="宋体" w:cs="宋体"/>
                <w:b w:val="0"/>
                <w:bCs w:val="0"/>
                <w:color w:val="000000"/>
                <w:sz w:val="21"/>
                <w:szCs w:val="21"/>
                <w:highlight w:val="none"/>
                <w:lang w:eastAsia="zh-CN"/>
              </w:rPr>
              <w:t>≤</w:t>
            </w: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L/min</w:t>
            </w:r>
          </w:p>
          <w:p w14:paraId="1F34C88D">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1.10流量精度：</w:t>
            </w:r>
            <w:r>
              <w:rPr>
                <w:rFonts w:hint="eastAsia" w:ascii="宋体" w:hAnsi="宋体" w:eastAsia="宋体" w:cs="宋体"/>
                <w:b w:val="0"/>
                <w:bCs w:val="0"/>
                <w:color w:val="000000"/>
                <w:sz w:val="21"/>
                <w:szCs w:val="21"/>
                <w:highlight w:val="none"/>
                <w:lang w:eastAsia="zh-CN"/>
              </w:rPr>
              <w:t>≤</w:t>
            </w:r>
            <w:r>
              <w:rPr>
                <w:rFonts w:hint="eastAsia" w:ascii="宋体" w:hAnsi="宋体" w:eastAsia="宋体" w:cs="宋体"/>
                <w:color w:val="000000"/>
                <w:sz w:val="21"/>
                <w:szCs w:val="21"/>
                <w:highlight w:val="none"/>
              </w:rPr>
              <w:t>0.1L/min</w:t>
            </w:r>
          </w:p>
          <w:p w14:paraId="2573340E">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1.11泵头膜面积：泵头表面积：≥185cm²</w:t>
            </w:r>
          </w:p>
          <w:p w14:paraId="5BDCE7D7">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▲1.12泵头预冲量：泵头预充量≥24ml,保证低预充的同 时确保流量充分。</w:t>
            </w:r>
          </w:p>
          <w:p w14:paraId="196A711F">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●1.13电机初始启动转速为</w:t>
            </w:r>
            <w:r>
              <w:rPr>
                <w:rFonts w:hint="eastAsia" w:ascii="宋体" w:hAnsi="宋体" w:eastAsia="宋体" w:cs="宋体"/>
                <w:b w:val="0"/>
                <w:bCs w:val="0"/>
                <w:color w:val="000000"/>
                <w:sz w:val="21"/>
                <w:szCs w:val="21"/>
                <w:highlight w:val="none"/>
                <w:lang w:eastAsia="zh-CN"/>
              </w:rPr>
              <w:t>≤</w:t>
            </w:r>
            <w:r>
              <w:rPr>
                <w:rFonts w:hint="eastAsia" w:ascii="宋体" w:hAnsi="宋体" w:eastAsia="宋体" w:cs="宋体"/>
                <w:color w:val="000000"/>
                <w:sz w:val="21"/>
                <w:szCs w:val="21"/>
                <w:highlight w:val="none"/>
              </w:rPr>
              <w:t>500rpm。</w:t>
            </w:r>
          </w:p>
          <w:p w14:paraId="391F78BF">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1.14泵头进/出口径：3/8</w:t>
            </w:r>
            <w:r>
              <w:rPr>
                <w:rFonts w:hint="eastAsia" w:ascii="宋体" w:hAnsi="宋体" w:eastAsia="宋体" w:cs="宋体"/>
                <w:color w:val="000000"/>
                <w:sz w:val="21"/>
                <w:szCs w:val="21"/>
                <w:highlight w:val="none"/>
                <w:lang w:val="en-US" w:eastAsia="zh-CN"/>
              </w:rPr>
              <w:t>英寸</w:t>
            </w:r>
            <w:r>
              <w:rPr>
                <w:rFonts w:hint="eastAsia" w:ascii="宋体" w:hAnsi="宋体" w:eastAsia="宋体" w:cs="宋体"/>
                <w:color w:val="000000"/>
                <w:sz w:val="21"/>
                <w:szCs w:val="21"/>
                <w:highlight w:val="none"/>
              </w:rPr>
              <w:t>。</w:t>
            </w:r>
          </w:p>
          <w:p w14:paraId="3260D809">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●1.15设备具备同品牌单独泵头可兼容其他多品牌的氧合器及氧合器套包，单独泵头、单独膜肺任意组合，可长时间用于ICU病人≥7天。</w:t>
            </w:r>
          </w:p>
          <w:p w14:paraId="04B99874">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1.16泵头无金属支撑轴，没有淤滞区域，避免因摩擦产热而引发的血栓。</w:t>
            </w:r>
          </w:p>
          <w:p w14:paraId="3A1F0CE8">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●1.17离心泵紧急电动驱动装置带显示屏及可拆卸内置电池≥180分钟，在紧急状态下，可电动维持机器运转，调节转速流量，确保稳定的流量环境，最大限度保证患者安全。</w:t>
            </w:r>
          </w:p>
          <w:p w14:paraId="6B7D08F2">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●1.18监测内容：温度监测、</w:t>
            </w:r>
            <w:r>
              <w:rPr>
                <w:rFonts w:hint="eastAsia" w:ascii="宋体" w:hAnsi="宋体" w:eastAsia="宋体" w:cs="宋体"/>
                <w:color w:val="000000"/>
                <w:sz w:val="21"/>
                <w:szCs w:val="21"/>
                <w:highlight w:val="none"/>
                <w:lang w:val="en-US" w:eastAsia="zh-CN"/>
              </w:rPr>
              <w:t>不少于</w:t>
            </w:r>
            <w:r>
              <w:rPr>
                <w:rFonts w:hint="eastAsia" w:ascii="宋体" w:hAnsi="宋体" w:eastAsia="宋体" w:cs="宋体"/>
                <w:color w:val="000000"/>
                <w:sz w:val="21"/>
                <w:szCs w:val="21"/>
                <w:highlight w:val="none"/>
              </w:rPr>
              <w:t>四路压力传感器接口。</w:t>
            </w:r>
          </w:p>
          <w:p w14:paraId="01F224B2">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●1.19具备≥8英寸的电子触摸彩色液晶屏，带监测历史参数趋势图，中文操作软件。</w:t>
            </w:r>
          </w:p>
          <w:p w14:paraId="08FB51DB">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1.20设备使用寿命≥8年。</w:t>
            </w:r>
          </w:p>
          <w:p w14:paraId="7EDF0AE5">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1.21医用水箱温度范围：15℃</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 xml:space="preserve">39℃可调。 </w:t>
            </w:r>
          </w:p>
          <w:p w14:paraId="2A33AC6E">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●1.22主机控制台界面具备监测二路流量显示，支持 VVA/VAV模式。</w:t>
            </w:r>
          </w:p>
          <w:p w14:paraId="45E91C43">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2.转运车</w:t>
            </w:r>
          </w:p>
          <w:p w14:paraId="2CE165AE">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2.1能安全放置离心泵、小水箱等设备及其辅助配套设备。</w:t>
            </w:r>
          </w:p>
          <w:p w14:paraId="1C3E8099">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血氧饱和度：采用探头方式测量无需耗材</w:t>
            </w:r>
          </w:p>
          <w:p w14:paraId="0547139C">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3.1血氧饱和度测量范围：40%</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100%,</w:t>
            </w:r>
          </w:p>
          <w:p w14:paraId="7F81DD37">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 红细胞压积测量范围：15%</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40%,允差±3%。</w:t>
            </w:r>
          </w:p>
          <w:p w14:paraId="0C8CE7B8">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3.3温度测量范围：20</w:t>
            </w:r>
            <w:r>
              <w:rPr>
                <w:rFonts w:hint="eastAsia" w:ascii="宋体" w:hAnsi="宋体" w:cs="宋体"/>
                <w:color w:val="000000"/>
                <w:sz w:val="21"/>
                <w:szCs w:val="21"/>
                <w:highlight w:val="none"/>
                <w:lang w:val="en-US" w:eastAsia="zh-CN"/>
              </w:rPr>
              <w:t>~</w:t>
            </w:r>
            <w:r>
              <w:rPr>
                <w:rFonts w:hint="eastAsia" w:ascii="宋体" w:hAnsi="宋体" w:eastAsia="宋体" w:cs="宋体"/>
                <w:color w:val="000000"/>
                <w:sz w:val="21"/>
                <w:szCs w:val="21"/>
                <w:highlight w:val="none"/>
              </w:rPr>
              <w:t>40℃,示值允差±0.5℃。</w:t>
            </w:r>
          </w:p>
          <w:p w14:paraId="0CDE5763">
            <w:pPr>
              <w:pStyle w:val="259"/>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3.4流量显示范围：-10 L/min~10L/min。</w:t>
            </w:r>
          </w:p>
          <w:p w14:paraId="07834FDF">
            <w:pPr>
              <w:keepNext w:val="0"/>
              <w:keepLines w:val="0"/>
              <w:pageBreakBefore w:val="0"/>
              <w:widowControl w:val="0"/>
              <w:numPr>
                <w:ilvl w:val="0"/>
                <w:numId w:val="0"/>
              </w:numPr>
              <w:tabs>
                <w:tab w:val="left" w:pos="3570"/>
              </w:tabs>
              <w:kinsoku/>
              <w:wordWrap/>
              <w:overflowPunct/>
              <w:topLinePunct w:val="0"/>
              <w:autoSpaceDE/>
              <w:autoSpaceDN/>
              <w:bidi w:val="0"/>
              <w:adjustRightInd/>
              <w:snapToGrid/>
              <w:spacing w:line="440" w:lineRule="exact"/>
              <w:textAlignment w:val="auto"/>
              <w:rPr>
                <w:rFonts w:hint="eastAsia" w:ascii="宋体" w:hAnsi="宋体" w:cs="宋体"/>
                <w:b/>
                <w:bCs/>
                <w:color w:val="000000"/>
                <w:szCs w:val="21"/>
                <w:highlight w:val="none"/>
                <w:lang w:val="en-US" w:eastAsia="zh-CN"/>
              </w:rPr>
            </w:pPr>
            <w:r>
              <w:rPr>
                <w:rFonts w:hint="eastAsia" w:ascii="宋体" w:hAnsi="宋体" w:cs="宋体"/>
                <w:b/>
                <w:bCs/>
                <w:color w:val="000000"/>
                <w:szCs w:val="21"/>
                <w:highlight w:val="none"/>
                <w:lang w:val="en-US" w:eastAsia="zh-CN"/>
              </w:rPr>
              <w:t>二、配置清单</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2"/>
              <w:gridCol w:w="2695"/>
              <w:gridCol w:w="1712"/>
            </w:tblGrid>
            <w:tr w14:paraId="1006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32" w:type="dxa"/>
                  <w:noWrap w:val="0"/>
                  <w:vAlign w:val="top"/>
                </w:tcPr>
                <w:p w14:paraId="064811B0">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1</w:t>
                  </w:r>
                </w:p>
              </w:tc>
              <w:tc>
                <w:tcPr>
                  <w:tcW w:w="2695" w:type="dxa"/>
                  <w:noWrap w:val="0"/>
                  <w:vAlign w:val="top"/>
                </w:tcPr>
                <w:p w14:paraId="41E962B3">
                  <w:pPr>
                    <w:pStyle w:val="69"/>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主机</w:t>
                  </w:r>
                </w:p>
              </w:tc>
              <w:tc>
                <w:tcPr>
                  <w:tcW w:w="1712" w:type="dxa"/>
                  <w:noWrap w:val="0"/>
                  <w:vAlign w:val="top"/>
                </w:tcPr>
                <w:p w14:paraId="163D93E2">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1台</w:t>
                  </w:r>
                </w:p>
              </w:tc>
            </w:tr>
            <w:tr w14:paraId="1758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32" w:type="dxa"/>
                  <w:noWrap w:val="0"/>
                  <w:vAlign w:val="top"/>
                </w:tcPr>
                <w:p w14:paraId="69AA6CD1">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2</w:t>
                  </w:r>
                </w:p>
              </w:tc>
              <w:tc>
                <w:tcPr>
                  <w:tcW w:w="2695" w:type="dxa"/>
                  <w:noWrap w:val="0"/>
                  <w:vAlign w:val="top"/>
                </w:tcPr>
                <w:p w14:paraId="10A29803">
                  <w:pPr>
                    <w:pStyle w:val="69"/>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离心泵驱动器</w:t>
                  </w:r>
                </w:p>
              </w:tc>
              <w:tc>
                <w:tcPr>
                  <w:tcW w:w="1712" w:type="dxa"/>
                  <w:noWrap w:val="0"/>
                  <w:vAlign w:val="top"/>
                </w:tcPr>
                <w:p w14:paraId="0491DD99">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个(一用一备)</w:t>
                  </w:r>
                </w:p>
              </w:tc>
            </w:tr>
            <w:tr w14:paraId="739F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32" w:type="dxa"/>
                  <w:noWrap w:val="0"/>
                  <w:vAlign w:val="top"/>
                </w:tcPr>
                <w:p w14:paraId="36FAA69B">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3</w:t>
                  </w:r>
                </w:p>
              </w:tc>
              <w:tc>
                <w:tcPr>
                  <w:tcW w:w="2695" w:type="dxa"/>
                  <w:noWrap w:val="0"/>
                  <w:vAlign w:val="top"/>
                </w:tcPr>
                <w:p w14:paraId="393E827F">
                  <w:pPr>
                    <w:pStyle w:val="69"/>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 xml:space="preserve">流量气泡传感器 </w:t>
                  </w:r>
                </w:p>
              </w:tc>
              <w:tc>
                <w:tcPr>
                  <w:tcW w:w="1712" w:type="dxa"/>
                  <w:noWrap w:val="0"/>
                  <w:vAlign w:val="top"/>
                </w:tcPr>
                <w:p w14:paraId="5FC4B7FD">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1个</w:t>
                  </w:r>
                </w:p>
              </w:tc>
            </w:tr>
            <w:tr w14:paraId="3F9C7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32" w:type="dxa"/>
                  <w:noWrap w:val="0"/>
                  <w:vAlign w:val="top"/>
                </w:tcPr>
                <w:p w14:paraId="371BCD21">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4</w:t>
                  </w:r>
                </w:p>
              </w:tc>
              <w:tc>
                <w:tcPr>
                  <w:tcW w:w="2695" w:type="dxa"/>
                  <w:noWrap w:val="0"/>
                  <w:vAlign w:val="top"/>
                </w:tcPr>
                <w:p w14:paraId="35AA2F88">
                  <w:pPr>
                    <w:pStyle w:val="69"/>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 xml:space="preserve">温度传感器     </w:t>
                  </w:r>
                </w:p>
              </w:tc>
              <w:tc>
                <w:tcPr>
                  <w:tcW w:w="1712" w:type="dxa"/>
                  <w:noWrap w:val="0"/>
                  <w:vAlign w:val="top"/>
                </w:tcPr>
                <w:p w14:paraId="691A3601">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2个</w:t>
                  </w:r>
                </w:p>
              </w:tc>
            </w:tr>
            <w:tr w14:paraId="2168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32" w:type="dxa"/>
                  <w:noWrap w:val="0"/>
                  <w:vAlign w:val="top"/>
                </w:tcPr>
                <w:p w14:paraId="250AB09B">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5</w:t>
                  </w:r>
                </w:p>
              </w:tc>
              <w:tc>
                <w:tcPr>
                  <w:tcW w:w="2695" w:type="dxa"/>
                  <w:noWrap w:val="0"/>
                  <w:vAlign w:val="top"/>
                </w:tcPr>
                <w:p w14:paraId="58014A62">
                  <w:pPr>
                    <w:pStyle w:val="69"/>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 xml:space="preserve">内置可拆卸电池  </w:t>
                  </w:r>
                </w:p>
              </w:tc>
              <w:tc>
                <w:tcPr>
                  <w:tcW w:w="1712" w:type="dxa"/>
                  <w:noWrap w:val="0"/>
                  <w:vAlign w:val="top"/>
                </w:tcPr>
                <w:p w14:paraId="3279AFC3">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2块</w:t>
                  </w:r>
                </w:p>
              </w:tc>
            </w:tr>
            <w:tr w14:paraId="3CEB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32" w:type="dxa"/>
                  <w:noWrap w:val="0"/>
                  <w:vAlign w:val="top"/>
                </w:tcPr>
                <w:p w14:paraId="4A9F4AFF">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6</w:t>
                  </w:r>
                </w:p>
              </w:tc>
              <w:tc>
                <w:tcPr>
                  <w:tcW w:w="2695" w:type="dxa"/>
                  <w:noWrap w:val="0"/>
                  <w:vAlign w:val="top"/>
                </w:tcPr>
                <w:p w14:paraId="3B8FD920">
                  <w:pPr>
                    <w:pStyle w:val="69"/>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 xml:space="preserve">医用水箱        </w:t>
                  </w:r>
                </w:p>
              </w:tc>
              <w:tc>
                <w:tcPr>
                  <w:tcW w:w="1712" w:type="dxa"/>
                  <w:noWrap w:val="0"/>
                  <w:vAlign w:val="top"/>
                </w:tcPr>
                <w:p w14:paraId="75C02437">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1套</w:t>
                  </w:r>
                </w:p>
              </w:tc>
            </w:tr>
            <w:tr w14:paraId="296A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32" w:type="dxa"/>
                  <w:noWrap w:val="0"/>
                  <w:vAlign w:val="top"/>
                </w:tcPr>
                <w:p w14:paraId="66B9EA7E">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7</w:t>
                  </w:r>
                </w:p>
              </w:tc>
              <w:tc>
                <w:tcPr>
                  <w:tcW w:w="2695" w:type="dxa"/>
                  <w:noWrap w:val="0"/>
                  <w:vAlign w:val="top"/>
                </w:tcPr>
                <w:p w14:paraId="305B5333">
                  <w:pPr>
                    <w:pStyle w:val="69"/>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 xml:space="preserve">空气氧气混合器  </w:t>
                  </w:r>
                </w:p>
              </w:tc>
              <w:tc>
                <w:tcPr>
                  <w:tcW w:w="1712" w:type="dxa"/>
                  <w:noWrap w:val="0"/>
                  <w:vAlign w:val="top"/>
                </w:tcPr>
                <w:p w14:paraId="3FDD6EBA">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1台</w:t>
                  </w:r>
                </w:p>
              </w:tc>
            </w:tr>
            <w:tr w14:paraId="71FD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32" w:type="dxa"/>
                  <w:noWrap w:val="0"/>
                  <w:vAlign w:val="top"/>
                </w:tcPr>
                <w:p w14:paraId="1CA5774C">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8</w:t>
                  </w:r>
                </w:p>
              </w:tc>
              <w:tc>
                <w:tcPr>
                  <w:tcW w:w="2695" w:type="dxa"/>
                  <w:noWrap w:val="0"/>
                  <w:vAlign w:val="top"/>
                </w:tcPr>
                <w:p w14:paraId="5A0D66ED">
                  <w:pPr>
                    <w:pStyle w:val="69"/>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 xml:space="preserve">台车            </w:t>
                  </w:r>
                </w:p>
              </w:tc>
              <w:tc>
                <w:tcPr>
                  <w:tcW w:w="1712" w:type="dxa"/>
                  <w:noWrap w:val="0"/>
                  <w:vAlign w:val="top"/>
                </w:tcPr>
                <w:p w14:paraId="0BA36008">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1辆</w:t>
                  </w:r>
                </w:p>
              </w:tc>
            </w:tr>
            <w:tr w14:paraId="07C3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32" w:type="dxa"/>
                  <w:noWrap w:val="0"/>
                  <w:vAlign w:val="top"/>
                </w:tcPr>
                <w:p w14:paraId="455D1583">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9</w:t>
                  </w:r>
                </w:p>
              </w:tc>
              <w:tc>
                <w:tcPr>
                  <w:tcW w:w="2695" w:type="dxa"/>
                  <w:noWrap w:val="0"/>
                  <w:vAlign w:val="top"/>
                </w:tcPr>
                <w:p w14:paraId="671A300B">
                  <w:pPr>
                    <w:pStyle w:val="69"/>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 xml:space="preserve">血氧饱和度监测仪 </w:t>
                  </w:r>
                </w:p>
              </w:tc>
              <w:tc>
                <w:tcPr>
                  <w:tcW w:w="1712" w:type="dxa"/>
                  <w:noWrap w:val="0"/>
                  <w:vAlign w:val="top"/>
                </w:tcPr>
                <w:p w14:paraId="1AFC547A">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1台</w:t>
                  </w:r>
                </w:p>
              </w:tc>
            </w:tr>
            <w:tr w14:paraId="75B7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32" w:type="dxa"/>
                  <w:noWrap w:val="0"/>
                  <w:vAlign w:val="top"/>
                </w:tcPr>
                <w:p w14:paraId="601DDFC2">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10</w:t>
                  </w:r>
                </w:p>
              </w:tc>
              <w:tc>
                <w:tcPr>
                  <w:tcW w:w="2695" w:type="dxa"/>
                  <w:noWrap w:val="0"/>
                  <w:vAlign w:val="top"/>
                </w:tcPr>
                <w:p w14:paraId="1664B35F">
                  <w:pPr>
                    <w:pStyle w:val="69"/>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压力传感器</w:t>
                  </w:r>
                  <w:r>
                    <w:rPr>
                      <w:rFonts w:hint="eastAsia" w:ascii="宋体" w:hAnsi="宋体" w:eastAsia="宋体" w:cs="宋体"/>
                      <w:color w:val="000000"/>
                      <w:sz w:val="21"/>
                      <w:szCs w:val="21"/>
                      <w:highlight w:val="none"/>
                      <w:lang w:val="en-US" w:eastAsia="zh-CN"/>
                    </w:rPr>
                    <w:t xml:space="preserve">      </w:t>
                  </w:r>
                </w:p>
              </w:tc>
              <w:tc>
                <w:tcPr>
                  <w:tcW w:w="1712" w:type="dxa"/>
                  <w:noWrap w:val="0"/>
                  <w:vAlign w:val="top"/>
                </w:tcPr>
                <w:p w14:paraId="66979444">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3个</w:t>
                  </w:r>
                </w:p>
              </w:tc>
            </w:tr>
            <w:tr w14:paraId="6125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32" w:type="dxa"/>
                  <w:noWrap w:val="0"/>
                  <w:vAlign w:val="top"/>
                </w:tcPr>
                <w:p w14:paraId="5297E027">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vertAlign w:val="baseline"/>
                      <w:lang w:val="en-US" w:eastAsia="zh-CN"/>
                    </w:rPr>
                    <w:t>11</w:t>
                  </w:r>
                </w:p>
              </w:tc>
              <w:tc>
                <w:tcPr>
                  <w:tcW w:w="2695" w:type="dxa"/>
                  <w:noWrap w:val="0"/>
                  <w:vAlign w:val="top"/>
                </w:tcPr>
                <w:p w14:paraId="763D10A8">
                  <w:pPr>
                    <w:pStyle w:val="69"/>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数据科研分析</w:t>
                  </w:r>
                  <w:r>
                    <w:rPr>
                      <w:rFonts w:hint="eastAsia" w:ascii="宋体" w:hAnsi="宋体" w:eastAsia="宋体" w:cs="宋体"/>
                      <w:color w:val="000000"/>
                      <w:sz w:val="21"/>
                      <w:szCs w:val="21"/>
                      <w:highlight w:val="none"/>
                      <w:lang w:val="en-US" w:eastAsia="zh-CN"/>
                    </w:rPr>
                    <w:t xml:space="preserve">专用工作站 </w:t>
                  </w:r>
                </w:p>
              </w:tc>
              <w:tc>
                <w:tcPr>
                  <w:tcW w:w="1712" w:type="dxa"/>
                  <w:noWrap w:val="0"/>
                  <w:vAlign w:val="top"/>
                </w:tcPr>
                <w:p w14:paraId="49277F54">
                  <w:pPr>
                    <w:pStyle w:val="69"/>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sz w:val="21"/>
                      <w:szCs w:val="21"/>
                      <w:highlight w:val="none"/>
                      <w:vertAlign w:val="baseline"/>
                      <w:lang w:val="en-US" w:eastAsia="zh-CN"/>
                    </w:rPr>
                  </w:pPr>
                  <w:r>
                    <w:rPr>
                      <w:rFonts w:hint="eastAsia" w:ascii="宋体" w:hAnsi="宋体" w:eastAsia="宋体" w:cs="宋体"/>
                      <w:color w:val="000000"/>
                      <w:sz w:val="21"/>
                      <w:szCs w:val="21"/>
                      <w:highlight w:val="none"/>
                    </w:rPr>
                    <w:t>1套</w:t>
                  </w:r>
                </w:p>
              </w:tc>
            </w:tr>
          </w:tbl>
          <w:p w14:paraId="05D2009B">
            <w:pPr>
              <w:keepNext w:val="0"/>
              <w:keepLines w:val="0"/>
              <w:pageBreakBefore w:val="0"/>
              <w:widowControl w:val="0"/>
              <w:numPr>
                <w:ilvl w:val="0"/>
                <w:numId w:val="0"/>
              </w:numPr>
              <w:tabs>
                <w:tab w:val="left" w:pos="3570"/>
              </w:tabs>
              <w:kinsoku/>
              <w:wordWrap/>
              <w:overflowPunct/>
              <w:topLinePunct w:val="0"/>
              <w:autoSpaceDE/>
              <w:autoSpaceDN/>
              <w:bidi w:val="0"/>
              <w:adjustRightInd/>
              <w:snapToGrid/>
              <w:spacing w:line="400" w:lineRule="exact"/>
              <w:textAlignment w:val="auto"/>
              <w:rPr>
                <w:rFonts w:hint="default"/>
                <w:color w:val="000000"/>
                <w:highlight w:val="none"/>
                <w:lang w:val="en-US" w:eastAsia="zh-CN"/>
              </w:rPr>
            </w:pPr>
          </w:p>
        </w:tc>
        <w:tc>
          <w:tcPr>
            <w:tcW w:w="1012" w:type="dxa"/>
            <w:noWrap w:val="0"/>
            <w:vAlign w:val="center"/>
          </w:tcPr>
          <w:p w14:paraId="4DDD9E19">
            <w:pPr>
              <w:tabs>
                <w:tab w:val="left" w:pos="3570"/>
              </w:tabs>
              <w:spacing w:line="360" w:lineRule="exact"/>
              <w:jc w:val="center"/>
              <w:rPr>
                <w:rFonts w:hint="default"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1650000</w:t>
            </w:r>
          </w:p>
        </w:tc>
      </w:tr>
    </w:tbl>
    <w:p w14:paraId="3F5D2D70">
      <w:pPr>
        <w:rPr>
          <w:rFonts w:hint="eastAsia" w:ascii="宋体" w:hAnsi="宋体" w:eastAsia="宋体" w:cs="宋体"/>
          <w:color w:val="000000"/>
          <w:highlight w:val="none"/>
        </w:rPr>
      </w:pPr>
    </w:p>
    <w:p w14:paraId="4AC8D955">
      <w:pPr>
        <w:rPr>
          <w:rFonts w:hint="eastAsia" w:ascii="宋体" w:hAnsi="宋体" w:eastAsia="宋体" w:cs="宋体"/>
          <w:color w:val="000000"/>
          <w:highlight w:val="none"/>
        </w:rPr>
      </w:pPr>
    </w:p>
    <w:p w14:paraId="0DA5BEEA">
      <w:pPr>
        <w:rPr>
          <w:rFonts w:hint="eastAsia" w:ascii="宋体" w:hAnsi="宋体" w:eastAsia="宋体" w:cs="宋体"/>
          <w:color w:val="000000"/>
          <w:highlight w:val="none"/>
        </w:rPr>
      </w:pPr>
      <w:r>
        <w:rPr>
          <w:rFonts w:hint="eastAsia" w:ascii="宋体" w:hAnsi="宋体" w:eastAsia="宋体" w:cs="宋体"/>
          <w:color w:val="000000"/>
          <w:highlight w:val="none"/>
        </w:rPr>
        <w:br w:type="page"/>
      </w:r>
    </w:p>
    <w:p w14:paraId="0614DA01">
      <w:pPr>
        <w:rPr>
          <w:rFonts w:hint="eastAsia" w:ascii="宋体" w:hAnsi="宋体" w:eastAsia="宋体" w:cs="宋体"/>
          <w:color w:val="000000"/>
          <w:highlight w:val="none"/>
        </w:rPr>
      </w:pPr>
    </w:p>
    <w:tbl>
      <w:tblPr>
        <w:tblStyle w:val="54"/>
        <w:tblW w:w="100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9"/>
        <w:gridCol w:w="8144"/>
      </w:tblGrid>
      <w:tr w14:paraId="1799A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0093" w:type="dxa"/>
            <w:gridSpan w:val="2"/>
            <w:tcBorders>
              <w:top w:val="single" w:color="auto" w:sz="4" w:space="0"/>
              <w:left w:val="single" w:color="auto" w:sz="4" w:space="0"/>
              <w:bottom w:val="single" w:color="auto" w:sz="4" w:space="0"/>
              <w:right w:val="single" w:color="auto" w:sz="4" w:space="0"/>
            </w:tcBorders>
            <w:noWrap w:val="0"/>
            <w:vAlign w:val="center"/>
          </w:tcPr>
          <w:p w14:paraId="38143E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bCs/>
                <w:color w:val="000000"/>
                <w:sz w:val="21"/>
                <w:szCs w:val="21"/>
                <w:highlight w:val="none"/>
                <w:lang w:val="en-US" w:eastAsia="zh-CN"/>
              </w:rPr>
            </w:pPr>
            <w:r>
              <w:rPr>
                <w:rFonts w:hint="eastAsia" w:ascii="宋体" w:hAnsi="宋体" w:eastAsia="宋体" w:cs="宋体"/>
                <w:bCs/>
                <w:color w:val="000000"/>
                <w:sz w:val="21"/>
                <w:szCs w:val="21"/>
                <w:highlight w:val="none"/>
              </w:rPr>
              <w:t>▲</w:t>
            </w:r>
            <w:r>
              <w:rPr>
                <w:rFonts w:hint="eastAsia" w:ascii="宋体" w:hAnsi="宋体" w:cs="宋体"/>
                <w:b/>
                <w:bCs/>
                <w:color w:val="000000"/>
                <w:sz w:val="21"/>
                <w:szCs w:val="21"/>
                <w:highlight w:val="none"/>
                <w:lang w:val="en-US" w:eastAsia="zh-CN"/>
              </w:rPr>
              <w:t>二、商务条款</w:t>
            </w:r>
          </w:p>
        </w:tc>
      </w:tr>
      <w:tr w14:paraId="4D64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49" w:type="dxa"/>
            <w:tcBorders>
              <w:top w:val="single" w:color="auto" w:sz="4" w:space="0"/>
              <w:left w:val="single" w:color="auto" w:sz="4" w:space="0"/>
              <w:bottom w:val="single" w:color="auto" w:sz="4" w:space="0"/>
              <w:right w:val="single" w:color="auto" w:sz="4" w:space="0"/>
            </w:tcBorders>
            <w:noWrap w:val="0"/>
            <w:vAlign w:val="center"/>
          </w:tcPr>
          <w:p w14:paraId="0E6F26E0">
            <w:pPr>
              <w:keepNext w:val="0"/>
              <w:keepLines w:val="0"/>
              <w:pageBreakBefore w:val="0"/>
              <w:tabs>
                <w:tab w:val="center" w:pos="4153"/>
                <w:tab w:val="right" w:pos="8306"/>
              </w:tabs>
              <w:kinsoku w:val="0"/>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b w:val="0"/>
                <w:bCs w:val="0"/>
                <w:color w:val="000000"/>
                <w:kern w:val="0"/>
                <w:sz w:val="21"/>
                <w:szCs w:val="21"/>
                <w:highlight w:val="none"/>
                <w:lang w:eastAsia="zh-CN" w:bidi="ar"/>
              </w:rPr>
            </w:pPr>
            <w:r>
              <w:rPr>
                <w:rFonts w:hint="eastAsia" w:ascii="宋体" w:hAnsi="宋体" w:eastAsia="宋体" w:cs="宋体"/>
                <w:b/>
                <w:color w:val="000000"/>
                <w:kern w:val="21"/>
                <w:sz w:val="21"/>
                <w:szCs w:val="21"/>
                <w:highlight w:val="none"/>
                <w:lang w:val="en-US" w:eastAsia="zh-CN" w:bidi="ar"/>
              </w:rPr>
              <w:t>交货期及地点</w:t>
            </w:r>
          </w:p>
        </w:tc>
        <w:tc>
          <w:tcPr>
            <w:tcW w:w="8144" w:type="dxa"/>
            <w:tcBorders>
              <w:top w:val="single" w:color="auto" w:sz="4" w:space="0"/>
              <w:left w:val="single" w:color="auto" w:sz="4" w:space="0"/>
              <w:bottom w:val="single" w:color="auto" w:sz="4" w:space="0"/>
              <w:right w:val="single" w:color="auto" w:sz="4" w:space="0"/>
            </w:tcBorders>
            <w:noWrap w:val="0"/>
            <w:vAlign w:val="center"/>
          </w:tcPr>
          <w:p w14:paraId="105E1F59">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1.交货期：</w:t>
            </w:r>
            <w:r>
              <w:rPr>
                <w:rFonts w:hint="eastAsia" w:ascii="宋体" w:hAnsi="宋体" w:eastAsia="宋体" w:cs="宋体"/>
                <w:color w:val="000000"/>
                <w:sz w:val="21"/>
                <w:szCs w:val="21"/>
                <w:highlight w:val="none"/>
                <w:lang w:eastAsia="zh-CN"/>
              </w:rPr>
              <w:t>采购合同签订后</w:t>
            </w:r>
            <w:r>
              <w:rPr>
                <w:rFonts w:hint="eastAsia" w:ascii="宋体" w:hAnsi="宋体" w:eastAsia="宋体" w:cs="宋体"/>
                <w:color w:val="000000"/>
                <w:sz w:val="21"/>
                <w:szCs w:val="21"/>
                <w:highlight w:val="none"/>
                <w:lang w:val="en-US" w:eastAsia="zh-CN"/>
              </w:rPr>
              <w:t>30</w:t>
            </w:r>
            <w:r>
              <w:rPr>
                <w:rFonts w:hint="eastAsia" w:ascii="宋体" w:hAnsi="宋体" w:eastAsia="宋体" w:cs="宋体"/>
                <w:color w:val="000000"/>
                <w:sz w:val="21"/>
                <w:szCs w:val="21"/>
                <w:highlight w:val="none"/>
                <w:lang w:eastAsia="zh-CN"/>
              </w:rPr>
              <w:t>个</w:t>
            </w:r>
            <w:r>
              <w:rPr>
                <w:rFonts w:hint="eastAsia" w:ascii="宋体" w:hAnsi="宋体" w:eastAsia="宋体" w:cs="宋体"/>
                <w:color w:val="000000"/>
                <w:sz w:val="21"/>
                <w:szCs w:val="21"/>
                <w:highlight w:val="none"/>
                <w:lang w:val="en-US" w:eastAsia="zh-CN"/>
              </w:rPr>
              <w:t>日历</w:t>
            </w:r>
            <w:r>
              <w:rPr>
                <w:rFonts w:hint="eastAsia" w:ascii="宋体" w:hAnsi="宋体" w:eastAsia="宋体" w:cs="宋体"/>
                <w:color w:val="000000"/>
                <w:sz w:val="21"/>
                <w:szCs w:val="21"/>
                <w:highlight w:val="none"/>
                <w:lang w:eastAsia="zh-CN"/>
              </w:rPr>
              <w:t>日内交货并完成安装调试</w:t>
            </w:r>
            <w:r>
              <w:rPr>
                <w:rFonts w:hint="eastAsia" w:ascii="宋体" w:hAnsi="宋体" w:eastAsia="宋体" w:cs="宋体"/>
                <w:bCs/>
                <w:color w:val="000000"/>
                <w:sz w:val="21"/>
                <w:szCs w:val="21"/>
                <w:highlight w:val="none"/>
              </w:rPr>
              <w:t>。</w:t>
            </w:r>
          </w:p>
          <w:p w14:paraId="5C76D4D0">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2.交付地点：采购人指定地点。</w:t>
            </w:r>
          </w:p>
          <w:p w14:paraId="1415726A">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kern w:val="0"/>
                <w:sz w:val="21"/>
                <w:szCs w:val="21"/>
                <w:highlight w:val="none"/>
              </w:rPr>
            </w:pPr>
            <w:r>
              <w:rPr>
                <w:rFonts w:hint="eastAsia" w:ascii="宋体" w:hAnsi="宋体" w:eastAsia="宋体" w:cs="宋体"/>
                <w:bCs/>
                <w:color w:val="000000"/>
                <w:sz w:val="21"/>
                <w:szCs w:val="21"/>
                <w:highlight w:val="none"/>
                <w:lang w:val="en-US" w:eastAsia="zh-CN"/>
              </w:rPr>
              <w:t>3.交货方式：现场交货</w:t>
            </w:r>
          </w:p>
        </w:tc>
      </w:tr>
      <w:tr w14:paraId="7777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49" w:type="dxa"/>
            <w:tcBorders>
              <w:top w:val="single" w:color="auto" w:sz="4" w:space="0"/>
              <w:left w:val="single" w:color="auto" w:sz="4" w:space="0"/>
              <w:bottom w:val="single" w:color="auto" w:sz="4" w:space="0"/>
              <w:right w:val="single" w:color="auto" w:sz="4" w:space="0"/>
            </w:tcBorders>
            <w:noWrap w:val="0"/>
            <w:vAlign w:val="center"/>
          </w:tcPr>
          <w:p w14:paraId="0A182327">
            <w:pPr>
              <w:keepNext w:val="0"/>
              <w:keepLines w:val="0"/>
              <w:pageBreakBefore w:val="0"/>
              <w:kinsoku/>
              <w:overflowPunct/>
              <w:topLinePunct w:val="0"/>
              <w:bidi w:val="0"/>
              <w:spacing w:line="400" w:lineRule="exact"/>
              <w:ind w:firstLine="13" w:firstLineChars="6"/>
              <w:jc w:val="center"/>
              <w:outlineLvl w:val="0"/>
              <w:rPr>
                <w:rFonts w:hint="eastAsia" w:ascii="宋体" w:hAnsi="宋体" w:eastAsia="宋体" w:cs="宋体"/>
                <w:b w:val="0"/>
                <w:bCs w:val="0"/>
                <w:color w:val="000000"/>
                <w:kern w:val="0"/>
                <w:sz w:val="21"/>
                <w:szCs w:val="21"/>
                <w:highlight w:val="none"/>
                <w:lang w:eastAsia="zh-CN" w:bidi="ar"/>
              </w:rPr>
            </w:pPr>
            <w:r>
              <w:rPr>
                <w:rFonts w:hint="eastAsia" w:ascii="宋体" w:hAnsi="宋体" w:eastAsia="宋体" w:cs="宋体"/>
                <w:b/>
                <w:color w:val="000000"/>
                <w:sz w:val="21"/>
                <w:szCs w:val="21"/>
                <w:highlight w:val="none"/>
                <w:lang w:eastAsia="zh-CN" w:bidi="ar"/>
              </w:rPr>
              <w:t>投标报价</w:t>
            </w:r>
          </w:p>
        </w:tc>
        <w:tc>
          <w:tcPr>
            <w:tcW w:w="8144" w:type="dxa"/>
            <w:tcBorders>
              <w:top w:val="single" w:color="auto" w:sz="4" w:space="0"/>
              <w:left w:val="single" w:color="auto" w:sz="4" w:space="0"/>
              <w:bottom w:val="single" w:color="auto" w:sz="4" w:space="0"/>
              <w:right w:val="single" w:color="auto" w:sz="4" w:space="0"/>
            </w:tcBorders>
            <w:noWrap w:val="0"/>
            <w:vAlign w:val="center"/>
          </w:tcPr>
          <w:p w14:paraId="071B7FB1">
            <w:pPr>
              <w:keepNext w:val="0"/>
              <w:keepLines w:val="0"/>
              <w:pageBreakBefore w:val="0"/>
              <w:widowControl/>
              <w:kinsoku/>
              <w:wordWrap/>
              <w:overflowPunct/>
              <w:topLinePunct w:val="0"/>
              <w:bidi w:val="0"/>
              <w:spacing w:line="380" w:lineRule="exact"/>
              <w:ind w:firstLine="13" w:firstLineChars="6"/>
              <w:jc w:val="both"/>
              <w:outlineLvl w:val="0"/>
              <w:rPr>
                <w:rFonts w:hint="eastAsia" w:ascii="宋体" w:hAnsi="宋体" w:eastAsia="宋体" w:cs="宋体"/>
                <w:color w:val="000000"/>
                <w:kern w:val="0"/>
                <w:sz w:val="21"/>
                <w:szCs w:val="21"/>
                <w:highlight w:val="none"/>
              </w:rPr>
            </w:pPr>
            <w:r>
              <w:rPr>
                <w:rFonts w:hint="eastAsia" w:ascii="宋体" w:hAnsi="宋体" w:eastAsia="宋体" w:cs="宋体"/>
                <w:color w:val="000000"/>
                <w:spacing w:val="6"/>
                <w:sz w:val="21"/>
                <w:szCs w:val="21"/>
                <w:highlight w:val="none"/>
                <w:lang w:eastAsia="zh-CN" w:bidi="ar"/>
              </w:rPr>
              <w:t>项目实行总承包报价，投标报价包含货物、货物标准附件、备品备件、专用工具、设备安装辅材、施工辅材、包装、运输、装卸、保险、</w:t>
            </w:r>
            <w:r>
              <w:rPr>
                <w:rFonts w:hint="eastAsia" w:ascii="宋体" w:hAnsi="宋体" w:eastAsia="宋体" w:cs="宋体"/>
                <w:color w:val="000000"/>
                <w:spacing w:val="6"/>
                <w:sz w:val="21"/>
                <w:szCs w:val="21"/>
                <w:highlight w:val="none"/>
                <w:lang w:val="en-US" w:eastAsia="zh-CN" w:bidi="ar"/>
              </w:rPr>
              <w:t>招标代理费、</w:t>
            </w:r>
            <w:r>
              <w:rPr>
                <w:rFonts w:hint="eastAsia" w:ascii="宋体" w:hAnsi="宋体" w:eastAsia="宋体" w:cs="宋体"/>
                <w:color w:val="000000"/>
                <w:spacing w:val="6"/>
                <w:sz w:val="21"/>
                <w:szCs w:val="21"/>
                <w:highlight w:val="none"/>
                <w:lang w:eastAsia="zh-CN" w:bidi="ar"/>
              </w:rPr>
              <w:t>货到就位的各种费用以及安装、调试等本招标文件所列设备材料需进行补充完善才能完成本项目的功能配置或实际采购中产品材料有任何遗漏的费用（含本项目需要但本文件中未列出的设备材料、功能配置）、税金、售后服务、技术培训及其他所有成本费用，以及合同明示或暗示的所有责任、义务和一般风险等一切费用。投标人综合考虑在报价中。</w:t>
            </w:r>
          </w:p>
        </w:tc>
      </w:tr>
      <w:tr w14:paraId="35A8D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49" w:type="dxa"/>
            <w:tcBorders>
              <w:top w:val="single" w:color="auto" w:sz="4" w:space="0"/>
              <w:left w:val="single" w:color="auto" w:sz="4" w:space="0"/>
              <w:bottom w:val="single" w:color="auto" w:sz="4" w:space="0"/>
              <w:right w:val="single" w:color="auto" w:sz="4" w:space="0"/>
            </w:tcBorders>
            <w:noWrap w:val="0"/>
            <w:vAlign w:val="center"/>
          </w:tcPr>
          <w:p w14:paraId="440028FC">
            <w:pPr>
              <w:keepNext w:val="0"/>
              <w:keepLines w:val="0"/>
              <w:pageBreakBefore w:val="0"/>
              <w:kinsoku w:val="0"/>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b w:val="0"/>
                <w:bCs w:val="0"/>
                <w:color w:val="000000"/>
                <w:kern w:val="0"/>
                <w:sz w:val="21"/>
                <w:szCs w:val="21"/>
                <w:highlight w:val="none"/>
                <w:lang w:eastAsia="zh-CN" w:bidi="ar"/>
              </w:rPr>
            </w:pPr>
            <w:r>
              <w:rPr>
                <w:rFonts w:hint="eastAsia" w:ascii="宋体" w:hAnsi="宋体" w:eastAsia="宋体" w:cs="宋体"/>
                <w:b/>
                <w:color w:val="000000"/>
                <w:kern w:val="21"/>
                <w:sz w:val="21"/>
                <w:szCs w:val="21"/>
                <w:highlight w:val="none"/>
                <w:lang w:val="en-US" w:eastAsia="zh-CN" w:bidi="ar"/>
              </w:rPr>
              <w:t>付款方式</w:t>
            </w:r>
          </w:p>
        </w:tc>
        <w:tc>
          <w:tcPr>
            <w:tcW w:w="8144" w:type="dxa"/>
            <w:tcBorders>
              <w:top w:val="single" w:color="auto" w:sz="4" w:space="0"/>
              <w:left w:val="single" w:color="auto" w:sz="4" w:space="0"/>
              <w:bottom w:val="single" w:color="auto" w:sz="4" w:space="0"/>
              <w:right w:val="single" w:color="auto" w:sz="4" w:space="0"/>
            </w:tcBorders>
            <w:noWrap w:val="0"/>
            <w:vAlign w:val="center"/>
          </w:tcPr>
          <w:p w14:paraId="0C774718">
            <w:pPr>
              <w:keepNext w:val="0"/>
              <w:keepLines w:val="0"/>
              <w:pageBreakBefore w:val="0"/>
              <w:widowControl/>
              <w:kinsoku/>
              <w:wordWrap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kern w:val="21"/>
                <w:sz w:val="21"/>
                <w:szCs w:val="21"/>
                <w:highlight w:val="none"/>
                <w:lang w:val="en-US" w:eastAsia="zh-CN" w:bidi="ar"/>
              </w:rPr>
            </w:pPr>
            <w:r>
              <w:rPr>
                <w:rFonts w:hint="eastAsia" w:ascii="宋体" w:hAnsi="宋体" w:eastAsia="宋体" w:cs="宋体"/>
                <w:color w:val="000000"/>
                <w:kern w:val="21"/>
                <w:sz w:val="21"/>
                <w:szCs w:val="21"/>
                <w:highlight w:val="none"/>
                <w:lang w:val="en-US" w:eastAsia="zh-CN" w:bidi="ar"/>
              </w:rPr>
              <w:t>1.付款进度安排:签订合同后30个工作日内，支付合同价款的30%，设备安装验收合格正常使用后30个工作日内，支付合同价款的70%。</w:t>
            </w:r>
          </w:p>
          <w:p w14:paraId="57BA6EC0">
            <w:pPr>
              <w:keepNext w:val="0"/>
              <w:keepLines w:val="0"/>
              <w:pageBreakBefore w:val="0"/>
              <w:widowControl/>
              <w:kinsoku/>
              <w:wordWrap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kern w:val="21"/>
                <w:sz w:val="21"/>
                <w:szCs w:val="21"/>
                <w:highlight w:val="none"/>
                <w:lang w:val="en-US" w:eastAsia="zh-CN" w:bidi="ar"/>
              </w:rPr>
            </w:pPr>
            <w:r>
              <w:rPr>
                <w:rFonts w:hint="eastAsia" w:ascii="宋体" w:hAnsi="宋体" w:eastAsia="宋体" w:cs="宋体"/>
                <w:color w:val="000000"/>
                <w:kern w:val="21"/>
                <w:sz w:val="21"/>
                <w:szCs w:val="21"/>
                <w:highlight w:val="none"/>
                <w:lang w:val="en-US" w:eastAsia="zh-CN" w:bidi="ar"/>
              </w:rPr>
              <w:t>2.中标人须在设备验收合格后及时向甲方提供符合国家规定及采购人要求的全额有效的税务发票，采购人未收到发票的，有权不予支付相应款项直至乙方提供合格发票，并不承担延迟付款责任。发票认证通过是付款的必要前提之一。</w:t>
            </w:r>
          </w:p>
          <w:p w14:paraId="47BC263B">
            <w:pPr>
              <w:keepNext w:val="0"/>
              <w:keepLines w:val="0"/>
              <w:pageBreakBefore w:val="0"/>
              <w:widowControl/>
              <w:kinsoku/>
              <w:wordWrap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kern w:val="21"/>
                <w:sz w:val="21"/>
                <w:szCs w:val="21"/>
                <w:highlight w:val="none"/>
                <w:lang w:val="en-US" w:eastAsia="zh-CN" w:bidi="ar"/>
              </w:rPr>
            </w:pPr>
            <w:r>
              <w:rPr>
                <w:rFonts w:hint="eastAsia" w:ascii="宋体" w:hAnsi="宋体" w:eastAsia="宋体" w:cs="宋体"/>
                <w:color w:val="000000"/>
                <w:kern w:val="21"/>
                <w:sz w:val="21"/>
                <w:szCs w:val="21"/>
                <w:highlight w:val="none"/>
                <w:lang w:val="en-US" w:eastAsia="zh-CN" w:bidi="ar"/>
              </w:rPr>
              <w:t>3.本合同执行中相关的一切税费均由乙方负担。</w:t>
            </w:r>
          </w:p>
          <w:p w14:paraId="1738B14D">
            <w:pPr>
              <w:keepNext w:val="0"/>
              <w:keepLines w:val="0"/>
              <w:pageBreakBefore w:val="0"/>
              <w:widowControl/>
              <w:kinsoku/>
              <w:wordWrap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000000"/>
                <w:sz w:val="21"/>
                <w:szCs w:val="21"/>
                <w:highlight w:val="none"/>
              </w:rPr>
            </w:pPr>
            <w:r>
              <w:rPr>
                <w:rFonts w:hint="eastAsia" w:ascii="宋体" w:hAnsi="宋体" w:eastAsia="宋体" w:cs="宋体"/>
                <w:color w:val="000000"/>
                <w:kern w:val="21"/>
                <w:sz w:val="21"/>
                <w:szCs w:val="21"/>
                <w:highlight w:val="none"/>
                <w:lang w:val="en-US" w:eastAsia="zh-CN" w:bidi="ar"/>
              </w:rPr>
              <w:t>4.资金支付方式：银行转账</w:t>
            </w:r>
          </w:p>
        </w:tc>
      </w:tr>
      <w:tr w14:paraId="54CA8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49" w:type="dxa"/>
            <w:tcBorders>
              <w:top w:val="single" w:color="auto" w:sz="4" w:space="0"/>
              <w:left w:val="single" w:color="auto" w:sz="4" w:space="0"/>
              <w:bottom w:val="single" w:color="auto" w:sz="4" w:space="0"/>
              <w:right w:val="single" w:color="auto" w:sz="4" w:space="0"/>
            </w:tcBorders>
            <w:noWrap w:val="0"/>
            <w:vAlign w:val="center"/>
          </w:tcPr>
          <w:p w14:paraId="07B0415B">
            <w:pPr>
              <w:keepNext w:val="0"/>
              <w:keepLines w:val="0"/>
              <w:pageBreakBefore w:val="0"/>
              <w:kinsoku/>
              <w:overflowPunct/>
              <w:topLinePunct w:val="0"/>
              <w:bidi w:val="0"/>
              <w:spacing w:line="400" w:lineRule="exact"/>
              <w:ind w:firstLine="13" w:firstLineChars="6"/>
              <w:jc w:val="center"/>
              <w:rPr>
                <w:rFonts w:hint="eastAsia" w:ascii="宋体" w:hAnsi="宋体" w:eastAsia="宋体" w:cs="宋体"/>
                <w:b/>
                <w:color w:val="000000"/>
                <w:sz w:val="21"/>
                <w:szCs w:val="21"/>
                <w:highlight w:val="none"/>
                <w:lang w:eastAsia="zh-CN" w:bidi="ar"/>
              </w:rPr>
            </w:pPr>
            <w:r>
              <w:rPr>
                <w:rFonts w:hint="eastAsia" w:ascii="宋体" w:hAnsi="宋体" w:eastAsia="宋体" w:cs="宋体"/>
                <w:b/>
                <w:color w:val="000000"/>
                <w:sz w:val="21"/>
                <w:szCs w:val="21"/>
                <w:highlight w:val="none"/>
                <w:lang w:eastAsia="zh-CN" w:bidi="ar"/>
              </w:rPr>
              <w:t>保修期及售后</w:t>
            </w:r>
          </w:p>
          <w:p w14:paraId="3315DDC1">
            <w:pPr>
              <w:keepNext w:val="0"/>
              <w:keepLines w:val="0"/>
              <w:pageBreakBefore w:val="0"/>
              <w:kinsoku/>
              <w:overflowPunct/>
              <w:topLinePunct w:val="0"/>
              <w:bidi w:val="0"/>
              <w:spacing w:line="400" w:lineRule="exact"/>
              <w:ind w:firstLine="13" w:firstLineChars="6"/>
              <w:jc w:val="center"/>
              <w:rPr>
                <w:rFonts w:hint="eastAsia" w:ascii="宋体" w:hAnsi="宋体" w:eastAsia="宋体" w:cs="宋体"/>
                <w:b w:val="0"/>
                <w:bCs w:val="0"/>
                <w:color w:val="000000"/>
                <w:kern w:val="0"/>
                <w:sz w:val="21"/>
                <w:szCs w:val="21"/>
                <w:highlight w:val="none"/>
                <w:lang w:eastAsia="zh-CN" w:bidi="ar"/>
              </w:rPr>
            </w:pPr>
            <w:r>
              <w:rPr>
                <w:rFonts w:hint="eastAsia" w:ascii="宋体" w:hAnsi="宋体" w:eastAsia="宋体" w:cs="宋体"/>
                <w:b/>
                <w:color w:val="000000"/>
                <w:sz w:val="21"/>
                <w:szCs w:val="21"/>
                <w:highlight w:val="none"/>
                <w:lang w:eastAsia="zh-CN" w:bidi="ar"/>
              </w:rPr>
              <w:t>服务要求</w:t>
            </w:r>
          </w:p>
        </w:tc>
        <w:tc>
          <w:tcPr>
            <w:tcW w:w="8144" w:type="dxa"/>
            <w:tcBorders>
              <w:top w:val="single" w:color="auto" w:sz="4" w:space="0"/>
              <w:left w:val="single" w:color="auto" w:sz="4" w:space="0"/>
              <w:bottom w:val="single" w:color="auto" w:sz="4" w:space="0"/>
              <w:right w:val="single" w:color="auto" w:sz="4" w:space="0"/>
            </w:tcBorders>
            <w:noWrap w:val="0"/>
            <w:vAlign w:val="center"/>
          </w:tcPr>
          <w:p w14:paraId="50808642">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1.中标人应按照国家有关法律法规规定以及投标文件承诺，为采购人提供售后服务。</w:t>
            </w:r>
          </w:p>
          <w:p w14:paraId="493FF25D">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2.质量保修范围:</w:t>
            </w:r>
            <w:r>
              <w:rPr>
                <w:rFonts w:hint="eastAsia" w:ascii="宋体" w:hAnsi="宋体" w:eastAsia="宋体" w:cs="宋体"/>
                <w:color w:val="000000"/>
                <w:sz w:val="21"/>
                <w:szCs w:val="21"/>
                <w:highlight w:val="none"/>
                <w:u w:val="single"/>
                <w:lang w:eastAsia="zh-CN" w:bidi="ar"/>
              </w:rPr>
              <w:t>本项目采购范围内的所有设备</w:t>
            </w:r>
            <w:r>
              <w:rPr>
                <w:rFonts w:hint="eastAsia" w:ascii="宋体" w:hAnsi="宋体" w:eastAsia="宋体" w:cs="宋体"/>
                <w:color w:val="000000"/>
                <w:sz w:val="21"/>
                <w:szCs w:val="21"/>
                <w:highlight w:val="none"/>
                <w:lang w:eastAsia="zh-CN" w:bidi="ar"/>
              </w:rPr>
              <w:t>。免费保修期内上门维修（维修费和元器件费包含在投标报价中）、更换零部件，软件终身免费升级服务，设备生产厂家提供远程联机维护服务，能对设备进行软件升级及故障分析；保修期：按中标人投标文件承诺（且不低于采购文件要求）执行。</w:t>
            </w:r>
          </w:p>
          <w:p w14:paraId="0E18B0DF">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eastAsia="zh-CN" w:bidi="ar"/>
              </w:rPr>
              <w:t>3.免费保修期：按国家有关产品“三包”规定执行“三包”；免费保修期为不少于</w:t>
            </w:r>
            <w:r>
              <w:rPr>
                <w:rFonts w:hint="eastAsia" w:ascii="宋体" w:hAnsi="宋体" w:eastAsia="宋体" w:cs="宋体"/>
                <w:color w:val="000000"/>
                <w:sz w:val="21"/>
                <w:szCs w:val="21"/>
                <w:highlight w:val="none"/>
                <w:lang w:val="en-US" w:eastAsia="zh-CN" w:bidi="ar"/>
              </w:rPr>
              <w:t>6</w:t>
            </w:r>
            <w:r>
              <w:rPr>
                <w:rFonts w:hint="eastAsia" w:ascii="宋体" w:hAnsi="宋体" w:eastAsia="宋体" w:cs="宋体"/>
                <w:color w:val="000000"/>
                <w:sz w:val="21"/>
                <w:szCs w:val="21"/>
                <w:highlight w:val="none"/>
                <w:lang w:eastAsia="zh-CN" w:bidi="ar"/>
              </w:rPr>
              <w:t>年，</w:t>
            </w:r>
            <w:r>
              <w:rPr>
                <w:rFonts w:hint="eastAsia" w:ascii="宋体" w:hAnsi="宋体" w:eastAsia="宋体" w:cs="宋体"/>
                <w:color w:val="000000"/>
                <w:sz w:val="21"/>
                <w:szCs w:val="21"/>
                <w:highlight w:val="none"/>
                <w:lang w:val="en-US" w:eastAsia="zh-CN" w:bidi="ar"/>
              </w:rPr>
              <w:t>免费保修期</w:t>
            </w:r>
            <w:r>
              <w:rPr>
                <w:rFonts w:hint="eastAsia" w:ascii="宋体" w:hAnsi="宋体" w:eastAsia="宋体" w:cs="宋体"/>
                <w:color w:val="000000"/>
                <w:highlight w:val="none"/>
                <w:lang w:eastAsia="zh-CN" w:bidi="ar"/>
              </w:rPr>
              <w:t>期内故障时间顺延质保期</w:t>
            </w:r>
            <w:r>
              <w:rPr>
                <w:rFonts w:hint="eastAsia" w:ascii="宋体" w:hAnsi="宋体" w:eastAsia="宋体" w:cs="宋体"/>
                <w:color w:val="000000"/>
                <w:sz w:val="21"/>
                <w:szCs w:val="21"/>
                <w:highlight w:val="none"/>
                <w:lang w:eastAsia="zh-CN" w:bidi="ar"/>
              </w:rPr>
              <w:t>（免费保修期从设备验收合格之日起计算），免费保修期内上门维修不收取任何费用，提供备用机</w:t>
            </w:r>
            <w:r>
              <w:rPr>
                <w:rFonts w:hint="eastAsia" w:ascii="宋体" w:hAnsi="宋体" w:eastAsia="宋体" w:cs="宋体"/>
                <w:color w:val="000000"/>
                <w:sz w:val="21"/>
                <w:szCs w:val="21"/>
                <w:highlight w:val="none"/>
                <w:lang w:val="en-US" w:eastAsia="zh-CN" w:bidi="ar"/>
              </w:rPr>
              <w:t>。</w:t>
            </w:r>
          </w:p>
          <w:p w14:paraId="1ED09E8A">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4.在免费保修期内因货物本身的质量问题发生故障，中标人应负责免费修理和更换零部件。对达不到技术要求者，根据实际情况，采购人有权按以下办法处理：</w:t>
            </w:r>
          </w:p>
          <w:p w14:paraId="36BF5677">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（1）更换：由中标人承担所发生的全部费用。</w:t>
            </w:r>
          </w:p>
          <w:p w14:paraId="7354610B">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（2）贬值处理：由采购人与中标人双方合议定价。</w:t>
            </w:r>
          </w:p>
          <w:p w14:paraId="05EBA815">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（3）退货处理：中标人应退还采购人支付的合同款，同时应承担该货物的直接费用（运输、保险、检验、货款利息及银行手续费等）。</w:t>
            </w:r>
          </w:p>
          <w:p w14:paraId="0E6EFD42">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5.如在使用过程中发生质量问题，中标人在接到采购人通知后</w:t>
            </w:r>
            <w:r>
              <w:rPr>
                <w:rFonts w:hint="eastAsia" w:ascii="宋体" w:hAnsi="宋体" w:eastAsia="宋体" w:cs="宋体"/>
                <w:color w:val="000000"/>
                <w:sz w:val="21"/>
                <w:szCs w:val="21"/>
                <w:highlight w:val="none"/>
                <w:u w:val="single"/>
                <w:lang w:val="en-US" w:eastAsia="zh-CN" w:bidi="ar"/>
              </w:rPr>
              <w:t>2</w:t>
            </w:r>
            <w:r>
              <w:rPr>
                <w:rFonts w:hint="eastAsia" w:ascii="宋体" w:hAnsi="宋体" w:eastAsia="宋体" w:cs="宋体"/>
                <w:color w:val="000000"/>
                <w:sz w:val="21"/>
                <w:szCs w:val="21"/>
                <w:highlight w:val="none"/>
                <w:lang w:eastAsia="zh-CN" w:bidi="ar"/>
              </w:rPr>
              <w:t>小时内响应，</w:t>
            </w:r>
            <w:r>
              <w:rPr>
                <w:rFonts w:hint="eastAsia" w:ascii="宋体" w:hAnsi="宋体" w:eastAsia="宋体" w:cs="宋体"/>
                <w:color w:val="000000"/>
                <w:sz w:val="21"/>
                <w:szCs w:val="21"/>
                <w:highlight w:val="none"/>
                <w:u w:val="single"/>
                <w:lang w:eastAsia="zh-CN" w:bidi="ar"/>
              </w:rPr>
              <w:t>2</w:t>
            </w:r>
            <w:r>
              <w:rPr>
                <w:rFonts w:hint="eastAsia" w:ascii="宋体" w:hAnsi="宋体" w:eastAsia="宋体" w:cs="宋体"/>
                <w:color w:val="000000"/>
                <w:sz w:val="21"/>
                <w:szCs w:val="21"/>
                <w:highlight w:val="none"/>
                <w:u w:val="single"/>
                <w:lang w:val="en-US" w:eastAsia="zh-CN" w:bidi="ar"/>
              </w:rPr>
              <w:t>4</w:t>
            </w:r>
            <w:r>
              <w:rPr>
                <w:rFonts w:hint="eastAsia" w:ascii="宋体" w:hAnsi="宋体" w:eastAsia="宋体" w:cs="宋体"/>
                <w:color w:val="000000"/>
                <w:sz w:val="21"/>
                <w:szCs w:val="21"/>
                <w:highlight w:val="none"/>
                <w:lang w:eastAsia="zh-CN" w:bidi="ar"/>
              </w:rPr>
              <w:t>小时内到达现场进行处理，恢复正常使用</w:t>
            </w:r>
            <w:r>
              <w:rPr>
                <w:rFonts w:hint="eastAsia" w:ascii="宋体" w:hAnsi="宋体" w:cs="宋体"/>
                <w:color w:val="000000"/>
                <w:kern w:val="0"/>
                <w:sz w:val="21"/>
                <w:szCs w:val="21"/>
                <w:highlight w:val="none"/>
              </w:rPr>
              <w:t>，重大故障不超过48小时</w:t>
            </w:r>
            <w:r>
              <w:rPr>
                <w:rFonts w:hint="eastAsia" w:ascii="宋体" w:hAnsi="宋体" w:eastAsia="宋体" w:cs="宋体"/>
                <w:color w:val="000000"/>
                <w:sz w:val="21"/>
                <w:szCs w:val="21"/>
                <w:highlight w:val="none"/>
                <w:lang w:eastAsia="zh-CN" w:bidi="ar"/>
              </w:rPr>
              <w:t>。中标人逾期响应、到达现场、排除故障或者无法排除故障的，采购人有权自行或寻找第三方机构获得维修、维护等售后服务，全部费用由中标人承担，且无需经过中标人同意、确认。</w:t>
            </w:r>
          </w:p>
          <w:p w14:paraId="70BE3D00">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6.在免费保修期内，中标人应对货物出现的质量及安全问题负责处理解决并承担一切费用。</w:t>
            </w:r>
          </w:p>
          <w:p w14:paraId="44B8BCFF">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7.本项目采购范围内的货物因人为因素出现的故障不在免费保修范围内。超过免费保修期的机器设备，提供终生维修服务。</w:t>
            </w:r>
          </w:p>
          <w:p w14:paraId="27149DC3">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8.中标人提供的货物在免费保修期内，因设计、工艺或材料的缺陷和其它质量原因造成的问题，由中标人负责，费用从最后一笔支付的合同价款当中扣除，不足以扣除的，由中标人另行支付。</w:t>
            </w:r>
          </w:p>
          <w:p w14:paraId="17BFD995">
            <w:pPr>
              <w:pStyle w:val="257"/>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9.耗材报价</w:t>
            </w:r>
          </w:p>
          <w:p w14:paraId="5ED09C49">
            <w:pPr>
              <w:pStyle w:val="257"/>
              <w:keepNext w:val="0"/>
              <w:keepLines w:val="0"/>
              <w:pageBreakBefore w:val="0"/>
              <w:kinsoku/>
              <w:wordWrap/>
              <w:overflowPunct/>
              <w:topLinePunct w:val="0"/>
              <w:autoSpaceDE/>
              <w:autoSpaceDN/>
              <w:bidi w:val="0"/>
              <w:adjustRightInd/>
              <w:snapToGrid/>
              <w:spacing w:line="400" w:lineRule="exact"/>
              <w:textAlignment w:val="auto"/>
              <w:rPr>
                <w:rFonts w:hint="default" w:ascii="宋体" w:hAnsi="宋体" w:eastAsia="宋体" w:cs="宋体"/>
                <w:color w:val="000000"/>
                <w:spacing w:val="12"/>
                <w:sz w:val="21"/>
                <w:szCs w:val="21"/>
                <w:highlight w:val="none"/>
                <w:lang w:val="en-US" w:eastAsia="zh-CN"/>
              </w:rPr>
            </w:pPr>
            <w:r>
              <w:rPr>
                <w:rFonts w:hint="eastAsia" w:ascii="宋体" w:hAnsi="宋体" w:eastAsia="宋体" w:cs="宋体"/>
                <w:color w:val="000000"/>
                <w:sz w:val="21"/>
                <w:szCs w:val="21"/>
                <w:highlight w:val="none"/>
                <w:lang w:val="en-US" w:eastAsia="zh-CN" w:bidi="ar"/>
              </w:rPr>
              <w:t>（</w:t>
            </w:r>
            <w:r>
              <w:rPr>
                <w:rFonts w:hint="eastAsia" w:ascii="宋体" w:hAnsi="宋体" w:eastAsia="宋体" w:cs="宋体"/>
                <w:color w:val="000000"/>
                <w:spacing w:val="2"/>
                <w:sz w:val="21"/>
                <w:szCs w:val="21"/>
                <w:highlight w:val="none"/>
                <w:lang w:val="en-US" w:eastAsia="zh-CN"/>
              </w:rPr>
              <w:t>1</w:t>
            </w:r>
            <w:r>
              <w:rPr>
                <w:rFonts w:hint="eastAsia" w:ascii="宋体" w:hAnsi="宋体" w:eastAsia="宋体" w:cs="宋体"/>
                <w:color w:val="000000"/>
                <w:sz w:val="21"/>
                <w:szCs w:val="21"/>
                <w:highlight w:val="none"/>
                <w:lang w:val="en-US" w:eastAsia="zh-CN" w:bidi="ar"/>
              </w:rPr>
              <w:t>）</w:t>
            </w:r>
            <w:r>
              <w:rPr>
                <w:rFonts w:hint="eastAsia" w:ascii="宋体" w:hAnsi="宋体" w:eastAsia="宋体" w:cs="宋体"/>
                <w:color w:val="000000"/>
                <w:spacing w:val="2"/>
                <w:sz w:val="21"/>
                <w:szCs w:val="21"/>
                <w:highlight w:val="none"/>
              </w:rPr>
              <w:t>动静脉插管</w:t>
            </w:r>
            <w:r>
              <w:rPr>
                <w:rFonts w:hint="eastAsia" w:ascii="宋体" w:hAnsi="宋体" w:eastAsia="宋体" w:cs="宋体"/>
                <w:color w:val="000000"/>
                <w:spacing w:val="12"/>
                <w:sz w:val="21"/>
                <w:szCs w:val="21"/>
                <w:highlight w:val="none"/>
              </w:rPr>
              <w:t>(动脉)</w:t>
            </w:r>
            <w:r>
              <w:rPr>
                <w:rFonts w:hint="eastAsia" w:ascii="宋体" w:hAnsi="宋体" w:eastAsia="宋体" w:cs="宋体"/>
                <w:color w:val="000000"/>
                <w:spacing w:val="12"/>
                <w:sz w:val="21"/>
                <w:szCs w:val="21"/>
                <w:highlight w:val="none"/>
                <w:lang w:val="en-US" w:eastAsia="zh-CN"/>
              </w:rPr>
              <w:t xml:space="preserve"> 1个</w:t>
            </w:r>
            <w:r>
              <w:rPr>
                <w:rFonts w:hint="eastAsia" w:ascii="宋体" w:hAnsi="宋体" w:eastAsia="宋体" w:cs="宋体"/>
                <w:color w:val="000000"/>
                <w:sz w:val="21"/>
                <w:szCs w:val="21"/>
                <w:highlight w:val="none"/>
              </w:rPr>
              <w:t>≤</w:t>
            </w:r>
            <w:r>
              <w:rPr>
                <w:rFonts w:hint="eastAsia" w:cs="宋体"/>
                <w:color w:val="000000"/>
                <w:sz w:val="21"/>
                <w:szCs w:val="21"/>
                <w:highlight w:val="none"/>
                <w:lang w:val="en-US" w:eastAsia="zh-CN"/>
              </w:rPr>
              <w:t>5000</w:t>
            </w:r>
            <w:r>
              <w:rPr>
                <w:rFonts w:hint="eastAsia" w:ascii="宋体" w:hAnsi="宋体" w:cs="宋体"/>
                <w:color w:val="000000"/>
                <w:sz w:val="21"/>
                <w:szCs w:val="21"/>
                <w:highlight w:val="none"/>
                <w:lang w:val="en-US" w:eastAsia="zh-CN"/>
              </w:rPr>
              <w:t>元</w:t>
            </w:r>
          </w:p>
          <w:p w14:paraId="033C345E">
            <w:pPr>
              <w:pStyle w:val="257"/>
              <w:keepNext w:val="0"/>
              <w:keepLines w:val="0"/>
              <w:pageBreakBefore w:val="0"/>
              <w:kinsoku/>
              <w:wordWrap/>
              <w:overflowPunct/>
              <w:topLinePunct w:val="0"/>
              <w:autoSpaceDE/>
              <w:autoSpaceDN/>
              <w:bidi w:val="0"/>
              <w:adjustRightInd/>
              <w:snapToGrid/>
              <w:spacing w:line="400" w:lineRule="exact"/>
              <w:textAlignment w:val="auto"/>
              <w:rPr>
                <w:rFonts w:hint="default" w:ascii="宋体" w:hAnsi="宋体" w:eastAsia="宋体" w:cs="宋体"/>
                <w:color w:val="000000"/>
                <w:spacing w:val="12"/>
                <w:sz w:val="21"/>
                <w:szCs w:val="21"/>
                <w:highlight w:val="none"/>
                <w:lang w:val="en-US" w:eastAsia="zh-CN"/>
              </w:rPr>
            </w:pPr>
            <w:r>
              <w:rPr>
                <w:rFonts w:hint="eastAsia" w:ascii="宋体" w:hAnsi="宋体" w:eastAsia="宋体" w:cs="宋体"/>
                <w:color w:val="000000"/>
                <w:spacing w:val="2"/>
                <w:sz w:val="21"/>
                <w:szCs w:val="21"/>
                <w:highlight w:val="none"/>
                <w:lang w:val="en-US" w:eastAsia="zh-CN"/>
              </w:rPr>
              <w:t>（2）</w:t>
            </w:r>
            <w:r>
              <w:rPr>
                <w:rFonts w:hint="eastAsia" w:ascii="宋体" w:hAnsi="宋体" w:eastAsia="宋体" w:cs="宋体"/>
                <w:color w:val="000000"/>
                <w:spacing w:val="2"/>
                <w:sz w:val="21"/>
                <w:szCs w:val="21"/>
                <w:highlight w:val="none"/>
              </w:rPr>
              <w:t>动静脉插管</w:t>
            </w:r>
            <w:r>
              <w:rPr>
                <w:rFonts w:hint="eastAsia" w:ascii="宋体" w:hAnsi="宋体" w:eastAsia="宋体" w:cs="宋体"/>
                <w:color w:val="000000"/>
                <w:spacing w:val="12"/>
                <w:sz w:val="21"/>
                <w:szCs w:val="21"/>
                <w:highlight w:val="none"/>
              </w:rPr>
              <w:t>(静脉)</w:t>
            </w:r>
            <w:r>
              <w:rPr>
                <w:rFonts w:hint="eastAsia" w:cs="宋体"/>
                <w:color w:val="000000"/>
                <w:spacing w:val="12"/>
                <w:sz w:val="21"/>
                <w:szCs w:val="21"/>
                <w:highlight w:val="none"/>
                <w:lang w:val="en-US" w:eastAsia="zh-CN"/>
              </w:rPr>
              <w:t xml:space="preserve"> </w:t>
            </w:r>
            <w:r>
              <w:rPr>
                <w:rFonts w:hint="eastAsia" w:ascii="宋体" w:hAnsi="宋体" w:eastAsia="宋体" w:cs="宋体"/>
                <w:color w:val="000000"/>
                <w:spacing w:val="12"/>
                <w:sz w:val="21"/>
                <w:szCs w:val="21"/>
                <w:highlight w:val="none"/>
                <w:lang w:val="en-US" w:eastAsia="zh-CN"/>
              </w:rPr>
              <w:t>1个</w:t>
            </w:r>
            <w:r>
              <w:rPr>
                <w:rFonts w:hint="eastAsia" w:ascii="宋体" w:hAnsi="宋体" w:eastAsia="宋体" w:cs="宋体"/>
                <w:color w:val="000000"/>
                <w:sz w:val="21"/>
                <w:szCs w:val="21"/>
                <w:highlight w:val="none"/>
              </w:rPr>
              <w:t>≤</w:t>
            </w:r>
            <w:r>
              <w:rPr>
                <w:rFonts w:hint="eastAsia" w:cs="宋体"/>
                <w:color w:val="000000"/>
                <w:sz w:val="21"/>
                <w:szCs w:val="21"/>
                <w:highlight w:val="none"/>
                <w:lang w:val="en-US" w:eastAsia="zh-CN"/>
              </w:rPr>
              <w:t>6200</w:t>
            </w:r>
            <w:r>
              <w:rPr>
                <w:rFonts w:hint="eastAsia" w:ascii="宋体" w:hAnsi="宋体" w:cs="宋体"/>
                <w:color w:val="000000"/>
                <w:sz w:val="21"/>
                <w:szCs w:val="21"/>
                <w:highlight w:val="none"/>
                <w:lang w:val="en-US" w:eastAsia="zh-CN"/>
              </w:rPr>
              <w:t>元</w:t>
            </w:r>
          </w:p>
          <w:p w14:paraId="19796E28">
            <w:pPr>
              <w:pStyle w:val="259"/>
              <w:keepNext w:val="0"/>
              <w:keepLines w:val="0"/>
              <w:pageBreakBefore w:val="0"/>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一次性使用膜式氧合器</w:t>
            </w:r>
            <w:r>
              <w:rPr>
                <w:rFonts w:hint="eastAsia" w:ascii="宋体" w:hAnsi="宋体" w:eastAsia="宋体" w:cs="宋体"/>
                <w:color w:val="000000"/>
                <w:sz w:val="21"/>
                <w:szCs w:val="21"/>
                <w:highlight w:val="none"/>
                <w:lang w:val="en-US" w:eastAsia="zh-CN"/>
              </w:rPr>
              <w:t xml:space="preserve"> 1套</w:t>
            </w:r>
            <w:r>
              <w:rPr>
                <w:rFonts w:hint="eastAsia" w:ascii="宋体" w:hAnsi="宋体" w:eastAsia="宋体" w:cs="宋体"/>
                <w:color w:val="000000"/>
                <w:sz w:val="21"/>
                <w:szCs w:val="21"/>
                <w:highlight w:val="none"/>
              </w:rPr>
              <w:t>≤</w:t>
            </w:r>
            <w:r>
              <w:rPr>
                <w:rFonts w:hint="eastAsia" w:ascii="宋体" w:hAnsi="宋体" w:cs="宋体"/>
                <w:color w:val="000000"/>
                <w:sz w:val="21"/>
                <w:szCs w:val="21"/>
                <w:highlight w:val="none"/>
                <w:lang w:val="en-US" w:eastAsia="zh-CN"/>
              </w:rPr>
              <w:t>39500元</w:t>
            </w:r>
          </w:p>
          <w:p w14:paraId="2F234BAB">
            <w:pPr>
              <w:pStyle w:val="259"/>
              <w:keepNext w:val="0"/>
              <w:keepLines w:val="0"/>
              <w:pageBreakBefore w:val="0"/>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人工心肺机体外循环管道</w:t>
            </w:r>
            <w:r>
              <w:rPr>
                <w:rFonts w:hint="eastAsia" w:ascii="宋体" w:hAnsi="宋体" w:eastAsia="宋体" w:cs="宋体"/>
                <w:color w:val="000000"/>
                <w:sz w:val="21"/>
                <w:szCs w:val="21"/>
                <w:highlight w:val="none"/>
                <w:lang w:val="en-US" w:eastAsia="zh-CN"/>
              </w:rPr>
              <w:t xml:space="preserve"> 1套</w:t>
            </w:r>
            <w:r>
              <w:rPr>
                <w:rFonts w:hint="eastAsia" w:ascii="宋体" w:hAnsi="宋体" w:eastAsia="宋体" w:cs="宋体"/>
                <w:color w:val="000000"/>
                <w:sz w:val="21"/>
                <w:szCs w:val="21"/>
                <w:highlight w:val="none"/>
              </w:rPr>
              <w:t>≤</w:t>
            </w:r>
            <w:r>
              <w:rPr>
                <w:rFonts w:hint="eastAsia" w:ascii="宋体" w:hAnsi="宋体" w:cs="宋体"/>
                <w:color w:val="000000"/>
                <w:sz w:val="21"/>
                <w:szCs w:val="21"/>
                <w:highlight w:val="none"/>
                <w:lang w:val="en-US" w:eastAsia="zh-CN"/>
              </w:rPr>
              <w:t>1400元</w:t>
            </w:r>
          </w:p>
          <w:p w14:paraId="42F58D22">
            <w:pPr>
              <w:pStyle w:val="259"/>
              <w:keepNext w:val="0"/>
              <w:keepLines w:val="0"/>
              <w:pageBreakBefore w:val="0"/>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离心泵泵头</w:t>
            </w:r>
            <w:r>
              <w:rPr>
                <w:rFonts w:hint="eastAsia" w:ascii="宋体" w:hAnsi="宋体" w:eastAsia="宋体" w:cs="宋体"/>
                <w:color w:val="000000"/>
                <w:sz w:val="21"/>
                <w:szCs w:val="21"/>
                <w:highlight w:val="none"/>
                <w:lang w:val="en-US" w:eastAsia="zh-CN"/>
              </w:rPr>
              <w:t xml:space="preserve"> 1个</w:t>
            </w:r>
            <w:r>
              <w:rPr>
                <w:rFonts w:hint="eastAsia" w:ascii="宋体" w:hAnsi="宋体" w:eastAsia="宋体" w:cs="宋体"/>
                <w:color w:val="000000"/>
                <w:sz w:val="21"/>
                <w:szCs w:val="21"/>
                <w:highlight w:val="none"/>
              </w:rPr>
              <w:t>≤</w:t>
            </w:r>
            <w:r>
              <w:rPr>
                <w:rFonts w:hint="eastAsia" w:ascii="宋体" w:hAnsi="宋体" w:cs="宋体"/>
                <w:color w:val="000000"/>
                <w:sz w:val="21"/>
                <w:szCs w:val="21"/>
                <w:highlight w:val="none"/>
                <w:lang w:val="en-US" w:eastAsia="zh-CN"/>
              </w:rPr>
              <w:t>4500元</w:t>
            </w:r>
          </w:p>
          <w:p w14:paraId="4EC8501C">
            <w:pPr>
              <w:keepNext w:val="0"/>
              <w:keepLines w:val="0"/>
              <w:pageBreakBefore w:val="0"/>
              <w:widowControl/>
              <w:kinsoku/>
              <w:wordWrap/>
              <w:overflowPunct/>
              <w:topLinePunct w:val="0"/>
              <w:bidi w:val="0"/>
              <w:spacing w:line="380" w:lineRule="exact"/>
              <w:ind w:firstLine="13" w:firstLineChars="6"/>
              <w:rPr>
                <w:rFonts w:hint="default" w:ascii="宋体" w:hAnsi="宋体" w:eastAsia="宋体" w:cs="宋体"/>
                <w:color w:val="000000"/>
                <w:sz w:val="21"/>
                <w:szCs w:val="21"/>
                <w:highlight w:val="none"/>
                <w:lang w:val="en-US" w:eastAsia="zh-CN" w:bidi="ar"/>
              </w:rPr>
            </w:pPr>
            <w:r>
              <w:rPr>
                <w:rFonts w:hint="eastAsia" w:ascii="宋体" w:hAnsi="宋体" w:eastAsia="宋体" w:cs="宋体"/>
                <w:color w:val="000000"/>
                <w:spacing w:val="8"/>
                <w:sz w:val="21"/>
                <w:szCs w:val="21"/>
                <w:highlight w:val="none"/>
                <w:lang w:eastAsia="zh-CN"/>
              </w:rPr>
              <w:t>（</w:t>
            </w:r>
            <w:r>
              <w:rPr>
                <w:rFonts w:hint="eastAsia" w:ascii="宋体" w:hAnsi="宋体" w:eastAsia="宋体" w:cs="宋体"/>
                <w:color w:val="000000"/>
                <w:spacing w:val="8"/>
                <w:sz w:val="21"/>
                <w:szCs w:val="21"/>
                <w:highlight w:val="none"/>
                <w:lang w:val="en-US" w:eastAsia="zh-CN"/>
              </w:rPr>
              <w:t>6</w:t>
            </w:r>
            <w:r>
              <w:rPr>
                <w:rFonts w:hint="eastAsia" w:ascii="宋体" w:hAnsi="宋体" w:eastAsia="宋体" w:cs="宋体"/>
                <w:color w:val="000000"/>
                <w:spacing w:val="8"/>
                <w:sz w:val="21"/>
                <w:szCs w:val="21"/>
                <w:highlight w:val="none"/>
                <w:lang w:eastAsia="zh-CN"/>
              </w:rPr>
              <w:t>）</w:t>
            </w:r>
            <w:r>
              <w:rPr>
                <w:rFonts w:hint="eastAsia" w:ascii="宋体" w:hAnsi="宋体" w:eastAsia="宋体" w:cs="宋体"/>
                <w:color w:val="000000"/>
                <w:spacing w:val="8"/>
                <w:sz w:val="21"/>
                <w:szCs w:val="21"/>
                <w:highlight w:val="none"/>
              </w:rPr>
              <w:t>微创扩张引</w:t>
            </w:r>
            <w:r>
              <w:rPr>
                <w:rFonts w:hint="eastAsia" w:ascii="宋体" w:hAnsi="宋体" w:eastAsia="宋体" w:cs="宋体"/>
                <w:color w:val="000000"/>
                <w:spacing w:val="3"/>
                <w:sz w:val="21"/>
                <w:szCs w:val="21"/>
                <w:highlight w:val="none"/>
              </w:rPr>
              <w:t>流套件</w:t>
            </w:r>
            <w:r>
              <w:rPr>
                <w:rFonts w:hint="eastAsia" w:ascii="宋体" w:hAnsi="宋体" w:eastAsia="宋体" w:cs="宋体"/>
                <w:color w:val="000000"/>
                <w:spacing w:val="3"/>
                <w:sz w:val="21"/>
                <w:szCs w:val="21"/>
                <w:highlight w:val="none"/>
                <w:lang w:val="en-US" w:eastAsia="zh-CN"/>
              </w:rPr>
              <w:t xml:space="preserve"> 1套</w:t>
            </w:r>
            <w:r>
              <w:rPr>
                <w:rFonts w:hint="eastAsia" w:ascii="宋体" w:hAnsi="宋体" w:eastAsia="宋体" w:cs="宋体"/>
                <w:color w:val="000000"/>
                <w:sz w:val="21"/>
                <w:szCs w:val="21"/>
                <w:highlight w:val="none"/>
              </w:rPr>
              <w:t>≤</w:t>
            </w:r>
            <w:r>
              <w:rPr>
                <w:rFonts w:hint="eastAsia" w:ascii="宋体" w:hAnsi="宋体" w:cs="宋体"/>
                <w:color w:val="000000"/>
                <w:sz w:val="21"/>
                <w:szCs w:val="21"/>
                <w:highlight w:val="none"/>
                <w:lang w:val="en-US" w:eastAsia="zh-CN"/>
              </w:rPr>
              <w:t>84元</w:t>
            </w:r>
          </w:p>
        </w:tc>
      </w:tr>
      <w:tr w14:paraId="74A0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1949" w:type="dxa"/>
            <w:tcBorders>
              <w:top w:val="single" w:color="auto" w:sz="4" w:space="0"/>
              <w:left w:val="single" w:color="auto" w:sz="4" w:space="0"/>
              <w:bottom w:val="single" w:color="auto" w:sz="4" w:space="0"/>
              <w:right w:val="single" w:color="auto" w:sz="4" w:space="0"/>
            </w:tcBorders>
            <w:noWrap w:val="0"/>
            <w:vAlign w:val="center"/>
          </w:tcPr>
          <w:p w14:paraId="2DA3BB52">
            <w:pPr>
              <w:keepNext w:val="0"/>
              <w:keepLines w:val="0"/>
              <w:pageBreakBefore w:val="0"/>
              <w:overflowPunct/>
              <w:topLinePunct w:val="0"/>
              <w:bidi w:val="0"/>
              <w:spacing w:line="400" w:lineRule="exact"/>
              <w:jc w:val="center"/>
              <w:rPr>
                <w:rFonts w:hint="eastAsia" w:ascii="宋体" w:hAnsi="宋体" w:eastAsia="宋体" w:cs="宋体"/>
                <w:b/>
                <w:color w:val="000000"/>
                <w:sz w:val="21"/>
                <w:szCs w:val="21"/>
                <w:highlight w:val="none"/>
                <w:lang w:eastAsia="zh-CN" w:bidi="ar"/>
              </w:rPr>
            </w:pPr>
            <w:r>
              <w:rPr>
                <w:rFonts w:hint="eastAsia" w:ascii="宋体" w:hAnsi="宋体" w:eastAsia="宋体" w:cs="宋体"/>
                <w:b/>
                <w:color w:val="000000"/>
                <w:sz w:val="21"/>
                <w:szCs w:val="21"/>
                <w:highlight w:val="none"/>
                <w:lang w:eastAsia="zh-CN" w:bidi="ar"/>
              </w:rPr>
              <w:t>合同签订时间及</w:t>
            </w:r>
          </w:p>
          <w:p w14:paraId="7B3C24F1">
            <w:pPr>
              <w:keepNext w:val="0"/>
              <w:keepLines w:val="0"/>
              <w:pageBreakBefore w:val="0"/>
              <w:kinsoku/>
              <w:overflowPunct/>
              <w:topLinePunct w:val="0"/>
              <w:autoSpaceDE/>
              <w:autoSpaceDN/>
              <w:bidi w:val="0"/>
              <w:adjustRightInd/>
              <w:snapToGrid/>
              <w:spacing w:line="400" w:lineRule="exact"/>
              <w:ind w:firstLine="13" w:firstLineChars="6"/>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color w:val="000000"/>
                <w:sz w:val="21"/>
                <w:szCs w:val="21"/>
                <w:highlight w:val="none"/>
                <w:lang w:eastAsia="zh-CN" w:bidi="ar"/>
              </w:rPr>
              <w:t>地点</w:t>
            </w:r>
          </w:p>
        </w:tc>
        <w:tc>
          <w:tcPr>
            <w:tcW w:w="8144" w:type="dxa"/>
            <w:tcBorders>
              <w:top w:val="single" w:color="auto" w:sz="4" w:space="0"/>
              <w:left w:val="single" w:color="auto" w:sz="4" w:space="0"/>
              <w:bottom w:val="single" w:color="auto" w:sz="4" w:space="0"/>
              <w:right w:val="single" w:color="auto" w:sz="4" w:space="0"/>
            </w:tcBorders>
            <w:noWrap w:val="0"/>
            <w:vAlign w:val="center"/>
          </w:tcPr>
          <w:p w14:paraId="04A9F531">
            <w:pPr>
              <w:keepNext w:val="0"/>
              <w:keepLines w:val="0"/>
              <w:pageBreakBefore w:val="0"/>
              <w:widowControl/>
              <w:kinsoku/>
              <w:wordWrap/>
              <w:overflowPunct/>
              <w:topLinePunct w:val="0"/>
              <w:autoSpaceDE/>
              <w:autoSpaceDN/>
              <w:bidi w:val="0"/>
              <w:adjustRightInd/>
              <w:snapToGrid/>
              <w:spacing w:line="380" w:lineRule="exact"/>
              <w:ind w:firstLine="12" w:firstLineChars="6"/>
              <w:jc w:val="both"/>
              <w:textAlignment w:val="auto"/>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1</w:t>
            </w:r>
            <w:r>
              <w:rPr>
                <w:rFonts w:hint="eastAsia" w:ascii="宋体" w:hAnsi="宋体" w:eastAsia="宋体" w:cs="宋体"/>
                <w:color w:val="000000"/>
                <w:sz w:val="21"/>
                <w:szCs w:val="21"/>
                <w:highlight w:val="none"/>
                <w:lang w:val="en-US" w:eastAsia="zh-CN" w:bidi="ar"/>
              </w:rPr>
              <w:t>.</w:t>
            </w:r>
            <w:r>
              <w:rPr>
                <w:rFonts w:hint="eastAsia" w:ascii="宋体" w:hAnsi="宋体" w:eastAsia="宋体" w:cs="宋体"/>
                <w:color w:val="000000"/>
                <w:sz w:val="21"/>
                <w:szCs w:val="21"/>
                <w:highlight w:val="none"/>
                <w:lang w:eastAsia="zh-CN" w:bidi="ar"/>
              </w:rPr>
              <w:t>签订合同时间：自中标通知书发出之日25日内。</w:t>
            </w:r>
          </w:p>
          <w:p w14:paraId="68FE7239">
            <w:pPr>
              <w:keepNext w:val="0"/>
              <w:keepLines w:val="0"/>
              <w:pageBreakBefore w:val="0"/>
              <w:widowControl/>
              <w:kinsoku/>
              <w:wordWrap/>
              <w:overflowPunct/>
              <w:topLinePunct w:val="0"/>
              <w:autoSpaceDE/>
              <w:autoSpaceDN/>
              <w:bidi w:val="0"/>
              <w:adjustRightInd/>
              <w:snapToGrid/>
              <w:spacing w:line="380" w:lineRule="exact"/>
              <w:ind w:firstLine="12" w:firstLineChars="6"/>
              <w:jc w:val="both"/>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bidi="ar"/>
              </w:rPr>
              <w:t>2</w:t>
            </w:r>
            <w:r>
              <w:rPr>
                <w:rFonts w:hint="eastAsia" w:ascii="宋体" w:hAnsi="宋体" w:eastAsia="宋体" w:cs="宋体"/>
                <w:color w:val="000000"/>
                <w:sz w:val="21"/>
                <w:szCs w:val="21"/>
                <w:highlight w:val="none"/>
                <w:lang w:val="en-US" w:eastAsia="zh-CN" w:bidi="ar"/>
              </w:rPr>
              <w:t>.</w:t>
            </w:r>
            <w:r>
              <w:rPr>
                <w:rFonts w:hint="eastAsia" w:ascii="宋体" w:hAnsi="宋体" w:eastAsia="宋体" w:cs="宋体"/>
                <w:color w:val="000000"/>
                <w:sz w:val="21"/>
                <w:szCs w:val="21"/>
                <w:highlight w:val="none"/>
                <w:lang w:eastAsia="zh-CN" w:bidi="ar"/>
              </w:rPr>
              <w:t>签订合同地点：广西壮族自治区南溪山医院（广西壮族自治区第二人民医院）指定地点。</w:t>
            </w:r>
          </w:p>
        </w:tc>
      </w:tr>
      <w:tr w14:paraId="4414F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49" w:type="dxa"/>
            <w:tcBorders>
              <w:top w:val="single" w:color="auto" w:sz="4" w:space="0"/>
              <w:left w:val="single" w:color="auto" w:sz="4" w:space="0"/>
              <w:bottom w:val="single" w:color="auto" w:sz="4" w:space="0"/>
              <w:right w:val="single" w:color="auto" w:sz="4" w:space="0"/>
            </w:tcBorders>
            <w:noWrap w:val="0"/>
            <w:vAlign w:val="center"/>
          </w:tcPr>
          <w:p w14:paraId="0638D317">
            <w:pPr>
              <w:keepNext w:val="0"/>
              <w:keepLines w:val="0"/>
              <w:pageBreakBefore w:val="0"/>
              <w:kinsoku/>
              <w:overflowPunct/>
              <w:topLinePunct w:val="0"/>
              <w:bidi w:val="0"/>
              <w:spacing w:line="400" w:lineRule="exact"/>
              <w:ind w:left="13" w:leftChars="6"/>
              <w:jc w:val="center"/>
              <w:rPr>
                <w:rFonts w:hint="eastAsia" w:ascii="宋体" w:hAnsi="宋体" w:eastAsia="宋体" w:cs="宋体"/>
                <w:b w:val="0"/>
                <w:bCs w:val="0"/>
                <w:color w:val="000000"/>
                <w:kern w:val="0"/>
                <w:sz w:val="21"/>
                <w:szCs w:val="21"/>
                <w:highlight w:val="none"/>
                <w:lang w:eastAsia="zh-CN" w:bidi="ar"/>
              </w:rPr>
            </w:pPr>
            <w:r>
              <w:rPr>
                <w:rFonts w:hint="eastAsia" w:ascii="宋体" w:hAnsi="宋体" w:eastAsia="宋体" w:cs="宋体"/>
                <w:b/>
                <w:color w:val="000000"/>
                <w:sz w:val="21"/>
                <w:szCs w:val="21"/>
                <w:highlight w:val="none"/>
                <w:lang w:eastAsia="zh-CN" w:bidi="ar"/>
              </w:rPr>
              <w:t>包装和运输</w:t>
            </w:r>
          </w:p>
        </w:tc>
        <w:tc>
          <w:tcPr>
            <w:tcW w:w="8144" w:type="dxa"/>
            <w:tcBorders>
              <w:top w:val="single" w:color="auto" w:sz="4" w:space="0"/>
              <w:left w:val="single" w:color="auto" w:sz="4" w:space="0"/>
              <w:bottom w:val="single" w:color="auto" w:sz="4" w:space="0"/>
              <w:right w:val="single" w:color="auto" w:sz="4" w:space="0"/>
            </w:tcBorders>
            <w:noWrap w:val="0"/>
            <w:vAlign w:val="center"/>
          </w:tcPr>
          <w:p w14:paraId="6FF51C49">
            <w:pPr>
              <w:keepNext w:val="0"/>
              <w:keepLines w:val="0"/>
              <w:pageBreakBefore w:val="0"/>
              <w:widowControl/>
              <w:kinsoku/>
              <w:wordWrap/>
              <w:overflowPunct/>
              <w:topLinePunct w:val="0"/>
              <w:bidi w:val="0"/>
              <w:spacing w:line="380" w:lineRule="exact"/>
              <w:ind w:left="13" w:left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1.原厂原包装，包装完好、完整无破损、未开封。</w:t>
            </w:r>
          </w:p>
          <w:p w14:paraId="59A8D34D">
            <w:pPr>
              <w:keepNext w:val="0"/>
              <w:keepLines w:val="0"/>
              <w:pageBreakBefore w:val="0"/>
              <w:widowControl/>
              <w:kinsoku/>
              <w:wordWrap/>
              <w:overflowPunct/>
              <w:topLinePunct w:val="0"/>
              <w:bidi w:val="0"/>
              <w:spacing w:line="380" w:lineRule="exact"/>
              <w:ind w:left="13" w:left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2.包装及运输方式应综合考虑运输距离、防潮、防震、防锈和防破损装卸等要求。</w:t>
            </w:r>
          </w:p>
          <w:p w14:paraId="348EBC79">
            <w:pPr>
              <w:keepNext w:val="0"/>
              <w:keepLines w:val="0"/>
              <w:pageBreakBefore w:val="0"/>
              <w:widowControl/>
              <w:kinsoku/>
              <w:wordWrap/>
              <w:overflowPunct/>
              <w:topLinePunct w:val="0"/>
              <w:bidi w:val="0"/>
              <w:spacing w:line="380" w:lineRule="exact"/>
              <w:ind w:left="13" w:leftChars="6"/>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3.国家对包装及运输有相关强制性标准或要求的，中标人应当执行。</w:t>
            </w:r>
          </w:p>
          <w:p w14:paraId="732B43A9">
            <w:pPr>
              <w:keepNext w:val="0"/>
              <w:keepLines w:val="0"/>
              <w:pageBreakBefore w:val="0"/>
              <w:widowControl/>
              <w:kinsoku/>
              <w:wordWrap/>
              <w:overflowPunct/>
              <w:topLinePunct w:val="0"/>
              <w:bidi w:val="0"/>
              <w:spacing w:line="380" w:lineRule="exact"/>
              <w:ind w:left="13" w:leftChars="6"/>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bidi="ar"/>
              </w:rPr>
              <w:t>4.产品（含包装）运抵采购人指定交付地点前发生损坏的，相关损失由中标人自行承担。</w:t>
            </w:r>
          </w:p>
        </w:tc>
      </w:tr>
      <w:tr w14:paraId="5ACA9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949" w:type="dxa"/>
            <w:tcBorders>
              <w:top w:val="single" w:color="auto" w:sz="4" w:space="0"/>
              <w:left w:val="single" w:color="auto" w:sz="4" w:space="0"/>
              <w:bottom w:val="single" w:color="auto" w:sz="4" w:space="0"/>
              <w:right w:val="single" w:color="auto" w:sz="4" w:space="0"/>
            </w:tcBorders>
            <w:noWrap w:val="0"/>
            <w:vAlign w:val="center"/>
          </w:tcPr>
          <w:p w14:paraId="4F5FBFF6">
            <w:pPr>
              <w:keepNext w:val="0"/>
              <w:keepLines w:val="0"/>
              <w:pageBreakBefore w:val="0"/>
              <w:kinsoku/>
              <w:overflowPunct/>
              <w:topLinePunct w:val="0"/>
              <w:bidi w:val="0"/>
              <w:spacing w:line="400" w:lineRule="exact"/>
              <w:jc w:val="center"/>
              <w:rPr>
                <w:rFonts w:hint="eastAsia" w:ascii="宋体" w:hAnsi="宋体" w:eastAsia="宋体" w:cs="宋体"/>
                <w:b w:val="0"/>
                <w:bCs w:val="0"/>
                <w:color w:val="000000"/>
                <w:kern w:val="0"/>
                <w:sz w:val="21"/>
                <w:szCs w:val="21"/>
                <w:highlight w:val="none"/>
                <w:lang w:eastAsia="zh-CN" w:bidi="ar"/>
              </w:rPr>
            </w:pPr>
            <w:r>
              <w:rPr>
                <w:rFonts w:hint="eastAsia" w:ascii="宋体" w:hAnsi="宋体" w:eastAsia="宋体" w:cs="宋体"/>
                <w:b/>
                <w:color w:val="000000"/>
                <w:sz w:val="21"/>
                <w:szCs w:val="21"/>
                <w:highlight w:val="none"/>
                <w:lang w:eastAsia="zh-CN" w:bidi="ar"/>
              </w:rPr>
              <w:t>保险</w:t>
            </w:r>
          </w:p>
        </w:tc>
        <w:tc>
          <w:tcPr>
            <w:tcW w:w="8144" w:type="dxa"/>
            <w:tcBorders>
              <w:top w:val="single" w:color="auto" w:sz="4" w:space="0"/>
              <w:left w:val="single" w:color="auto" w:sz="4" w:space="0"/>
              <w:bottom w:val="single" w:color="auto" w:sz="4" w:space="0"/>
              <w:right w:val="single" w:color="auto" w:sz="4" w:space="0"/>
            </w:tcBorders>
            <w:noWrap w:val="0"/>
            <w:vAlign w:val="center"/>
          </w:tcPr>
          <w:p w14:paraId="59F446F0">
            <w:pPr>
              <w:keepNext w:val="0"/>
              <w:keepLines w:val="0"/>
              <w:pageBreakBefore w:val="0"/>
              <w:widowControl/>
              <w:kinsoku/>
              <w:wordWrap/>
              <w:overflowPunct/>
              <w:topLinePunct w:val="0"/>
              <w:bidi w:val="0"/>
              <w:spacing w:line="380" w:lineRule="exact"/>
              <w:rPr>
                <w:rFonts w:hint="eastAsia" w:ascii="宋体" w:hAnsi="宋体" w:eastAsia="宋体" w:cs="宋体"/>
                <w:bCs/>
                <w:color w:val="000000"/>
                <w:sz w:val="21"/>
                <w:szCs w:val="21"/>
                <w:highlight w:val="none"/>
              </w:rPr>
            </w:pPr>
            <w:r>
              <w:rPr>
                <w:rFonts w:hint="eastAsia" w:ascii="宋体" w:hAnsi="宋体" w:eastAsia="宋体" w:cs="宋体"/>
                <w:color w:val="000000"/>
                <w:sz w:val="21"/>
                <w:szCs w:val="21"/>
                <w:highlight w:val="none"/>
                <w:lang w:eastAsia="zh-CN" w:bidi="ar"/>
              </w:rPr>
              <w:t>若投标人为本项目标的及标的涉及的相关材料、设备、人员、运输等购买保险的，相关费用由投标人自行承担。</w:t>
            </w:r>
          </w:p>
        </w:tc>
      </w:tr>
      <w:tr w14:paraId="7643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949" w:type="dxa"/>
            <w:tcBorders>
              <w:top w:val="single" w:color="auto" w:sz="4" w:space="0"/>
              <w:left w:val="single" w:color="auto" w:sz="4" w:space="0"/>
              <w:bottom w:val="single" w:color="auto" w:sz="4" w:space="0"/>
              <w:right w:val="single" w:color="auto" w:sz="4" w:space="0"/>
            </w:tcBorders>
            <w:noWrap w:val="0"/>
            <w:vAlign w:val="center"/>
          </w:tcPr>
          <w:p w14:paraId="29D73569">
            <w:pPr>
              <w:keepNext w:val="0"/>
              <w:keepLines w:val="0"/>
              <w:pageBreakBefore w:val="0"/>
              <w:kinsoku/>
              <w:overflowPunct/>
              <w:topLinePunct w:val="0"/>
              <w:bidi w:val="0"/>
              <w:spacing w:line="400" w:lineRule="exact"/>
              <w:ind w:firstLine="13" w:firstLineChars="6"/>
              <w:jc w:val="center"/>
              <w:rPr>
                <w:rFonts w:hint="eastAsia" w:ascii="宋体" w:hAnsi="宋体" w:eastAsia="宋体" w:cs="宋体"/>
                <w:color w:val="000000"/>
                <w:kern w:val="0"/>
                <w:sz w:val="21"/>
                <w:szCs w:val="21"/>
                <w:highlight w:val="none"/>
              </w:rPr>
            </w:pPr>
            <w:r>
              <w:rPr>
                <w:rFonts w:hint="eastAsia" w:ascii="宋体" w:hAnsi="宋体" w:eastAsia="宋体" w:cs="宋体"/>
                <w:b/>
                <w:color w:val="000000"/>
                <w:sz w:val="21"/>
                <w:szCs w:val="21"/>
                <w:highlight w:val="none"/>
                <w:lang w:eastAsia="zh-CN" w:bidi="ar"/>
              </w:rPr>
              <w:t>验收标准</w:t>
            </w:r>
          </w:p>
        </w:tc>
        <w:tc>
          <w:tcPr>
            <w:tcW w:w="8144" w:type="dxa"/>
            <w:tcBorders>
              <w:top w:val="single" w:color="auto" w:sz="4" w:space="0"/>
              <w:left w:val="single" w:color="auto" w:sz="4" w:space="0"/>
              <w:bottom w:val="single" w:color="auto" w:sz="4" w:space="0"/>
              <w:right w:val="single" w:color="auto" w:sz="4" w:space="0"/>
            </w:tcBorders>
            <w:noWrap w:val="0"/>
            <w:vAlign w:val="center"/>
          </w:tcPr>
          <w:p w14:paraId="6A6C33AE">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（1）初步验收：</w:t>
            </w:r>
          </w:p>
          <w:p w14:paraId="70CF9AB6">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标的在规定的时间内到货，标的（含包装）完整、完好，与</w:t>
            </w:r>
            <w:r>
              <w:rPr>
                <w:rFonts w:hint="eastAsia" w:ascii="宋体" w:hAnsi="宋体" w:eastAsia="宋体" w:cs="宋体"/>
                <w:bCs/>
                <w:color w:val="000000"/>
                <w:sz w:val="21"/>
                <w:szCs w:val="21"/>
                <w:highlight w:val="none"/>
                <w:lang w:eastAsia="zh-CN"/>
              </w:rPr>
              <w:t>投标</w:t>
            </w:r>
            <w:r>
              <w:rPr>
                <w:rFonts w:hint="eastAsia" w:ascii="宋体" w:hAnsi="宋体" w:eastAsia="宋体" w:cs="宋体"/>
                <w:bCs/>
                <w:color w:val="000000"/>
                <w:sz w:val="21"/>
                <w:szCs w:val="21"/>
                <w:highlight w:val="none"/>
              </w:rPr>
              <w:t>承诺的产品（制造商、品牌、规格型号等）一致，标的无明显瑕疵、无损坏，装箱清单、用户手册、原厂保修卡、安装操作使用和维护手册、随机资料等所有技术资料、工具和备品、备件齐全。全部满足以上情形的，视为初步验收合格，标的不符合上述情形的，采购人在初步验收后七个工作日内以书面形式向</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提出，</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应自收到采购人书面异议后七个工作日内及时予以解决，否则，视为初步验收不合格，不予进行交付验收。</w:t>
            </w:r>
          </w:p>
          <w:p w14:paraId="575E265A">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（2）交付验收：</w:t>
            </w:r>
          </w:p>
          <w:p w14:paraId="5BB6A76B">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标的的技术指标与</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的</w:t>
            </w:r>
            <w:r>
              <w:rPr>
                <w:rFonts w:hint="eastAsia" w:ascii="宋体" w:hAnsi="宋体" w:eastAsia="宋体" w:cs="宋体"/>
                <w:bCs/>
                <w:color w:val="000000"/>
                <w:sz w:val="21"/>
                <w:szCs w:val="21"/>
                <w:highlight w:val="none"/>
                <w:lang w:eastAsia="zh-CN"/>
              </w:rPr>
              <w:t>投标</w:t>
            </w:r>
            <w:r>
              <w:rPr>
                <w:rFonts w:hint="eastAsia" w:ascii="宋体" w:hAnsi="宋体" w:eastAsia="宋体" w:cs="宋体"/>
                <w:bCs/>
                <w:color w:val="000000"/>
                <w:sz w:val="21"/>
                <w:szCs w:val="21"/>
                <w:highlight w:val="none"/>
              </w:rPr>
              <w:t>承诺一致或更高，且满足采购文件全部实质性要求，视为交付验收合格。标的不符合上述情形的，采购人在交付验收后七个工作日内以书面形式向</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提出，</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应自收到采购人书面异议后七个工作日内及时予以解决，否则，视为交付验收不合格。</w:t>
            </w:r>
          </w:p>
          <w:p w14:paraId="39454F31">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（3）最终验收：</w:t>
            </w:r>
          </w:p>
          <w:p w14:paraId="47BD5E03">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标的交付验收合格投入使用后，</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提供的售后服务与其</w:t>
            </w:r>
            <w:r>
              <w:rPr>
                <w:rFonts w:hint="eastAsia" w:ascii="宋体" w:hAnsi="宋体" w:eastAsia="宋体" w:cs="宋体"/>
                <w:bCs/>
                <w:color w:val="000000"/>
                <w:sz w:val="21"/>
                <w:szCs w:val="21"/>
                <w:highlight w:val="none"/>
                <w:lang w:eastAsia="zh-CN"/>
              </w:rPr>
              <w:t>投标</w:t>
            </w:r>
            <w:r>
              <w:rPr>
                <w:rFonts w:hint="eastAsia" w:ascii="宋体" w:hAnsi="宋体" w:eastAsia="宋体" w:cs="宋体"/>
                <w:bCs/>
                <w:color w:val="000000"/>
                <w:sz w:val="21"/>
                <w:szCs w:val="21"/>
                <w:highlight w:val="none"/>
              </w:rPr>
              <w:t>承诺一致或更优，且</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履行完合同约定的应当由</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履行的全部事项之，视为最终验收合格。</w:t>
            </w:r>
          </w:p>
          <w:p w14:paraId="7BC5556B">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（4）其他事项：</w:t>
            </w:r>
          </w:p>
          <w:p w14:paraId="671595FC">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1）验收时，双方应当派员在场，并对验收结果签署意见，否则视为其同意验收结果。</w:t>
            </w:r>
          </w:p>
          <w:p w14:paraId="44580FE9">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2）由于</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的原因造成采购人验收不合格、影响采购人正常使用的，由此造成的损失由</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承担。初步验收或交付验收不合格的，采购人有权终止合同并全部退货，同时报相关监督管理部门处理，由此造成甲方经济损失的由</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负责承担全部赔偿责任。</w:t>
            </w:r>
          </w:p>
          <w:p w14:paraId="6633071B">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3）对技术复杂的货物，采购人可请国家认可的专业检测机构参与初步验收及交付验收，并由其出具质量检测报告，费用由</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承担。</w:t>
            </w:r>
          </w:p>
          <w:p w14:paraId="19DEC7BD">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4）验收过程中所产生的一切费用均由</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承担，</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在</w:t>
            </w:r>
            <w:r>
              <w:rPr>
                <w:rFonts w:hint="eastAsia" w:ascii="宋体" w:hAnsi="宋体" w:eastAsia="宋体" w:cs="宋体"/>
                <w:bCs/>
                <w:color w:val="000000"/>
                <w:sz w:val="21"/>
                <w:szCs w:val="21"/>
                <w:highlight w:val="none"/>
                <w:lang w:eastAsia="zh-CN"/>
              </w:rPr>
              <w:t>投标报价</w:t>
            </w:r>
            <w:r>
              <w:rPr>
                <w:rFonts w:hint="eastAsia" w:ascii="宋体" w:hAnsi="宋体" w:eastAsia="宋体" w:cs="宋体"/>
                <w:bCs/>
                <w:color w:val="000000"/>
                <w:sz w:val="21"/>
                <w:szCs w:val="21"/>
                <w:highlight w:val="none"/>
              </w:rPr>
              <w:t>时应综合考虑相关费用。</w:t>
            </w:r>
          </w:p>
          <w:p w14:paraId="4210986D">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5）采购人对产品的验收不免除</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的质量保证责任。</w:t>
            </w:r>
          </w:p>
          <w:p w14:paraId="2C14A869">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6）其他未尽事宜应严格按照《关于印发广西壮族自治区政府采购项目履约验收管理办法的通知》[桂财采〔2015〕22号]以及《财政部关于进一步加强政府采购需求和履约验收管理的指导意见》[财库〔2016〕205号]规定执行。</w:t>
            </w:r>
          </w:p>
          <w:p w14:paraId="5C836F9C">
            <w:pPr>
              <w:keepNext w:val="0"/>
              <w:keepLines w:val="0"/>
              <w:pageBreakBefore w:val="0"/>
              <w:widowControl/>
              <w:kinsoku/>
              <w:wordWrap/>
              <w:overflowPunct/>
              <w:topLinePunct w:val="0"/>
              <w:bidi w:val="0"/>
              <w:spacing w:line="380" w:lineRule="exact"/>
              <w:ind w:firstLine="12" w:firstLineChars="6"/>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7）验收产生的费用</w:t>
            </w:r>
            <w:r>
              <w:rPr>
                <w:rFonts w:hint="eastAsia" w:ascii="宋体" w:hAnsi="宋体" w:eastAsia="宋体" w:cs="宋体"/>
                <w:bCs/>
                <w:color w:val="000000"/>
                <w:sz w:val="21"/>
                <w:szCs w:val="21"/>
                <w:highlight w:val="none"/>
                <w:lang w:eastAsia="zh-CN"/>
              </w:rPr>
              <w:t>中标人</w:t>
            </w:r>
            <w:r>
              <w:rPr>
                <w:rFonts w:hint="eastAsia" w:ascii="宋体" w:hAnsi="宋体" w:eastAsia="宋体" w:cs="宋体"/>
                <w:bCs/>
                <w:color w:val="000000"/>
                <w:sz w:val="21"/>
                <w:szCs w:val="21"/>
                <w:highlight w:val="none"/>
              </w:rPr>
              <w:t>负责。</w:t>
            </w:r>
          </w:p>
        </w:tc>
      </w:tr>
      <w:tr w14:paraId="1274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949" w:type="dxa"/>
            <w:tcBorders>
              <w:top w:val="single" w:color="auto" w:sz="4" w:space="0"/>
              <w:left w:val="single" w:color="auto" w:sz="4" w:space="0"/>
              <w:bottom w:val="single" w:color="auto" w:sz="4" w:space="0"/>
              <w:right w:val="single" w:color="auto" w:sz="4" w:space="0"/>
            </w:tcBorders>
            <w:noWrap w:val="0"/>
            <w:vAlign w:val="center"/>
          </w:tcPr>
          <w:p w14:paraId="7FB77497">
            <w:pPr>
              <w:keepNext w:val="0"/>
              <w:keepLines w:val="0"/>
              <w:pageBreakBefore w:val="0"/>
              <w:kinsoku/>
              <w:overflowPunct/>
              <w:topLinePunct w:val="0"/>
              <w:bidi w:val="0"/>
              <w:spacing w:line="400" w:lineRule="exact"/>
              <w:ind w:firstLine="13" w:firstLineChars="6"/>
              <w:jc w:val="center"/>
              <w:outlineLvl w:val="0"/>
              <w:rPr>
                <w:rFonts w:hint="eastAsia" w:ascii="宋体" w:hAnsi="宋体" w:eastAsia="宋体" w:cs="宋体"/>
                <w:color w:val="000000"/>
                <w:kern w:val="0"/>
                <w:sz w:val="21"/>
                <w:szCs w:val="21"/>
                <w:highlight w:val="none"/>
              </w:rPr>
            </w:pPr>
            <w:r>
              <w:rPr>
                <w:rFonts w:hint="eastAsia" w:ascii="宋体" w:hAnsi="宋体" w:eastAsia="宋体" w:cs="宋体"/>
                <w:b/>
                <w:color w:val="000000"/>
                <w:sz w:val="21"/>
                <w:szCs w:val="21"/>
                <w:highlight w:val="none"/>
                <w:lang w:eastAsia="zh-CN" w:bidi="ar"/>
              </w:rPr>
              <w:t>其他要求</w:t>
            </w:r>
          </w:p>
        </w:tc>
        <w:tc>
          <w:tcPr>
            <w:tcW w:w="8144" w:type="dxa"/>
            <w:tcBorders>
              <w:top w:val="single" w:color="auto" w:sz="4" w:space="0"/>
              <w:left w:val="single" w:color="auto" w:sz="4" w:space="0"/>
              <w:bottom w:val="single" w:color="auto" w:sz="4" w:space="0"/>
              <w:right w:val="single" w:color="auto" w:sz="4" w:space="0"/>
            </w:tcBorders>
            <w:noWrap w:val="0"/>
            <w:vAlign w:val="center"/>
          </w:tcPr>
          <w:p w14:paraId="64750330">
            <w:pPr>
              <w:keepNext w:val="0"/>
              <w:keepLines w:val="0"/>
              <w:pageBreakBefore w:val="0"/>
              <w:widowControl/>
              <w:kinsoku/>
              <w:wordWrap/>
              <w:overflowPunct/>
              <w:topLinePunct w:val="0"/>
              <w:bidi w:val="0"/>
              <w:adjustRightInd/>
              <w:snapToGrid/>
              <w:spacing w:line="380" w:lineRule="exact"/>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1.本分标最高限价金额：1650000元</w:t>
            </w:r>
            <w:r>
              <w:rPr>
                <w:rFonts w:hint="eastAsia" w:ascii="宋体" w:hAnsi="宋体" w:eastAsia="宋体" w:cs="宋体"/>
                <w:color w:val="000000"/>
                <w:sz w:val="21"/>
                <w:szCs w:val="21"/>
                <w:highlight w:val="none"/>
                <w:lang w:val="en-US" w:eastAsia="zh-CN"/>
              </w:rPr>
              <w:t>，</w:t>
            </w:r>
            <w:r>
              <w:rPr>
                <w:rFonts w:hint="eastAsia" w:ascii="宋体" w:hAnsi="宋体" w:eastAsia="宋体" w:cs="宋体"/>
                <w:b/>
                <w:bCs/>
                <w:color w:val="000000"/>
                <w:sz w:val="21"/>
                <w:szCs w:val="21"/>
                <w:highlight w:val="none"/>
              </w:rPr>
              <w:t>投标报价超出最高限价金额的，投标文件作无效处理。</w:t>
            </w:r>
          </w:p>
          <w:p w14:paraId="5B6BC95B">
            <w:pPr>
              <w:keepNext w:val="0"/>
              <w:keepLines w:val="0"/>
              <w:pageBreakBefore w:val="0"/>
              <w:widowControl/>
              <w:kinsoku/>
              <w:wordWrap/>
              <w:overflowPunct/>
              <w:topLinePunct w:val="0"/>
              <w:bidi w:val="0"/>
              <w:spacing w:line="380" w:lineRule="exact"/>
              <w:ind w:firstLine="12" w:firstLineChars="6"/>
              <w:jc w:val="both"/>
              <w:outlineLvl w:val="0"/>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2.</w:t>
            </w:r>
            <w:r>
              <w:rPr>
                <w:rFonts w:hint="eastAsia" w:ascii="宋体" w:hAnsi="宋体" w:eastAsia="宋体" w:cs="宋体"/>
                <w:b w:val="0"/>
                <w:bCs/>
                <w:color w:val="000000"/>
                <w:sz w:val="21"/>
                <w:szCs w:val="21"/>
                <w:highlight w:val="none"/>
                <w:lang w:eastAsia="zh-CN"/>
              </w:rPr>
              <w:t>投标人必须承诺设备验收合格后免费对采购人的使用人员进行操作及相关知识的培训，并确保设备有1～2人能熟练使用设备，并能排除简单的软硬件故障。</w:t>
            </w:r>
          </w:p>
          <w:p w14:paraId="0859741D">
            <w:pPr>
              <w:keepNext w:val="0"/>
              <w:keepLines w:val="0"/>
              <w:pageBreakBefore w:val="0"/>
              <w:widowControl/>
              <w:kinsoku/>
              <w:wordWrap/>
              <w:overflowPunct/>
              <w:topLinePunct w:val="0"/>
              <w:bidi w:val="0"/>
              <w:spacing w:line="380" w:lineRule="exact"/>
              <w:ind w:firstLine="12" w:firstLineChars="6"/>
              <w:jc w:val="both"/>
              <w:outlineLvl w:val="0"/>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3.</w:t>
            </w:r>
            <w:r>
              <w:rPr>
                <w:rFonts w:hint="eastAsia" w:ascii="宋体" w:hAnsi="宋体" w:eastAsia="宋体" w:cs="宋体"/>
                <w:b w:val="0"/>
                <w:bCs/>
                <w:color w:val="000000"/>
                <w:sz w:val="21"/>
                <w:szCs w:val="21"/>
                <w:highlight w:val="none"/>
                <w:lang w:eastAsia="zh-CN"/>
              </w:rPr>
              <w:t>设备必须是全新、完整、未使用过的产品；设备到货后，供应商和购买方应在现场进行清点；清点过程中如果发现因包装或运输不当引起的仪器外观或内部的损坏，供应商应负责更换；若发现错发/漏发情况，供应商应负责更换和补发。</w:t>
            </w:r>
          </w:p>
          <w:p w14:paraId="11DDF649">
            <w:pPr>
              <w:keepNext w:val="0"/>
              <w:keepLines w:val="0"/>
              <w:pageBreakBefore w:val="0"/>
              <w:widowControl/>
              <w:kinsoku/>
              <w:wordWrap/>
              <w:overflowPunct/>
              <w:topLinePunct w:val="0"/>
              <w:bidi w:val="0"/>
              <w:spacing w:line="380" w:lineRule="exact"/>
              <w:ind w:firstLine="12" w:firstLineChars="6"/>
              <w:jc w:val="both"/>
              <w:outlineLvl w:val="0"/>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4.</w:t>
            </w:r>
            <w:r>
              <w:rPr>
                <w:rFonts w:hint="eastAsia" w:ascii="宋体" w:hAnsi="宋体" w:eastAsia="宋体" w:cs="宋体"/>
                <w:b w:val="0"/>
                <w:bCs/>
                <w:color w:val="000000"/>
                <w:sz w:val="21"/>
                <w:szCs w:val="21"/>
                <w:highlight w:val="none"/>
                <w:lang w:eastAsia="zh-CN"/>
              </w:rPr>
              <w:t>安装标准及验收标准：符合我国国家有关技术规范和技术标准；设备安装后，医院按国际和国家标准及厂方标准进行质量验收；卖方应向买方提供详细的验收标准、验收手册。</w:t>
            </w:r>
          </w:p>
          <w:p w14:paraId="2E7E9ACE">
            <w:pPr>
              <w:keepNext w:val="0"/>
              <w:keepLines w:val="0"/>
              <w:pageBreakBefore w:val="0"/>
              <w:widowControl/>
              <w:kinsoku/>
              <w:wordWrap/>
              <w:overflowPunct/>
              <w:topLinePunct w:val="0"/>
              <w:bidi w:val="0"/>
              <w:spacing w:line="380" w:lineRule="exact"/>
              <w:ind w:firstLine="12" w:firstLineChars="6"/>
              <w:jc w:val="both"/>
              <w:outlineLvl w:val="0"/>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5.</w:t>
            </w:r>
            <w:r>
              <w:rPr>
                <w:rFonts w:hint="eastAsia" w:ascii="宋体" w:hAnsi="宋体" w:eastAsia="宋体" w:cs="宋体"/>
                <w:b w:val="0"/>
                <w:bCs/>
                <w:color w:val="000000"/>
                <w:sz w:val="21"/>
                <w:szCs w:val="21"/>
                <w:highlight w:val="none"/>
                <w:lang w:eastAsia="zh-CN"/>
              </w:rPr>
              <w:t>采购人在中华人民共和国境内使用中标人提供的产品及服务时免受第三方提出的侵犯其专利权或其它知识产权的起诉。如果第三方提出侵权指控，中标人应承担由此而引起的一切法律责任和费用。</w:t>
            </w:r>
          </w:p>
          <w:p w14:paraId="72A2576B">
            <w:pPr>
              <w:keepNext w:val="0"/>
              <w:keepLines w:val="0"/>
              <w:pageBreakBefore w:val="0"/>
              <w:widowControl/>
              <w:kinsoku/>
              <w:wordWrap/>
              <w:overflowPunct/>
              <w:topLinePunct w:val="0"/>
              <w:bidi w:val="0"/>
              <w:spacing w:line="380" w:lineRule="exact"/>
              <w:ind w:firstLine="12" w:firstLineChars="6"/>
              <w:jc w:val="both"/>
              <w:outlineLvl w:val="0"/>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6.</w:t>
            </w:r>
            <w:r>
              <w:rPr>
                <w:rFonts w:hint="eastAsia" w:ascii="宋体" w:hAnsi="宋体" w:eastAsia="宋体" w:cs="宋体"/>
                <w:b w:val="0"/>
                <w:bCs/>
                <w:color w:val="000000"/>
                <w:sz w:val="21"/>
                <w:szCs w:val="21"/>
                <w:highlight w:val="none"/>
                <w:lang w:eastAsia="zh-CN"/>
              </w:rPr>
              <w:t>在货物验收时候，如发现存在虚假响应，采购人将终止合同，并上报监督管理部门进行处罚。</w:t>
            </w:r>
          </w:p>
          <w:p w14:paraId="4819B056">
            <w:pPr>
              <w:keepNext w:val="0"/>
              <w:keepLines w:val="0"/>
              <w:pageBreakBefore w:val="0"/>
              <w:widowControl/>
              <w:kinsoku/>
              <w:wordWrap/>
              <w:overflowPunct/>
              <w:topLinePunct w:val="0"/>
              <w:bidi w:val="0"/>
              <w:spacing w:line="380" w:lineRule="exact"/>
              <w:ind w:firstLine="12" w:firstLineChars="6"/>
              <w:jc w:val="both"/>
              <w:outlineLvl w:val="0"/>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7.</w:t>
            </w:r>
            <w:r>
              <w:rPr>
                <w:rFonts w:hint="eastAsia" w:ascii="宋体" w:hAnsi="宋体" w:eastAsia="宋体" w:cs="宋体"/>
                <w:b w:val="0"/>
                <w:bCs/>
                <w:color w:val="000000"/>
                <w:sz w:val="21"/>
                <w:szCs w:val="21"/>
                <w:highlight w:val="none"/>
                <w:lang w:eastAsia="zh-CN"/>
              </w:rPr>
              <w:t>交钥匙工程：中标人负责全部产品的安装调试后直接交付运行。在保修期内，中标人保证采购人能够合法应用该器械/服务。在此过程中，采购人应当提供一切必要支持。若可能出现的后续证件、手续，中标人必须提供办理的流程及方法。</w:t>
            </w:r>
          </w:p>
          <w:p w14:paraId="011C7331">
            <w:pPr>
              <w:keepNext w:val="0"/>
              <w:keepLines w:val="0"/>
              <w:pageBreakBefore w:val="0"/>
              <w:widowControl/>
              <w:kinsoku/>
              <w:wordWrap/>
              <w:overflowPunct/>
              <w:topLinePunct w:val="0"/>
              <w:bidi w:val="0"/>
              <w:spacing w:line="380" w:lineRule="exact"/>
              <w:ind w:firstLine="12" w:firstLineChars="6"/>
              <w:jc w:val="both"/>
              <w:outlineLvl w:val="0"/>
              <w:rPr>
                <w:rFonts w:hint="eastAsia" w:ascii="宋体" w:hAnsi="宋体" w:eastAsia="宋体" w:cs="宋体"/>
                <w:bCs/>
                <w:color w:val="000000"/>
                <w:sz w:val="21"/>
                <w:szCs w:val="21"/>
                <w:highlight w:val="none"/>
              </w:rPr>
            </w:pPr>
            <w:r>
              <w:rPr>
                <w:rFonts w:hint="eastAsia" w:ascii="宋体" w:hAnsi="宋体" w:eastAsia="宋体" w:cs="宋体"/>
                <w:b w:val="0"/>
                <w:bCs/>
                <w:color w:val="000000"/>
                <w:sz w:val="21"/>
                <w:szCs w:val="21"/>
                <w:highlight w:val="none"/>
                <w:lang w:val="en-US" w:eastAsia="zh-CN"/>
              </w:rPr>
              <w:t>8.</w:t>
            </w:r>
            <w:r>
              <w:rPr>
                <w:rFonts w:hint="eastAsia" w:ascii="宋体" w:hAnsi="宋体" w:eastAsia="宋体" w:cs="宋体"/>
                <w:b w:val="0"/>
                <w:bCs/>
                <w:color w:val="000000"/>
                <w:sz w:val="21"/>
                <w:szCs w:val="21"/>
                <w:highlight w:val="none"/>
                <w:lang w:eastAsia="zh-CN"/>
              </w:rPr>
              <w:t>本项目采购标的需执行的国家相关标准、行业标准、地方标准或其他强制性标准、规范等要求。</w:t>
            </w:r>
          </w:p>
        </w:tc>
      </w:tr>
      <w:bookmarkEnd w:id="12"/>
      <w:bookmarkEnd w:id="13"/>
    </w:tbl>
    <w:p w14:paraId="26410503">
      <w:pPr>
        <w:rPr>
          <w:rFonts w:ascii="Arial" w:hAnsi="Arial" w:cs="Arial"/>
          <w:color w:val="000000" w:themeColor="text1"/>
          <w:sz w:val="32"/>
          <w:szCs w:val="32"/>
          <w14:textFill>
            <w14:solidFill>
              <w14:schemeClr w14:val="tx1"/>
            </w14:solidFill>
          </w14:textFill>
        </w:rPr>
      </w:pPr>
      <w:r>
        <w:rPr>
          <w:rFonts w:ascii="Arial" w:hAnsi="Arial" w:cs="Arial"/>
          <w:color w:val="000000" w:themeColor="text1"/>
          <w:sz w:val="32"/>
          <w:szCs w:val="32"/>
          <w14:textFill>
            <w14:solidFill>
              <w14:schemeClr w14:val="tx1"/>
            </w14:solidFill>
          </w14:textFill>
        </w:rPr>
        <w:br w:type="page"/>
      </w:r>
    </w:p>
    <w:p w14:paraId="304ECAA1">
      <w:pPr>
        <w:pStyle w:val="3"/>
      </w:pPr>
    </w:p>
    <w:p w14:paraId="7FD0E553">
      <w:pPr>
        <w:pStyle w:val="30"/>
        <w:snapToGrid w:val="0"/>
        <w:spacing w:before="120" w:after="120" w:line="320" w:lineRule="exact"/>
        <w:jc w:val="center"/>
        <w:outlineLvl w:val="0"/>
        <w:rPr>
          <w:rFonts w:ascii="Arial" w:hAnsi="Arial" w:cs="Arial"/>
          <w:color w:val="000000" w:themeColor="text1"/>
          <w:sz w:val="32"/>
          <w:szCs w:val="32"/>
          <w14:textFill>
            <w14:solidFill>
              <w14:schemeClr w14:val="tx1"/>
            </w14:solidFill>
          </w14:textFill>
        </w:rPr>
      </w:pPr>
      <w:bookmarkStart w:id="14" w:name="_Toc13905"/>
      <w:r>
        <w:rPr>
          <w:rFonts w:ascii="Arial" w:hAnsi="Arial" w:cs="Arial"/>
          <w:color w:val="000000" w:themeColor="text1"/>
          <w:sz w:val="32"/>
          <w:szCs w:val="32"/>
          <w14:textFill>
            <w14:solidFill>
              <w14:schemeClr w14:val="tx1"/>
            </w14:solidFill>
          </w14:textFill>
        </w:rPr>
        <w:t>第三章  供应商须知</w:t>
      </w:r>
      <w:bookmarkEnd w:id="14"/>
      <w:bookmarkStart w:id="15" w:name="_Toc254970667"/>
      <w:bookmarkStart w:id="16" w:name="_Toc254970526"/>
    </w:p>
    <w:bookmarkEnd w:id="15"/>
    <w:bookmarkEnd w:id="16"/>
    <w:p w14:paraId="37EEB666">
      <w:pPr>
        <w:jc w:val="center"/>
        <w:rPr>
          <w:rFonts w:ascii="Arial" w:hAnsi="Arial" w:cs="Arial"/>
          <w:color w:val="000000" w:themeColor="text1"/>
          <w:sz w:val="28"/>
          <w:szCs w:val="36"/>
          <w14:textFill>
            <w14:solidFill>
              <w14:schemeClr w14:val="tx1"/>
            </w14:solidFill>
          </w14:textFill>
        </w:rPr>
      </w:pPr>
      <w:bookmarkStart w:id="17" w:name="_投标人须知前附表"/>
      <w:bookmarkEnd w:id="17"/>
      <w:bookmarkStart w:id="18" w:name="_Hlk19048934"/>
      <w:r>
        <w:rPr>
          <w:rFonts w:ascii="Arial" w:hAnsi="Arial" w:cs="Arial"/>
          <w:color w:val="000000" w:themeColor="text1"/>
          <w:sz w:val="28"/>
          <w:szCs w:val="36"/>
          <w14:textFill>
            <w14:solidFill>
              <w14:schemeClr w14:val="tx1"/>
            </w14:solidFill>
          </w14:textFill>
        </w:rPr>
        <w:t>供应商须知前附表</w:t>
      </w:r>
    </w:p>
    <w:tbl>
      <w:tblPr>
        <w:tblStyle w:val="54"/>
        <w:tblW w:w="10101"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5"/>
        <w:gridCol w:w="1230"/>
        <w:gridCol w:w="8116"/>
      </w:tblGrid>
      <w:tr w14:paraId="640899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755" w:type="dxa"/>
            <w:tcBorders>
              <w:top w:val="single" w:color="auto" w:sz="4" w:space="0"/>
              <w:left w:val="single" w:color="auto" w:sz="4" w:space="0"/>
              <w:bottom w:val="single" w:color="auto" w:sz="4" w:space="0"/>
              <w:right w:val="single" w:color="auto" w:sz="4" w:space="0"/>
            </w:tcBorders>
            <w:vAlign w:val="center"/>
          </w:tcPr>
          <w:p w14:paraId="7DAADCB4">
            <w:pPr>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条款号</w:t>
            </w:r>
          </w:p>
        </w:tc>
        <w:tc>
          <w:tcPr>
            <w:tcW w:w="1230" w:type="dxa"/>
            <w:tcBorders>
              <w:top w:val="single" w:color="auto" w:sz="4" w:space="0"/>
              <w:left w:val="single" w:color="auto" w:sz="4" w:space="0"/>
              <w:bottom w:val="single" w:color="auto" w:sz="4" w:space="0"/>
              <w:right w:val="single" w:color="auto" w:sz="4" w:space="0"/>
            </w:tcBorders>
            <w:vAlign w:val="center"/>
          </w:tcPr>
          <w:p w14:paraId="654EC849">
            <w:pPr>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要点</w:t>
            </w:r>
          </w:p>
        </w:tc>
        <w:tc>
          <w:tcPr>
            <w:tcW w:w="8116" w:type="dxa"/>
            <w:tcBorders>
              <w:top w:val="single" w:color="auto" w:sz="4" w:space="0"/>
              <w:left w:val="single" w:color="auto" w:sz="4" w:space="0"/>
              <w:bottom w:val="single" w:color="auto" w:sz="4" w:space="0"/>
              <w:right w:val="single" w:color="auto" w:sz="4" w:space="0"/>
            </w:tcBorders>
            <w:vAlign w:val="center"/>
          </w:tcPr>
          <w:p w14:paraId="62A9AD42">
            <w:pPr>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内容、要求</w:t>
            </w:r>
          </w:p>
        </w:tc>
      </w:tr>
      <w:tr w14:paraId="36F460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55" w:type="dxa"/>
            <w:tcBorders>
              <w:top w:val="single" w:color="auto" w:sz="4" w:space="0"/>
              <w:left w:val="single" w:color="auto" w:sz="4" w:space="0"/>
              <w:bottom w:val="single" w:color="auto" w:sz="4" w:space="0"/>
              <w:right w:val="single" w:color="auto" w:sz="4" w:space="0"/>
            </w:tcBorders>
            <w:vAlign w:val="center"/>
          </w:tcPr>
          <w:p w14:paraId="594F490C">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1.3.1</w:t>
            </w:r>
          </w:p>
        </w:tc>
        <w:tc>
          <w:tcPr>
            <w:tcW w:w="1230" w:type="dxa"/>
            <w:tcBorders>
              <w:top w:val="single" w:color="auto" w:sz="4" w:space="0"/>
              <w:left w:val="single" w:color="auto" w:sz="4" w:space="0"/>
              <w:bottom w:val="single" w:color="auto" w:sz="4" w:space="0"/>
              <w:right w:val="single" w:color="auto" w:sz="4" w:space="0"/>
            </w:tcBorders>
            <w:vAlign w:val="center"/>
          </w:tcPr>
          <w:p w14:paraId="1206F5D2">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项目基本信息</w:t>
            </w:r>
          </w:p>
        </w:tc>
        <w:tc>
          <w:tcPr>
            <w:tcW w:w="8116" w:type="dxa"/>
            <w:tcBorders>
              <w:top w:val="single" w:color="auto" w:sz="4" w:space="0"/>
              <w:left w:val="single" w:color="auto" w:sz="4" w:space="0"/>
              <w:bottom w:val="single" w:color="auto" w:sz="4" w:space="0"/>
              <w:right w:val="single" w:color="auto" w:sz="4" w:space="0"/>
            </w:tcBorders>
            <w:vAlign w:val="center"/>
          </w:tcPr>
          <w:p w14:paraId="16F056DD">
            <w:pPr>
              <w:spacing w:line="300" w:lineRule="exact"/>
              <w:jc w:val="left"/>
              <w:rPr>
                <w:rFonts w:hint="eastAsia" w:ascii="Arial" w:hAnsi="Arial" w:eastAsia="宋体" w:cs="Arial"/>
                <w:color w:val="000000" w:themeColor="text1"/>
                <w:lang w:eastAsia="zh-CN"/>
                <w14:textFill>
                  <w14:solidFill>
                    <w14:schemeClr w14:val="tx1"/>
                  </w14:solidFill>
                </w14:textFill>
              </w:rPr>
            </w:pPr>
            <w:r>
              <w:rPr>
                <w:rFonts w:ascii="Arial" w:hAnsi="Arial" w:cs="Arial"/>
                <w:color w:val="000000" w:themeColor="text1"/>
                <w14:textFill>
                  <w14:solidFill>
                    <w14:schemeClr w14:val="tx1"/>
                  </w14:solidFill>
                </w14:textFill>
              </w:rPr>
              <w:t>项目名称：</w:t>
            </w:r>
            <w:r>
              <w:rPr>
                <w:rFonts w:hint="eastAsia" w:ascii="Arial" w:hAnsi="Arial" w:cs="Arial"/>
                <w:color w:val="000000" w:themeColor="text1"/>
                <w:lang w:eastAsia="zh-CN"/>
                <w14:textFill>
                  <w14:solidFill>
                    <w14:schemeClr w14:val="tx1"/>
                  </w14:solidFill>
                </w14:textFill>
              </w:rPr>
              <w:t>南溪山医院医疗设备一批项目（四）（眼科OCT系统、体外生命支持系统（ECMO））</w:t>
            </w:r>
          </w:p>
          <w:p w14:paraId="1E205223">
            <w:pPr>
              <w:spacing w:line="300" w:lineRule="exact"/>
              <w:jc w:val="left"/>
              <w:rPr>
                <w:rFonts w:hint="eastAsia" w:ascii="Arial" w:hAnsi="Arial" w:eastAsia="宋体" w:cs="Arial"/>
                <w:color w:val="000000" w:themeColor="text1"/>
                <w:lang w:eastAsia="zh-CN"/>
                <w14:textFill>
                  <w14:solidFill>
                    <w14:schemeClr w14:val="tx1"/>
                  </w14:solidFill>
                </w14:textFill>
              </w:rPr>
            </w:pPr>
            <w:r>
              <w:rPr>
                <w:rFonts w:ascii="Arial" w:hAnsi="Arial" w:cs="Arial"/>
                <w:color w:val="000000" w:themeColor="text1"/>
                <w14:textFill>
                  <w14:solidFill>
                    <w14:schemeClr w14:val="tx1"/>
                  </w14:solidFill>
                </w14:textFill>
              </w:rPr>
              <w:t>项目编号：</w:t>
            </w:r>
            <w:r>
              <w:rPr>
                <w:rFonts w:hint="eastAsia" w:ascii="Arial" w:hAnsi="Arial" w:cs="Arial"/>
                <w:color w:val="000000" w:themeColor="text1"/>
                <w:lang w:eastAsia="zh-CN"/>
                <w14:textFill>
                  <w14:solidFill>
                    <w14:schemeClr w14:val="tx1"/>
                  </w14:solidFill>
                </w14:textFill>
              </w:rPr>
              <w:t>GXZC2026-G1-002968-JDZB</w:t>
            </w:r>
          </w:p>
          <w:p w14:paraId="11C39093">
            <w:pPr>
              <w:spacing w:line="300" w:lineRule="exact"/>
              <w:jc w:val="left"/>
              <w:rPr>
                <w:rFonts w:ascii="Arial" w:hAnsi="Arial" w:cs="Arial"/>
                <w:color w:val="000000" w:themeColor="text1"/>
                <w:szCs w:val="21"/>
                <w:u w:val="single"/>
                <w14:textFill>
                  <w14:solidFill>
                    <w14:schemeClr w14:val="tx1"/>
                  </w14:solidFill>
                </w14:textFill>
              </w:rPr>
            </w:pPr>
            <w:r>
              <w:rPr>
                <w:rFonts w:ascii="Arial" w:hAnsi="Arial" w:cs="Arial"/>
                <w:color w:val="000000" w:themeColor="text1"/>
                <w:highlight w:val="none"/>
                <w14:textFill>
                  <w14:solidFill>
                    <w14:schemeClr w14:val="tx1"/>
                  </w14:solidFill>
                </w14:textFill>
              </w:rPr>
              <w:t>采购计划文号：</w:t>
            </w:r>
            <w:r>
              <w:rPr>
                <w:rFonts w:hint="eastAsia" w:ascii="Arial" w:hAnsi="Arial" w:cs="Arial"/>
                <w:color w:val="000000" w:themeColor="text1"/>
                <w:highlight w:val="none"/>
                <w14:textFill>
                  <w14:solidFill>
                    <w14:schemeClr w14:val="tx1"/>
                  </w14:solidFill>
                </w14:textFill>
              </w:rPr>
              <w:t>广西政采[2026]18014号</w:t>
            </w:r>
            <w:r>
              <w:rPr>
                <w:rFonts w:ascii="Arial" w:hAnsi="Arial" w:cs="Arial"/>
                <w:color w:val="000000" w:themeColor="text1"/>
                <w:highlight w:val="none"/>
                <w14:textFill>
                  <w14:solidFill>
                    <w14:schemeClr w14:val="tx1"/>
                  </w14:solidFill>
                </w14:textFill>
              </w:rPr>
              <w:t xml:space="preserve"> </w:t>
            </w:r>
          </w:p>
        </w:tc>
      </w:tr>
      <w:tr w14:paraId="1DCFF0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55" w:type="dxa"/>
            <w:tcBorders>
              <w:top w:val="single" w:color="auto" w:sz="4" w:space="0"/>
              <w:left w:val="single" w:color="auto" w:sz="4" w:space="0"/>
              <w:bottom w:val="single" w:color="auto" w:sz="4" w:space="0"/>
              <w:right w:val="single" w:color="auto" w:sz="4" w:space="0"/>
            </w:tcBorders>
            <w:vAlign w:val="center"/>
          </w:tcPr>
          <w:p w14:paraId="5280FE22">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1.3.2</w:t>
            </w:r>
          </w:p>
        </w:tc>
        <w:tc>
          <w:tcPr>
            <w:tcW w:w="1230" w:type="dxa"/>
            <w:tcBorders>
              <w:top w:val="single" w:color="auto" w:sz="4" w:space="0"/>
              <w:left w:val="single" w:color="auto" w:sz="4" w:space="0"/>
              <w:bottom w:val="single" w:color="auto" w:sz="4" w:space="0"/>
              <w:right w:val="single" w:color="auto" w:sz="4" w:space="0"/>
            </w:tcBorders>
            <w:vAlign w:val="center"/>
          </w:tcPr>
          <w:p w14:paraId="5385A65C">
            <w:pPr>
              <w:spacing w:line="300" w:lineRule="exact"/>
              <w:jc w:val="center"/>
              <w:rPr>
                <w:rFonts w:ascii="Arial" w:hAnsi="Arial" w:cs="Arial"/>
                <w:color w:val="000000" w:themeColor="text1"/>
                <w:szCs w:val="21"/>
                <w:lang w:val="zh-CN"/>
                <w14:textFill>
                  <w14:solidFill>
                    <w14:schemeClr w14:val="tx1"/>
                  </w14:solidFill>
                </w14:textFill>
              </w:rPr>
            </w:pPr>
            <w:r>
              <w:rPr>
                <w:rFonts w:ascii="Arial" w:hAnsi="Arial" w:cs="Arial"/>
                <w:color w:val="000000" w:themeColor="text1"/>
                <w:szCs w:val="21"/>
                <w:lang w:val="zh-CN"/>
                <w14:textFill>
                  <w14:solidFill>
                    <w14:schemeClr w14:val="tx1"/>
                  </w14:solidFill>
                </w14:textFill>
              </w:rPr>
              <w:t>采购方式</w:t>
            </w:r>
          </w:p>
        </w:tc>
        <w:tc>
          <w:tcPr>
            <w:tcW w:w="8116" w:type="dxa"/>
            <w:tcBorders>
              <w:top w:val="single" w:color="auto" w:sz="4" w:space="0"/>
              <w:left w:val="single" w:color="auto" w:sz="4" w:space="0"/>
              <w:bottom w:val="single" w:color="auto" w:sz="4" w:space="0"/>
              <w:right w:val="single" w:color="auto" w:sz="4" w:space="0"/>
            </w:tcBorders>
            <w:vAlign w:val="center"/>
          </w:tcPr>
          <w:p w14:paraId="1CA15A3A">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公开招标</w:t>
            </w:r>
          </w:p>
        </w:tc>
      </w:tr>
      <w:tr w14:paraId="047D59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55" w:type="dxa"/>
            <w:tcBorders>
              <w:top w:val="single" w:color="auto" w:sz="4" w:space="0"/>
              <w:left w:val="single" w:color="auto" w:sz="4" w:space="0"/>
              <w:bottom w:val="single" w:color="auto" w:sz="4" w:space="0"/>
              <w:right w:val="single" w:color="auto" w:sz="4" w:space="0"/>
            </w:tcBorders>
            <w:vAlign w:val="center"/>
          </w:tcPr>
          <w:p w14:paraId="01247E23">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1.4</w:t>
            </w:r>
          </w:p>
        </w:tc>
        <w:tc>
          <w:tcPr>
            <w:tcW w:w="1230" w:type="dxa"/>
            <w:tcBorders>
              <w:top w:val="single" w:color="auto" w:sz="4" w:space="0"/>
              <w:left w:val="single" w:color="auto" w:sz="4" w:space="0"/>
              <w:bottom w:val="single" w:color="auto" w:sz="4" w:space="0"/>
              <w:right w:val="single" w:color="auto" w:sz="4" w:space="0"/>
            </w:tcBorders>
            <w:vAlign w:val="center"/>
          </w:tcPr>
          <w:p w14:paraId="5910CCB9">
            <w:pPr>
              <w:spacing w:line="300" w:lineRule="exact"/>
              <w:jc w:val="center"/>
              <w:rPr>
                <w:rFonts w:ascii="Arial" w:hAnsi="Arial" w:cs="Arial"/>
                <w:color w:val="000000" w:themeColor="text1"/>
                <w:szCs w:val="21"/>
                <w:lang w:val="zh-CN"/>
                <w14:textFill>
                  <w14:solidFill>
                    <w14:schemeClr w14:val="tx1"/>
                  </w14:solidFill>
                </w14:textFill>
              </w:rPr>
            </w:pPr>
            <w:r>
              <w:rPr>
                <w:rFonts w:ascii="Arial" w:hAnsi="Arial" w:cs="Arial"/>
                <w:color w:val="000000" w:themeColor="text1"/>
                <w:szCs w:val="21"/>
                <w:lang w:val="zh-CN"/>
                <w14:textFill>
                  <w14:solidFill>
                    <w14:schemeClr w14:val="tx1"/>
                  </w14:solidFill>
                </w14:textFill>
              </w:rPr>
              <w:t>促进中小企业发展措施</w:t>
            </w:r>
          </w:p>
        </w:tc>
        <w:tc>
          <w:tcPr>
            <w:tcW w:w="8116" w:type="dxa"/>
            <w:tcBorders>
              <w:top w:val="single" w:color="auto" w:sz="4" w:space="0"/>
              <w:left w:val="single" w:color="auto" w:sz="4" w:space="0"/>
              <w:bottom w:val="single" w:color="auto" w:sz="4" w:space="0"/>
              <w:right w:val="single" w:color="auto" w:sz="4" w:space="0"/>
            </w:tcBorders>
            <w:vAlign w:val="center"/>
          </w:tcPr>
          <w:p w14:paraId="4F7B3C3E">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本项目非专门面向中小微企业采购。</w:t>
            </w:r>
          </w:p>
        </w:tc>
      </w:tr>
      <w:tr w14:paraId="56E3CE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vAlign w:val="center"/>
          </w:tcPr>
          <w:p w14:paraId="68614026">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1.5.1</w:t>
            </w:r>
          </w:p>
        </w:tc>
        <w:tc>
          <w:tcPr>
            <w:tcW w:w="1230" w:type="dxa"/>
            <w:tcBorders>
              <w:top w:val="single" w:color="auto" w:sz="4" w:space="0"/>
              <w:left w:val="single" w:color="auto" w:sz="4" w:space="0"/>
              <w:bottom w:val="single" w:color="auto" w:sz="4" w:space="0"/>
              <w:right w:val="single" w:color="auto" w:sz="4" w:space="0"/>
            </w:tcBorders>
            <w:vAlign w:val="center"/>
          </w:tcPr>
          <w:p w14:paraId="0AFD9CD8">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lang w:val="zh-CN"/>
                <w14:textFill>
                  <w14:solidFill>
                    <w14:schemeClr w14:val="tx1"/>
                  </w14:solidFill>
                </w14:textFill>
              </w:rPr>
              <w:t>供应商资格条件</w:t>
            </w:r>
          </w:p>
        </w:tc>
        <w:tc>
          <w:tcPr>
            <w:tcW w:w="8116" w:type="dxa"/>
            <w:tcBorders>
              <w:top w:val="single" w:color="auto" w:sz="4" w:space="0"/>
              <w:left w:val="single" w:color="auto" w:sz="4" w:space="0"/>
              <w:bottom w:val="single" w:color="auto" w:sz="4" w:space="0"/>
              <w:right w:val="single" w:color="auto" w:sz="4" w:space="0"/>
            </w:tcBorders>
            <w:vAlign w:val="center"/>
          </w:tcPr>
          <w:p w14:paraId="102FD38F">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详见招标公告。</w:t>
            </w:r>
          </w:p>
        </w:tc>
      </w:tr>
      <w:tr w14:paraId="787B6E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55" w:type="dxa"/>
            <w:tcBorders>
              <w:top w:val="single" w:color="auto" w:sz="4" w:space="0"/>
              <w:left w:val="single" w:color="auto" w:sz="4" w:space="0"/>
              <w:right w:val="single" w:color="auto" w:sz="4" w:space="0"/>
            </w:tcBorders>
            <w:vAlign w:val="center"/>
          </w:tcPr>
          <w:p w14:paraId="785F877E">
            <w:pPr>
              <w:spacing w:line="300" w:lineRule="exact"/>
              <w:jc w:val="center"/>
              <w:rPr>
                <w:rFonts w:ascii="Arial" w:hAnsi="Arial" w:cs="Arial"/>
                <w:b/>
                <w:color w:val="000000" w:themeColor="text1"/>
                <w:szCs w:val="21"/>
                <w14:textFill>
                  <w14:solidFill>
                    <w14:schemeClr w14:val="tx1"/>
                  </w14:solidFill>
                </w14:textFill>
              </w:rPr>
            </w:pPr>
            <w:bookmarkStart w:id="19" w:name="_Hlk85555568"/>
            <w:r>
              <w:rPr>
                <w:rFonts w:ascii="Arial" w:hAnsi="Arial" w:cs="Arial"/>
                <w:b/>
                <w:color w:val="000000" w:themeColor="text1"/>
                <w:szCs w:val="21"/>
                <w14:textFill>
                  <w14:solidFill>
                    <w14:schemeClr w14:val="tx1"/>
                  </w14:solidFill>
                </w14:textFill>
              </w:rPr>
              <w:t>1.5.3</w:t>
            </w:r>
          </w:p>
        </w:tc>
        <w:tc>
          <w:tcPr>
            <w:tcW w:w="1230" w:type="dxa"/>
            <w:tcBorders>
              <w:top w:val="single" w:color="auto" w:sz="4" w:space="0"/>
              <w:left w:val="single" w:color="auto" w:sz="4" w:space="0"/>
              <w:right w:val="single" w:color="auto" w:sz="4" w:space="0"/>
            </w:tcBorders>
            <w:vAlign w:val="center"/>
          </w:tcPr>
          <w:p w14:paraId="4C67057B">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联合体</w:t>
            </w:r>
          </w:p>
        </w:tc>
        <w:tc>
          <w:tcPr>
            <w:tcW w:w="8116" w:type="dxa"/>
            <w:tcBorders>
              <w:top w:val="single" w:color="auto" w:sz="4" w:space="0"/>
              <w:left w:val="single" w:color="auto" w:sz="4" w:space="0"/>
              <w:right w:val="single" w:color="auto" w:sz="4" w:space="0"/>
            </w:tcBorders>
            <w:vAlign w:val="center"/>
          </w:tcPr>
          <w:p w14:paraId="0A6D9F8C">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是否接受联合体详见招标公告</w:t>
            </w:r>
          </w:p>
        </w:tc>
      </w:tr>
      <w:bookmarkEnd w:id="19"/>
      <w:tr w14:paraId="1A360D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vAlign w:val="center"/>
          </w:tcPr>
          <w:p w14:paraId="6A5A032B">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1.6</w:t>
            </w:r>
          </w:p>
        </w:tc>
        <w:tc>
          <w:tcPr>
            <w:tcW w:w="1230" w:type="dxa"/>
            <w:tcBorders>
              <w:top w:val="single" w:color="auto" w:sz="4" w:space="0"/>
              <w:left w:val="single" w:color="auto" w:sz="4" w:space="0"/>
              <w:bottom w:val="single" w:color="auto" w:sz="4" w:space="0"/>
              <w:right w:val="single" w:color="auto" w:sz="4" w:space="0"/>
            </w:tcBorders>
            <w:vAlign w:val="center"/>
          </w:tcPr>
          <w:p w14:paraId="4E99A030">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踏勘</w:t>
            </w:r>
          </w:p>
        </w:tc>
        <w:tc>
          <w:tcPr>
            <w:tcW w:w="8116" w:type="dxa"/>
            <w:tcBorders>
              <w:top w:val="single" w:color="auto" w:sz="4" w:space="0"/>
              <w:left w:val="single" w:color="auto" w:sz="4" w:space="0"/>
              <w:bottom w:val="single" w:color="auto" w:sz="4" w:space="0"/>
              <w:right w:val="single" w:color="auto" w:sz="4" w:space="0"/>
            </w:tcBorders>
            <w:vAlign w:val="center"/>
          </w:tcPr>
          <w:p w14:paraId="1B9E08C0">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14:textFill>
                  <w14:solidFill>
                    <w14:schemeClr w14:val="tx1"/>
                  </w14:solidFill>
                </w14:textFill>
              </w:rPr>
              <w:t>不组织。</w:t>
            </w:r>
            <w:r>
              <w:rPr>
                <w:rFonts w:ascii="Arial" w:hAnsi="Arial" w:cs="Arial"/>
                <w:color w:val="000000" w:themeColor="text1"/>
                <w:szCs w:val="21"/>
                <w14:textFill>
                  <w14:solidFill>
                    <w14:schemeClr w14:val="tx1"/>
                  </w14:solidFill>
                </w14:textFill>
              </w:rPr>
              <w:t xml:space="preserve">  </w:t>
            </w:r>
          </w:p>
        </w:tc>
      </w:tr>
      <w:tr w14:paraId="50D774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vAlign w:val="center"/>
          </w:tcPr>
          <w:p w14:paraId="14434CF3">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1.7.2</w:t>
            </w:r>
          </w:p>
        </w:tc>
        <w:tc>
          <w:tcPr>
            <w:tcW w:w="1230" w:type="dxa"/>
            <w:tcBorders>
              <w:top w:val="single" w:color="auto" w:sz="4" w:space="0"/>
              <w:left w:val="single" w:color="auto" w:sz="4" w:space="0"/>
              <w:bottom w:val="single" w:color="auto" w:sz="4" w:space="0"/>
              <w:right w:val="single" w:color="auto" w:sz="4" w:space="0"/>
            </w:tcBorders>
            <w:vAlign w:val="center"/>
          </w:tcPr>
          <w:p w14:paraId="0D2BF16C">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分包</w:t>
            </w:r>
          </w:p>
        </w:tc>
        <w:tc>
          <w:tcPr>
            <w:tcW w:w="8116" w:type="dxa"/>
            <w:tcBorders>
              <w:top w:val="single" w:color="auto" w:sz="4" w:space="0"/>
              <w:left w:val="single" w:color="auto" w:sz="4" w:space="0"/>
              <w:bottom w:val="single" w:color="auto" w:sz="4" w:space="0"/>
              <w:right w:val="single" w:color="auto" w:sz="4" w:space="0"/>
            </w:tcBorders>
            <w:vAlign w:val="center"/>
          </w:tcPr>
          <w:p w14:paraId="351A5DAF">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是否接受分包详见招标公告</w:t>
            </w:r>
          </w:p>
        </w:tc>
      </w:tr>
      <w:tr w14:paraId="12718B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vAlign w:val="center"/>
          </w:tcPr>
          <w:p w14:paraId="65EB8799">
            <w:pPr>
              <w:spacing w:line="300" w:lineRule="exact"/>
              <w:jc w:val="center"/>
              <w:rPr>
                <w:rFonts w:ascii="Arial" w:hAnsi="Arial" w:cs="Arial"/>
                <w:b/>
                <w:color w:val="000000" w:themeColor="text1"/>
                <w:szCs w:val="21"/>
                <w14:textFill>
                  <w14:solidFill>
                    <w14:schemeClr w14:val="tx1"/>
                  </w14:solidFill>
                </w14:textFill>
              </w:rPr>
            </w:pPr>
            <w:r>
              <w:rPr>
                <w:rFonts w:hint="eastAsia"/>
                <w:b/>
                <w:szCs w:val="21"/>
                <w:lang w:val="en-US" w:eastAsia="zh-CN"/>
              </w:rPr>
              <w:t>1.9</w:t>
            </w:r>
          </w:p>
        </w:tc>
        <w:tc>
          <w:tcPr>
            <w:tcW w:w="1230" w:type="dxa"/>
            <w:tcBorders>
              <w:top w:val="single" w:color="auto" w:sz="4" w:space="0"/>
              <w:left w:val="single" w:color="auto" w:sz="4" w:space="0"/>
              <w:bottom w:val="single" w:color="auto" w:sz="4" w:space="0"/>
              <w:right w:val="single" w:color="auto" w:sz="4" w:space="0"/>
            </w:tcBorders>
            <w:vAlign w:val="center"/>
          </w:tcPr>
          <w:p w14:paraId="6C6BD0AD">
            <w:pPr>
              <w:spacing w:line="300" w:lineRule="exact"/>
              <w:jc w:val="center"/>
              <w:rPr>
                <w:rFonts w:ascii="Arial" w:hAnsi="Arial" w:cs="Arial"/>
                <w:color w:val="000000" w:themeColor="text1"/>
                <w:szCs w:val="21"/>
                <w14:textFill>
                  <w14:solidFill>
                    <w14:schemeClr w14:val="tx1"/>
                  </w14:solidFill>
                </w14:textFill>
              </w:rPr>
            </w:pPr>
            <w:r>
              <w:rPr>
                <w:rFonts w:hint="eastAsia"/>
                <w:szCs w:val="21"/>
                <w:lang w:val="en-US" w:eastAsia="zh-CN"/>
              </w:rPr>
              <w:t>对本国产品的支持政策</w:t>
            </w:r>
          </w:p>
        </w:tc>
        <w:tc>
          <w:tcPr>
            <w:tcW w:w="8116" w:type="dxa"/>
            <w:tcBorders>
              <w:top w:val="single" w:color="auto" w:sz="4" w:space="0"/>
              <w:left w:val="single" w:color="auto" w:sz="4" w:space="0"/>
              <w:bottom w:val="single" w:color="auto" w:sz="4" w:space="0"/>
              <w:right w:val="single" w:color="auto" w:sz="4" w:space="0"/>
            </w:tcBorders>
            <w:vAlign w:val="center"/>
          </w:tcPr>
          <w:p w14:paraId="1932459A">
            <w:pPr>
              <w:spacing w:line="300" w:lineRule="exact"/>
              <w:jc w:val="left"/>
              <w:rPr>
                <w:rFonts w:hint="eastAsia"/>
                <w:szCs w:val="21"/>
              </w:rPr>
            </w:pPr>
            <w:r>
              <w:rPr>
                <w:rFonts w:hint="eastAsia"/>
                <w:szCs w:val="21"/>
                <w:lang w:eastAsia="zh-CN"/>
              </w:rPr>
              <w:t>☑</w:t>
            </w:r>
            <w:r>
              <w:rPr>
                <w:rFonts w:hint="eastAsia"/>
                <w:szCs w:val="21"/>
              </w:rPr>
              <w:t>适用</w:t>
            </w:r>
          </w:p>
          <w:p w14:paraId="22E0B21F">
            <w:pPr>
              <w:spacing w:line="300" w:lineRule="exact"/>
              <w:jc w:val="left"/>
              <w:rPr>
                <w:rFonts w:ascii="Arial" w:hAnsi="Arial" w:cs="Arial"/>
                <w:color w:val="000000" w:themeColor="text1"/>
                <w:szCs w:val="21"/>
                <w14:textFill>
                  <w14:solidFill>
                    <w14:schemeClr w14:val="tx1"/>
                  </w14:solidFill>
                </w14:textFill>
              </w:rPr>
            </w:pPr>
            <w:r>
              <w:rPr>
                <w:rFonts w:hint="eastAsia"/>
                <w:szCs w:val="21"/>
              </w:rPr>
              <w:t>□不适用</w:t>
            </w:r>
          </w:p>
        </w:tc>
      </w:tr>
      <w:tr w14:paraId="79CB4E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vAlign w:val="center"/>
          </w:tcPr>
          <w:p w14:paraId="57BF8463">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2.3</w:t>
            </w:r>
          </w:p>
        </w:tc>
        <w:tc>
          <w:tcPr>
            <w:tcW w:w="1230" w:type="dxa"/>
            <w:tcBorders>
              <w:top w:val="single" w:color="auto" w:sz="4" w:space="0"/>
              <w:left w:val="single" w:color="auto" w:sz="4" w:space="0"/>
              <w:bottom w:val="single" w:color="auto" w:sz="4" w:space="0"/>
              <w:right w:val="single" w:color="auto" w:sz="4" w:space="0"/>
            </w:tcBorders>
            <w:vAlign w:val="center"/>
          </w:tcPr>
          <w:p w14:paraId="16C49B09">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招标文件澄清、修改</w:t>
            </w:r>
          </w:p>
        </w:tc>
        <w:tc>
          <w:tcPr>
            <w:tcW w:w="8116" w:type="dxa"/>
            <w:tcBorders>
              <w:top w:val="single" w:color="auto" w:sz="4" w:space="0"/>
              <w:left w:val="single" w:color="auto" w:sz="4" w:space="0"/>
              <w:bottom w:val="single" w:color="auto" w:sz="4" w:space="0"/>
              <w:right w:val="single" w:color="auto" w:sz="4" w:space="0"/>
            </w:tcBorders>
            <w:vAlign w:val="center"/>
          </w:tcPr>
          <w:p w14:paraId="194BDA93">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在招标公告发布媒介发布。</w:t>
            </w:r>
          </w:p>
        </w:tc>
      </w:tr>
      <w:tr w14:paraId="5673EB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755" w:type="dxa"/>
            <w:tcBorders>
              <w:top w:val="single" w:color="auto" w:sz="4" w:space="0"/>
              <w:left w:val="single" w:color="auto" w:sz="4" w:space="0"/>
              <w:bottom w:val="single" w:color="auto" w:sz="4" w:space="0"/>
              <w:right w:val="single" w:color="auto" w:sz="4" w:space="0"/>
            </w:tcBorders>
            <w:vAlign w:val="center"/>
          </w:tcPr>
          <w:p w14:paraId="7ECC7229">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2.3</w:t>
            </w:r>
          </w:p>
        </w:tc>
        <w:tc>
          <w:tcPr>
            <w:tcW w:w="1230" w:type="dxa"/>
            <w:tcBorders>
              <w:top w:val="single" w:color="auto" w:sz="4" w:space="0"/>
              <w:left w:val="single" w:color="auto" w:sz="4" w:space="0"/>
              <w:bottom w:val="single" w:color="auto" w:sz="4" w:space="0"/>
              <w:right w:val="single" w:color="auto" w:sz="4" w:space="0"/>
            </w:tcBorders>
            <w:vAlign w:val="center"/>
          </w:tcPr>
          <w:p w14:paraId="2D054D08">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确认收到澄清、修改发布的方式</w:t>
            </w:r>
          </w:p>
        </w:tc>
        <w:tc>
          <w:tcPr>
            <w:tcW w:w="8116" w:type="dxa"/>
            <w:tcBorders>
              <w:top w:val="single" w:color="auto" w:sz="4" w:space="0"/>
              <w:left w:val="single" w:color="auto" w:sz="4" w:space="0"/>
              <w:bottom w:val="single" w:color="auto" w:sz="4" w:space="0"/>
              <w:right w:val="single" w:color="auto" w:sz="4" w:space="0"/>
            </w:tcBorders>
            <w:vAlign w:val="center"/>
          </w:tcPr>
          <w:p w14:paraId="1FDEFFB3">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澄清、修改文件自招标公告发布媒体发布之日起，视为供应商已收到该澄清、修改。供应商未及时关注招标公告发布媒体造成的损失，由供应商自行负责。</w:t>
            </w:r>
          </w:p>
        </w:tc>
      </w:tr>
      <w:tr w14:paraId="485559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55" w:type="dxa"/>
            <w:tcBorders>
              <w:top w:val="single" w:color="auto" w:sz="4" w:space="0"/>
              <w:left w:val="single" w:color="auto" w:sz="4" w:space="0"/>
              <w:bottom w:val="single" w:color="auto" w:sz="4" w:space="0"/>
              <w:right w:val="single" w:color="auto" w:sz="4" w:space="0"/>
            </w:tcBorders>
            <w:vAlign w:val="center"/>
          </w:tcPr>
          <w:p w14:paraId="67883536">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3.4.1</w:t>
            </w:r>
          </w:p>
        </w:tc>
        <w:tc>
          <w:tcPr>
            <w:tcW w:w="1230" w:type="dxa"/>
            <w:tcBorders>
              <w:top w:val="single" w:color="auto" w:sz="4" w:space="0"/>
              <w:left w:val="single" w:color="auto" w:sz="4" w:space="0"/>
              <w:bottom w:val="single" w:color="auto" w:sz="4" w:space="0"/>
              <w:right w:val="single" w:color="auto" w:sz="4" w:space="0"/>
            </w:tcBorders>
            <w:vAlign w:val="center"/>
          </w:tcPr>
          <w:p w14:paraId="63CF0D3E">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投标有效期</w:t>
            </w:r>
          </w:p>
        </w:tc>
        <w:tc>
          <w:tcPr>
            <w:tcW w:w="8116" w:type="dxa"/>
            <w:tcBorders>
              <w:top w:val="single" w:color="auto" w:sz="4" w:space="0"/>
              <w:left w:val="single" w:color="auto" w:sz="4" w:space="0"/>
              <w:bottom w:val="single" w:color="auto" w:sz="4" w:space="0"/>
              <w:right w:val="single" w:color="auto" w:sz="4" w:space="0"/>
            </w:tcBorders>
            <w:vAlign w:val="center"/>
          </w:tcPr>
          <w:p w14:paraId="4FDED42B">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投标截止之日起90天。</w:t>
            </w:r>
          </w:p>
        </w:tc>
      </w:tr>
      <w:tr w14:paraId="366ECD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vAlign w:val="center"/>
          </w:tcPr>
          <w:p w14:paraId="43FE9916">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3.5</w:t>
            </w:r>
          </w:p>
        </w:tc>
        <w:tc>
          <w:tcPr>
            <w:tcW w:w="1230" w:type="dxa"/>
            <w:tcBorders>
              <w:top w:val="single" w:color="auto" w:sz="4" w:space="0"/>
              <w:left w:val="single" w:color="auto" w:sz="4" w:space="0"/>
              <w:bottom w:val="single" w:color="auto" w:sz="4" w:space="0"/>
              <w:right w:val="single" w:color="auto" w:sz="4" w:space="0"/>
            </w:tcBorders>
            <w:vAlign w:val="center"/>
          </w:tcPr>
          <w:p w14:paraId="41F026C9">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投标保证金</w:t>
            </w:r>
          </w:p>
        </w:tc>
        <w:tc>
          <w:tcPr>
            <w:tcW w:w="8116" w:type="dxa"/>
            <w:tcBorders>
              <w:top w:val="single" w:color="auto" w:sz="4" w:space="0"/>
              <w:left w:val="single" w:color="auto" w:sz="4" w:space="0"/>
              <w:bottom w:val="single" w:color="auto" w:sz="4" w:space="0"/>
              <w:right w:val="single" w:color="auto" w:sz="4" w:space="0"/>
            </w:tcBorders>
            <w:vAlign w:val="center"/>
          </w:tcPr>
          <w:p w14:paraId="56D864D5">
            <w:pPr>
              <w:spacing w:line="300" w:lineRule="exact"/>
              <w:rPr>
                <w:rFonts w:ascii="Arial" w:hAnsi="Arial" w:cs="Arial"/>
                <w:color w:val="000000" w:themeColor="text1"/>
                <w:szCs w:val="21"/>
                <w14:textFill>
                  <w14:solidFill>
                    <w14:schemeClr w14:val="tx1"/>
                  </w14:solidFill>
                </w14:textFill>
              </w:rPr>
            </w:pPr>
            <w:r>
              <w:rPr>
                <w:rFonts w:ascii="Arial" w:hAnsi="Arial" w:cs="Arial"/>
                <w:color w:val="000000" w:themeColor="text1"/>
                <w14:textFill>
                  <w14:solidFill>
                    <w14:schemeClr w14:val="tx1"/>
                  </w14:solidFill>
                </w14:textFill>
              </w:rPr>
              <w:t>本项目无需缴纳投标保证金。</w:t>
            </w:r>
          </w:p>
        </w:tc>
      </w:tr>
      <w:tr w14:paraId="372757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55" w:type="dxa"/>
            <w:tcBorders>
              <w:left w:val="single" w:color="auto" w:sz="4" w:space="0"/>
              <w:right w:val="single" w:color="auto" w:sz="4" w:space="0"/>
            </w:tcBorders>
            <w:vAlign w:val="center"/>
          </w:tcPr>
          <w:p w14:paraId="5BB227B6">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3.6</w:t>
            </w:r>
          </w:p>
        </w:tc>
        <w:tc>
          <w:tcPr>
            <w:tcW w:w="1230" w:type="dxa"/>
            <w:tcBorders>
              <w:top w:val="single" w:color="auto" w:sz="4" w:space="0"/>
              <w:left w:val="single" w:color="auto" w:sz="4" w:space="0"/>
              <w:right w:val="single" w:color="auto" w:sz="4" w:space="0"/>
            </w:tcBorders>
            <w:vAlign w:val="center"/>
          </w:tcPr>
          <w:p w14:paraId="7FE6AE25">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投标文件的编制</w:t>
            </w:r>
          </w:p>
        </w:tc>
        <w:tc>
          <w:tcPr>
            <w:tcW w:w="8116" w:type="dxa"/>
            <w:tcBorders>
              <w:top w:val="single" w:color="auto" w:sz="4" w:space="0"/>
              <w:left w:val="single" w:color="auto" w:sz="4" w:space="0"/>
              <w:right w:val="single" w:color="auto" w:sz="4" w:space="0"/>
            </w:tcBorders>
            <w:vAlign w:val="center"/>
          </w:tcPr>
          <w:p w14:paraId="463E4EDF">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投标文件应按第六章投标文件格式分别编制并使用下载的广西政府采购云平台新版客户端制作并上传。</w:t>
            </w:r>
          </w:p>
        </w:tc>
      </w:tr>
      <w:tr w14:paraId="393873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55" w:type="dxa"/>
            <w:tcBorders>
              <w:top w:val="single" w:color="auto" w:sz="4" w:space="0"/>
              <w:left w:val="single" w:color="auto" w:sz="4" w:space="0"/>
              <w:bottom w:val="single" w:color="auto" w:sz="4" w:space="0"/>
              <w:right w:val="single" w:color="auto" w:sz="4" w:space="0"/>
            </w:tcBorders>
            <w:vAlign w:val="center"/>
          </w:tcPr>
          <w:p w14:paraId="7AE7B46D">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3.7</w:t>
            </w:r>
          </w:p>
        </w:tc>
        <w:tc>
          <w:tcPr>
            <w:tcW w:w="1230" w:type="dxa"/>
            <w:tcBorders>
              <w:top w:val="single" w:color="auto" w:sz="4" w:space="0"/>
              <w:left w:val="single" w:color="auto" w:sz="4" w:space="0"/>
              <w:bottom w:val="single" w:color="auto" w:sz="4" w:space="0"/>
              <w:right w:val="single" w:color="auto" w:sz="4" w:space="0"/>
            </w:tcBorders>
            <w:vAlign w:val="center"/>
          </w:tcPr>
          <w:p w14:paraId="1200815F">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投标文件递交截止时间及开标时间</w:t>
            </w:r>
          </w:p>
        </w:tc>
        <w:tc>
          <w:tcPr>
            <w:tcW w:w="8116" w:type="dxa"/>
            <w:tcBorders>
              <w:top w:val="single" w:color="auto" w:sz="4" w:space="0"/>
              <w:left w:val="single" w:color="auto" w:sz="4" w:space="0"/>
              <w:bottom w:val="single" w:color="auto" w:sz="4" w:space="0"/>
              <w:right w:val="single" w:color="auto" w:sz="4" w:space="0"/>
            </w:tcBorders>
            <w:vAlign w:val="center"/>
          </w:tcPr>
          <w:p w14:paraId="2D28FF4B">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见招标公告要求</w:t>
            </w:r>
            <w:r>
              <w:rPr>
                <w:rFonts w:ascii="Arial" w:hAnsi="Arial" w:cs="Arial"/>
                <w:color w:val="000000" w:themeColor="text1"/>
                <w:szCs w:val="21"/>
                <w14:textFill>
                  <w14:solidFill>
                    <w14:schemeClr w14:val="tx1"/>
                  </w14:solidFill>
                </w14:textFill>
              </w:rPr>
              <w:t>。</w:t>
            </w:r>
          </w:p>
        </w:tc>
      </w:tr>
      <w:tr w14:paraId="2FBD15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274D141E">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4.2</w:t>
            </w:r>
          </w:p>
        </w:tc>
        <w:tc>
          <w:tcPr>
            <w:tcW w:w="1230" w:type="dxa"/>
            <w:tcBorders>
              <w:top w:val="single" w:color="auto" w:sz="4" w:space="0"/>
              <w:left w:val="single" w:color="auto" w:sz="4" w:space="0"/>
              <w:bottom w:val="single" w:color="auto" w:sz="4" w:space="0"/>
              <w:right w:val="single" w:color="auto" w:sz="4" w:space="0"/>
            </w:tcBorders>
            <w:vAlign w:val="center"/>
          </w:tcPr>
          <w:p w14:paraId="559892DC">
            <w:pPr>
              <w:spacing w:line="300" w:lineRule="exact"/>
              <w:jc w:val="center"/>
              <w:rPr>
                <w:rFonts w:ascii="Arial" w:hAnsi="Arial" w:cs="Arial"/>
                <w:color w:val="000000" w:themeColor="text1"/>
                <w:szCs w:val="20"/>
                <w14:textFill>
                  <w14:solidFill>
                    <w14:schemeClr w14:val="tx1"/>
                  </w14:solidFill>
                </w14:textFill>
              </w:rPr>
            </w:pPr>
            <w:r>
              <w:rPr>
                <w:rFonts w:ascii="Arial" w:hAnsi="Arial" w:cs="Arial"/>
                <w:color w:val="000000" w:themeColor="text1"/>
                <w:szCs w:val="21"/>
                <w14:textFill>
                  <w14:solidFill>
                    <w14:schemeClr w14:val="tx1"/>
                  </w14:solidFill>
                </w14:textFill>
              </w:rPr>
              <w:t>备份投标文件</w:t>
            </w:r>
          </w:p>
        </w:tc>
        <w:tc>
          <w:tcPr>
            <w:tcW w:w="8116" w:type="dxa"/>
            <w:tcBorders>
              <w:top w:val="single" w:color="auto" w:sz="4" w:space="0"/>
              <w:left w:val="single" w:color="auto" w:sz="4" w:space="0"/>
              <w:bottom w:val="single" w:color="auto" w:sz="4" w:space="0"/>
              <w:right w:val="single" w:color="auto" w:sz="4" w:space="0"/>
            </w:tcBorders>
            <w:vAlign w:val="center"/>
          </w:tcPr>
          <w:p w14:paraId="38B8A81D">
            <w:pPr>
              <w:spacing w:line="276"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本项目</w:t>
            </w:r>
            <w:r>
              <w:rPr>
                <w:rFonts w:ascii="Arial" w:hAnsi="Arial" w:cs="Arial"/>
                <w:color w:val="000000" w:themeColor="text1"/>
                <w:sz w:val="22"/>
                <w:szCs w:val="22"/>
                <w14:textFill>
                  <w14:solidFill>
                    <w14:schemeClr w14:val="tx1"/>
                  </w14:solidFill>
                </w14:textFill>
              </w:rPr>
              <w:sym w:font="Wingdings 2" w:char="F052"/>
            </w:r>
            <w:r>
              <w:rPr>
                <w:rFonts w:ascii="Arial" w:hAnsi="Arial" w:cs="Arial"/>
                <w:color w:val="000000" w:themeColor="text1"/>
                <w:szCs w:val="21"/>
                <w14:textFill>
                  <w14:solidFill>
                    <w14:schemeClr w14:val="tx1"/>
                  </w14:solidFill>
                </w14:textFill>
              </w:rPr>
              <w:t>接受   □不接受备份投标文件</w:t>
            </w:r>
          </w:p>
          <w:p w14:paraId="580212F6">
            <w:pPr>
              <w:spacing w:line="276" w:lineRule="auto"/>
              <w:rPr>
                <w:rFonts w:ascii="Arial" w:hAnsi="Arial" w:cs="Arial"/>
                <w:color w:val="000000" w:themeColor="text1"/>
                <w:sz w:val="22"/>
                <w:szCs w:val="22"/>
                <w14:textFill>
                  <w14:solidFill>
                    <w14:schemeClr w14:val="tx1"/>
                  </w14:solidFill>
                </w14:textFill>
              </w:rPr>
            </w:pPr>
            <w:r>
              <w:rPr>
                <w:rFonts w:ascii="Arial" w:hAnsi="Arial" w:cs="Arial"/>
                <w:color w:val="000000" w:themeColor="text1"/>
                <w:szCs w:val="21"/>
                <w14:textFill>
                  <w14:solidFill>
                    <w14:schemeClr w14:val="tx1"/>
                  </w14:solidFill>
                </w14:textFill>
              </w:rPr>
              <w:t>以</w:t>
            </w:r>
            <w:r>
              <w:rPr>
                <w:rFonts w:ascii="Arial" w:hAnsi="Arial" w:cs="Arial"/>
                <w:color w:val="000000" w:themeColor="text1"/>
                <w:kern w:val="0"/>
                <w:szCs w:val="21"/>
                <w14:textFill>
                  <w14:solidFill>
                    <w14:schemeClr w14:val="tx1"/>
                  </w14:solidFill>
                </w14:textFill>
              </w:rPr>
              <w:t>广西政府采购云平台</w:t>
            </w:r>
            <w:r>
              <w:rPr>
                <w:rFonts w:ascii="Arial" w:hAnsi="Arial" w:cs="Arial"/>
                <w:color w:val="000000" w:themeColor="text1"/>
                <w:szCs w:val="21"/>
                <w14:textFill>
                  <w14:solidFill>
                    <w14:schemeClr w14:val="tx1"/>
                  </w14:solidFill>
                </w14:textFill>
              </w:rPr>
              <w:t>自动生成的备份文件为依据，当项目允许接受备份响应文件时，供应商才可以按规定上传备份投标文件。</w:t>
            </w:r>
          </w:p>
        </w:tc>
      </w:tr>
      <w:tr w14:paraId="4D00B0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2E0293C5">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4.3</w:t>
            </w:r>
          </w:p>
        </w:tc>
        <w:tc>
          <w:tcPr>
            <w:tcW w:w="1230" w:type="dxa"/>
            <w:tcBorders>
              <w:top w:val="single" w:color="auto" w:sz="4" w:space="0"/>
              <w:left w:val="single" w:color="auto" w:sz="4" w:space="0"/>
              <w:bottom w:val="single" w:color="auto" w:sz="4" w:space="0"/>
              <w:right w:val="single" w:color="auto" w:sz="4" w:space="0"/>
            </w:tcBorders>
            <w:vAlign w:val="center"/>
          </w:tcPr>
          <w:p w14:paraId="63A965BD">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0"/>
                <w14:textFill>
                  <w14:solidFill>
                    <w14:schemeClr w14:val="tx1"/>
                  </w14:solidFill>
                </w14:textFill>
              </w:rPr>
              <w:t>演示</w:t>
            </w:r>
          </w:p>
        </w:tc>
        <w:tc>
          <w:tcPr>
            <w:tcW w:w="8116" w:type="dxa"/>
            <w:tcBorders>
              <w:top w:val="single" w:color="auto" w:sz="4" w:space="0"/>
              <w:left w:val="single" w:color="auto" w:sz="4" w:space="0"/>
              <w:bottom w:val="single" w:color="auto" w:sz="4" w:space="0"/>
              <w:right w:val="single" w:color="auto" w:sz="4" w:space="0"/>
            </w:tcBorders>
            <w:vAlign w:val="center"/>
          </w:tcPr>
          <w:p w14:paraId="24B7C02A">
            <w:pPr>
              <w:spacing w:line="276"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本项目无演示</w:t>
            </w:r>
          </w:p>
        </w:tc>
      </w:tr>
      <w:tr w14:paraId="0E5A93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4A802023">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4.4</w:t>
            </w:r>
          </w:p>
        </w:tc>
        <w:tc>
          <w:tcPr>
            <w:tcW w:w="1230" w:type="dxa"/>
            <w:tcBorders>
              <w:top w:val="single" w:color="auto" w:sz="4" w:space="0"/>
              <w:left w:val="single" w:color="auto" w:sz="4" w:space="0"/>
              <w:bottom w:val="single" w:color="auto" w:sz="4" w:space="0"/>
              <w:right w:val="single" w:color="auto" w:sz="4" w:space="0"/>
            </w:tcBorders>
            <w:vAlign w:val="center"/>
          </w:tcPr>
          <w:p w14:paraId="7B71B0B9">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0"/>
                <w14:textFill>
                  <w14:solidFill>
                    <w14:schemeClr w14:val="tx1"/>
                  </w14:solidFill>
                </w14:textFill>
              </w:rPr>
              <w:t>样品</w:t>
            </w:r>
          </w:p>
        </w:tc>
        <w:tc>
          <w:tcPr>
            <w:tcW w:w="8116" w:type="dxa"/>
            <w:tcBorders>
              <w:top w:val="single" w:color="auto" w:sz="4" w:space="0"/>
              <w:left w:val="single" w:color="auto" w:sz="4" w:space="0"/>
              <w:bottom w:val="single" w:color="auto" w:sz="4" w:space="0"/>
              <w:right w:val="single" w:color="auto" w:sz="4" w:space="0"/>
            </w:tcBorders>
            <w:vAlign w:val="center"/>
          </w:tcPr>
          <w:p w14:paraId="0A1612A6">
            <w:pPr>
              <w:spacing w:line="276"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本项目无需提供样品</w:t>
            </w:r>
          </w:p>
        </w:tc>
      </w:tr>
      <w:tr w14:paraId="68FDB4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31D7061F">
            <w:pPr>
              <w:spacing w:line="300" w:lineRule="exact"/>
              <w:jc w:val="center"/>
              <w:rPr>
                <w:rFonts w:ascii="Arial" w:hAnsi="Arial" w:cs="Arial"/>
                <w:b/>
                <w:color w:val="000000" w:themeColor="text1"/>
                <w:szCs w:val="21"/>
                <w14:textFill>
                  <w14:solidFill>
                    <w14:schemeClr w14:val="tx1"/>
                  </w14:solidFill>
                </w14:textFill>
              </w:rPr>
            </w:pPr>
            <w:r>
              <w:rPr>
                <w:rFonts w:hint="eastAsia"/>
                <w:b/>
                <w:szCs w:val="21"/>
                <w:lang w:val="en-US" w:eastAsia="zh-CN"/>
              </w:rPr>
              <w:t>5.3.1</w:t>
            </w:r>
          </w:p>
        </w:tc>
        <w:tc>
          <w:tcPr>
            <w:tcW w:w="1230" w:type="dxa"/>
            <w:tcBorders>
              <w:top w:val="single" w:color="auto" w:sz="4" w:space="0"/>
              <w:left w:val="single" w:color="auto" w:sz="4" w:space="0"/>
              <w:bottom w:val="single" w:color="auto" w:sz="4" w:space="0"/>
              <w:right w:val="single" w:color="auto" w:sz="4" w:space="0"/>
            </w:tcBorders>
            <w:vAlign w:val="center"/>
          </w:tcPr>
          <w:p w14:paraId="7482DEB8">
            <w:pPr>
              <w:spacing w:line="300" w:lineRule="exact"/>
              <w:jc w:val="center"/>
              <w:rPr>
                <w:rFonts w:ascii="Arial" w:hAnsi="Arial" w:cs="Arial"/>
                <w:color w:val="000000" w:themeColor="text1"/>
                <w:szCs w:val="20"/>
                <w14:textFill>
                  <w14:solidFill>
                    <w14:schemeClr w14:val="tx1"/>
                  </w14:solidFill>
                </w14:textFill>
              </w:rPr>
            </w:pPr>
            <w:r>
              <w:rPr>
                <w:rFonts w:hint="eastAsia" w:cs="Times New Roman"/>
                <w:kern w:val="2"/>
                <w:sz w:val="21"/>
                <w:szCs w:val="21"/>
                <w:lang w:val="en-US" w:eastAsia="zh-CN" w:bidi="ar-SA"/>
              </w:rPr>
              <w:t>信用查询规则</w:t>
            </w:r>
          </w:p>
        </w:tc>
        <w:tc>
          <w:tcPr>
            <w:tcW w:w="8116" w:type="dxa"/>
            <w:tcBorders>
              <w:top w:val="single" w:color="auto" w:sz="4" w:space="0"/>
              <w:left w:val="single" w:color="auto" w:sz="4" w:space="0"/>
              <w:bottom w:val="single" w:color="auto" w:sz="4" w:space="0"/>
              <w:right w:val="single" w:color="auto" w:sz="4" w:space="0"/>
            </w:tcBorders>
            <w:vAlign w:val="center"/>
          </w:tcPr>
          <w:p w14:paraId="4C11BDA6">
            <w:pPr>
              <w:snapToGrid w:val="0"/>
              <w:spacing w:line="380" w:lineRule="exact"/>
              <w:rPr>
                <w:rFonts w:hint="eastAsia" w:ascii="宋体" w:hAnsi="宋体"/>
                <w:szCs w:val="21"/>
                <w:lang w:eastAsia="zh-CN"/>
              </w:rPr>
            </w:pPr>
            <w:r>
              <w:rPr>
                <w:rFonts w:hint="eastAsia" w:ascii="宋体" w:hAnsi="宋体"/>
                <w:szCs w:val="21"/>
                <w:lang w:eastAsia="zh-CN"/>
              </w:rPr>
              <w:t>采购人或者采购代理机构在资格审查结束前，对</w:t>
            </w:r>
            <w:r>
              <w:rPr>
                <w:rFonts w:hint="eastAsia" w:ascii="宋体" w:hAnsi="宋体"/>
                <w:szCs w:val="21"/>
                <w:lang w:val="en-US" w:eastAsia="zh-CN"/>
              </w:rPr>
              <w:t>投标人</w:t>
            </w:r>
            <w:r>
              <w:rPr>
                <w:rFonts w:hint="eastAsia" w:ascii="宋体" w:hAnsi="宋体"/>
                <w:szCs w:val="21"/>
                <w:lang w:eastAsia="zh-CN"/>
              </w:rPr>
              <w:t>进行信用查询。</w:t>
            </w:r>
          </w:p>
          <w:p w14:paraId="71BB2B4F">
            <w:pPr>
              <w:snapToGrid w:val="0"/>
              <w:spacing w:line="380" w:lineRule="exact"/>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）查询渠道：</w:t>
            </w:r>
            <w:r>
              <w:rPr>
                <w:rFonts w:hint="eastAsia" w:ascii="宋体" w:hAnsi="宋体"/>
                <w:szCs w:val="21"/>
                <w:lang w:val="en-US" w:eastAsia="zh-CN"/>
              </w:rPr>
              <w:t>广西政府采购云平台</w:t>
            </w:r>
            <w:r>
              <w:rPr>
                <w:rFonts w:hint="eastAsia" w:ascii="宋体" w:hAnsi="宋体"/>
                <w:szCs w:val="21"/>
                <w:lang w:eastAsia="zh-CN"/>
              </w:rPr>
              <w:t>“信用中国”网站(www.creditchina.gov.cn) 、中国政府采购网(www.ccgp.gov.cn)</w:t>
            </w:r>
            <w:r>
              <w:rPr>
                <w:rFonts w:hint="eastAsia" w:ascii="宋体" w:hAnsi="宋体"/>
                <w:szCs w:val="21"/>
                <w:lang w:val="en-US" w:eastAsia="zh-CN"/>
              </w:rPr>
              <w:t>链接入口</w:t>
            </w:r>
            <w:r>
              <w:rPr>
                <w:rFonts w:hint="eastAsia" w:ascii="宋体" w:hAnsi="宋体"/>
                <w:szCs w:val="21"/>
                <w:lang w:eastAsia="zh-CN"/>
              </w:rPr>
              <w:t>。</w:t>
            </w:r>
          </w:p>
          <w:p w14:paraId="36979E3B">
            <w:pPr>
              <w:snapToGrid w:val="0"/>
              <w:spacing w:line="380" w:lineRule="exact"/>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）信用查询截止时点：</w:t>
            </w:r>
            <w:r>
              <w:rPr>
                <w:rFonts w:hint="eastAsia" w:ascii="宋体" w:hAnsi="宋体"/>
                <w:szCs w:val="21"/>
                <w:lang w:val="en-US" w:eastAsia="zh-CN"/>
              </w:rPr>
              <w:t>资</w:t>
            </w:r>
            <w:r>
              <w:rPr>
                <w:rFonts w:hint="eastAsia" w:ascii="宋体" w:hAnsi="宋体"/>
                <w:szCs w:val="21"/>
                <w:lang w:eastAsia="zh-CN"/>
              </w:rPr>
              <w:t>格审查结束前</w:t>
            </w:r>
          </w:p>
          <w:p w14:paraId="5ED85CE0">
            <w:pPr>
              <w:snapToGrid w:val="0"/>
              <w:spacing w:line="380" w:lineRule="exact"/>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）查询记录和证据留存方式：在查询网站中直接截图查询记录，截图作为在“广西政府采购云”平台作为附件上传保存。</w:t>
            </w:r>
          </w:p>
          <w:p w14:paraId="08DC9018">
            <w:pPr>
              <w:snapToGrid w:val="0"/>
              <w:spacing w:line="380" w:lineRule="exact"/>
              <w:rPr>
                <w:rFonts w:ascii="Arial" w:hAnsi="Arial" w:cs="Arial"/>
                <w:color w:val="000000" w:themeColor="text1"/>
                <w:szCs w:val="21"/>
                <w14:textFill>
                  <w14:solidFill>
                    <w14:schemeClr w14:val="tx1"/>
                  </w14:solidFill>
                </w14:textFill>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1CBB6C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3250D484">
            <w:pPr>
              <w:spacing w:line="300" w:lineRule="exact"/>
              <w:jc w:val="center"/>
              <w:rPr>
                <w:rFonts w:ascii="Arial" w:hAnsi="Arial" w:cs="Arial"/>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6.</w:t>
            </w:r>
            <w:r>
              <w:rPr>
                <w:b/>
                <w:color w:val="000000" w:themeColor="text1"/>
                <w:szCs w:val="21"/>
                <w:highlight w:val="none"/>
                <w14:textFill>
                  <w14:solidFill>
                    <w14:schemeClr w14:val="tx1"/>
                  </w14:solidFill>
                </w14:textFill>
              </w:rPr>
              <w:t>3</w:t>
            </w:r>
            <w:r>
              <w:rPr>
                <w:rFonts w:hint="eastAsia"/>
                <w:b/>
                <w:color w:val="000000" w:themeColor="text1"/>
                <w:szCs w:val="21"/>
                <w:highlight w:val="none"/>
                <w14:textFill>
                  <w14:solidFill>
                    <w14:schemeClr w14:val="tx1"/>
                  </w14:solidFill>
                </w14:textFill>
              </w:rPr>
              <w:t>.</w:t>
            </w:r>
            <w:r>
              <w:rPr>
                <w:b/>
                <w:color w:val="000000" w:themeColor="text1"/>
                <w:szCs w:val="21"/>
                <w:highlight w:val="none"/>
                <w14:textFill>
                  <w14:solidFill>
                    <w14:schemeClr w14:val="tx1"/>
                  </w14:solidFill>
                </w14:textFill>
              </w:rPr>
              <w:t>5</w:t>
            </w:r>
          </w:p>
        </w:tc>
        <w:tc>
          <w:tcPr>
            <w:tcW w:w="1230" w:type="dxa"/>
            <w:tcBorders>
              <w:top w:val="single" w:color="auto" w:sz="4" w:space="0"/>
              <w:left w:val="single" w:color="auto" w:sz="4" w:space="0"/>
              <w:bottom w:val="single" w:color="auto" w:sz="4" w:space="0"/>
              <w:right w:val="single" w:color="auto" w:sz="4" w:space="0"/>
            </w:tcBorders>
            <w:vAlign w:val="center"/>
          </w:tcPr>
          <w:p w14:paraId="2BAD6107">
            <w:pPr>
              <w:spacing w:line="300" w:lineRule="exact"/>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异常低价审查</w:t>
            </w:r>
          </w:p>
          <w:p w14:paraId="1E9C7616">
            <w:pPr>
              <w:spacing w:line="300" w:lineRule="exact"/>
              <w:jc w:val="center"/>
              <w:rPr>
                <w:rFonts w:ascii="Arial" w:hAnsi="Arial" w:cs="Arial"/>
                <w:color w:val="000000" w:themeColor="text1"/>
                <w:szCs w:val="20"/>
                <w:highlight w:val="none"/>
                <w14:textFill>
                  <w14:solidFill>
                    <w14:schemeClr w14:val="tx1"/>
                  </w14:solidFill>
                </w14:textFill>
              </w:rPr>
            </w:pPr>
          </w:p>
        </w:tc>
        <w:tc>
          <w:tcPr>
            <w:tcW w:w="8116" w:type="dxa"/>
            <w:tcBorders>
              <w:top w:val="single" w:color="auto" w:sz="4" w:space="0"/>
              <w:left w:val="single" w:color="auto" w:sz="4" w:space="0"/>
              <w:bottom w:val="single" w:color="auto" w:sz="4" w:space="0"/>
              <w:right w:val="single" w:color="auto" w:sz="4" w:space="0"/>
            </w:tcBorders>
            <w:vAlign w:val="center"/>
          </w:tcPr>
          <w:p w14:paraId="6FCCC816">
            <w:pPr>
              <w:spacing w:line="300" w:lineRule="exact"/>
              <w:jc w:val="left"/>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评审中出现下列情形之一的，评审委员会应当启动异常低价响应审查程序：</w:t>
            </w:r>
          </w:p>
          <w:p w14:paraId="5D905650">
            <w:pPr>
              <w:spacing w:line="276" w:lineRule="auto"/>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（1）投标（响应）报价低于全部通过符合性审查供应商投标（响应）报价平均值50%的，即投标（响应）报价&lt;全部通过符合性审查供应商投标（响应）报价平均值×50%；</w:t>
            </w:r>
          </w:p>
          <w:p w14:paraId="22D00223">
            <w:pPr>
              <w:spacing w:line="276" w:lineRule="auto"/>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（2）投标（响应）报价低于通过符合性审查的次低报价供应商投标（响应）报价50%的，即投标（响应）报价&lt;通过符合性审查的次低报价供应商投标（响应）报价×50%；</w:t>
            </w:r>
          </w:p>
          <w:p w14:paraId="0E499319">
            <w:pPr>
              <w:spacing w:line="276" w:lineRule="auto"/>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（3）投标（响应）报价低于采购项目最高限价45%的，即投标（响应）报价&lt;采购项目最高限价×45%；</w:t>
            </w:r>
          </w:p>
          <w:p w14:paraId="143AC72E">
            <w:pPr>
              <w:spacing w:line="276" w:lineRule="auto"/>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（4）评审委员会基于专业判断，认为供应商报价过低，有可能影响产品质量或者不能诚信履约的其他情形。</w:t>
            </w:r>
          </w:p>
          <w:p w14:paraId="780186D0">
            <w:pPr>
              <w:pStyle w:val="21"/>
              <w:rPr>
                <w:rFonts w:hint="eastAsia"/>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sym w:font="Wingdings 2" w:char="0052"/>
            </w:r>
            <w:r>
              <w:rPr>
                <w:rFonts w:hint="eastAsia"/>
                <w:color w:val="000000" w:themeColor="text1"/>
                <w:sz w:val="21"/>
                <w:szCs w:val="21"/>
                <w:highlight w:val="none"/>
                <w:lang w:val="en-US" w:eastAsia="zh-CN"/>
                <w14:textFill>
                  <w14:solidFill>
                    <w14:schemeClr w14:val="tx1"/>
                  </w14:solidFill>
                </w14:textFill>
              </w:rPr>
              <w:t>评审中出现下列情形之一的，评审委员会应当启动异常低价响应审查程序</w:t>
            </w:r>
            <w:r>
              <w:rPr>
                <w:rFonts w:hint="eastAsia"/>
                <w:color w:val="000000" w:themeColor="text1"/>
                <w:sz w:val="21"/>
                <w:szCs w:val="21"/>
                <w:highlight w:val="none"/>
                <w:lang w:eastAsia="zh-CN"/>
                <w14:textFill>
                  <w14:solidFill>
                    <w14:schemeClr w14:val="tx1"/>
                  </w14:solidFill>
                </w14:textFill>
              </w:rPr>
              <w:t>：</w:t>
            </w:r>
          </w:p>
          <w:p w14:paraId="24E02BEE">
            <w:pPr>
              <w:pStyle w:val="21"/>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（1）投标（响应）报价低于全部通过符合性审查供应商投标（响应）报价平均值</w:t>
            </w:r>
            <w:r>
              <w:rPr>
                <w:rFonts w:hint="eastAsia"/>
                <w:color w:val="000000" w:themeColor="text1"/>
                <w:sz w:val="21"/>
                <w:szCs w:val="21"/>
                <w:highlight w:val="none"/>
                <w:u w:val="single"/>
                <w:lang w:val="en-US" w:eastAsia="zh-CN"/>
                <w14:textFill>
                  <w14:solidFill>
                    <w14:schemeClr w14:val="tx1"/>
                  </w14:solidFill>
                </w14:textFill>
              </w:rPr>
              <w:t xml:space="preserve">  65   </w:t>
            </w:r>
            <w:r>
              <w:rPr>
                <w:rFonts w:hint="eastAsia"/>
                <w:color w:val="000000" w:themeColor="text1"/>
                <w:sz w:val="21"/>
                <w:szCs w:val="21"/>
                <w:highlight w:val="none"/>
                <w:lang w:val="en-US" w:eastAsia="zh-CN"/>
                <w14:textFill>
                  <w14:solidFill>
                    <w14:schemeClr w14:val="tx1"/>
                  </w14:solidFill>
                </w14:textFill>
              </w:rPr>
              <w:t>%的，即投标（响应）报价&lt;全部通过符合性审查供应商投标（响应）报价平均值×</w:t>
            </w:r>
            <w:r>
              <w:rPr>
                <w:rFonts w:hint="eastAsia"/>
                <w:color w:val="000000" w:themeColor="text1"/>
                <w:sz w:val="21"/>
                <w:szCs w:val="21"/>
                <w:highlight w:val="none"/>
                <w:u w:val="single"/>
                <w:lang w:val="en-US" w:eastAsia="zh-CN"/>
                <w14:textFill>
                  <w14:solidFill>
                    <w14:schemeClr w14:val="tx1"/>
                  </w14:solidFill>
                </w14:textFill>
              </w:rPr>
              <w:t xml:space="preserve">    65  </w:t>
            </w:r>
            <w:r>
              <w:rPr>
                <w:rFonts w:hint="eastAsia"/>
                <w:color w:val="000000" w:themeColor="text1"/>
                <w:sz w:val="21"/>
                <w:szCs w:val="21"/>
                <w:highlight w:val="none"/>
                <w:lang w:val="en-US" w:eastAsia="zh-CN"/>
                <w14:textFill>
                  <w14:solidFill>
                    <w14:schemeClr w14:val="tx1"/>
                  </w14:solidFill>
                </w14:textFill>
              </w:rPr>
              <w:t>%；</w:t>
            </w:r>
          </w:p>
          <w:p w14:paraId="2B2F960C">
            <w:pPr>
              <w:pStyle w:val="21"/>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（2）投标（响应）报价低于通过符合性审查的次低报价供应商投标（响应）报价</w:t>
            </w:r>
            <w:r>
              <w:rPr>
                <w:rFonts w:hint="eastAsia"/>
                <w:color w:val="000000" w:themeColor="text1"/>
                <w:sz w:val="21"/>
                <w:szCs w:val="21"/>
                <w:highlight w:val="none"/>
                <w:u w:val="single"/>
                <w:lang w:val="en-US" w:eastAsia="zh-CN"/>
                <w14:textFill>
                  <w14:solidFill>
                    <w14:schemeClr w14:val="tx1"/>
                  </w14:solidFill>
                </w14:textFill>
              </w:rPr>
              <w:t xml:space="preserve">    65  </w:t>
            </w:r>
            <w:r>
              <w:rPr>
                <w:rFonts w:hint="eastAsia"/>
                <w:color w:val="000000" w:themeColor="text1"/>
                <w:sz w:val="21"/>
                <w:szCs w:val="21"/>
                <w:highlight w:val="none"/>
                <w:lang w:val="en-US" w:eastAsia="zh-CN"/>
                <w14:textFill>
                  <w14:solidFill>
                    <w14:schemeClr w14:val="tx1"/>
                  </w14:solidFill>
                </w14:textFill>
              </w:rPr>
              <w:t xml:space="preserve">  %的，即投标（响应）报价&lt;通过符合性审查的次低报价供应商投标（响应）报价×</w:t>
            </w:r>
            <w:r>
              <w:rPr>
                <w:rFonts w:hint="eastAsia"/>
                <w:color w:val="000000" w:themeColor="text1"/>
                <w:sz w:val="21"/>
                <w:szCs w:val="21"/>
                <w:highlight w:val="none"/>
                <w:u w:val="single"/>
                <w:lang w:val="en-US" w:eastAsia="zh-CN"/>
                <w14:textFill>
                  <w14:solidFill>
                    <w14:schemeClr w14:val="tx1"/>
                  </w14:solidFill>
                </w14:textFill>
              </w:rPr>
              <w:t xml:space="preserve">   65    </w:t>
            </w:r>
            <w:r>
              <w:rPr>
                <w:rFonts w:hint="eastAsia"/>
                <w:color w:val="000000" w:themeColor="text1"/>
                <w:sz w:val="21"/>
                <w:szCs w:val="21"/>
                <w:highlight w:val="none"/>
                <w:lang w:val="en-US" w:eastAsia="zh-CN"/>
                <w14:textFill>
                  <w14:solidFill>
                    <w14:schemeClr w14:val="tx1"/>
                  </w14:solidFill>
                </w14:textFill>
              </w:rPr>
              <w:t>%；</w:t>
            </w:r>
          </w:p>
          <w:p w14:paraId="09B0F4BD">
            <w:pPr>
              <w:pStyle w:val="21"/>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（3）投标（响应）报价低于采购项目最高限价</w:t>
            </w:r>
            <w:r>
              <w:rPr>
                <w:rFonts w:hint="eastAsia"/>
                <w:color w:val="000000" w:themeColor="text1"/>
                <w:sz w:val="21"/>
                <w:szCs w:val="21"/>
                <w:highlight w:val="none"/>
                <w:u w:val="single"/>
                <w:lang w:val="en-US" w:eastAsia="zh-CN"/>
                <w14:textFill>
                  <w14:solidFill>
                    <w14:schemeClr w14:val="tx1"/>
                  </w14:solidFill>
                </w14:textFill>
              </w:rPr>
              <w:t xml:space="preserve">    65  </w:t>
            </w:r>
            <w:r>
              <w:rPr>
                <w:rFonts w:hint="eastAsia"/>
                <w:color w:val="000000" w:themeColor="text1"/>
                <w:sz w:val="21"/>
                <w:szCs w:val="21"/>
                <w:highlight w:val="none"/>
                <w:lang w:val="en-US" w:eastAsia="zh-CN"/>
                <w14:textFill>
                  <w14:solidFill>
                    <w14:schemeClr w14:val="tx1"/>
                  </w14:solidFill>
                </w14:textFill>
              </w:rPr>
              <w:t>%的，即投标（响应）报价&lt;采购项目最高限价×</w:t>
            </w:r>
            <w:r>
              <w:rPr>
                <w:rFonts w:hint="eastAsia"/>
                <w:color w:val="000000" w:themeColor="text1"/>
                <w:sz w:val="21"/>
                <w:szCs w:val="21"/>
                <w:highlight w:val="none"/>
                <w:u w:val="single"/>
                <w:lang w:val="en-US" w:eastAsia="zh-CN"/>
                <w14:textFill>
                  <w14:solidFill>
                    <w14:schemeClr w14:val="tx1"/>
                  </w14:solidFill>
                </w14:textFill>
              </w:rPr>
              <w:t xml:space="preserve">    65   </w:t>
            </w:r>
            <w:r>
              <w:rPr>
                <w:rFonts w:hint="eastAsia"/>
                <w:color w:val="000000" w:themeColor="text1"/>
                <w:sz w:val="21"/>
                <w:szCs w:val="21"/>
                <w:highlight w:val="none"/>
                <w:lang w:val="en-US" w:eastAsia="zh-CN"/>
                <w14:textFill>
                  <w14:solidFill>
                    <w14:schemeClr w14:val="tx1"/>
                  </w14:solidFill>
                </w14:textFill>
              </w:rPr>
              <w:t>%；</w:t>
            </w:r>
          </w:p>
          <w:p w14:paraId="3362481B">
            <w:pPr>
              <w:pStyle w:val="21"/>
              <w:rPr>
                <w:rFonts w:ascii="Arial" w:hAnsi="Arial" w:cs="Arial"/>
                <w:color w:val="000000" w:themeColor="text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（4）评审委员会基于专业判断，认为供应商报价过低，有可能影响产品质量或者不能诚信履约的其他情形。</w:t>
            </w:r>
          </w:p>
        </w:tc>
      </w:tr>
      <w:tr w14:paraId="204E78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5FB9658C">
            <w:pPr>
              <w:spacing w:line="300" w:lineRule="exact"/>
              <w:jc w:val="center"/>
              <w:rPr>
                <w:rFonts w:hint="eastAsia" w:ascii="Arial" w:hAnsi="Arial" w:eastAsia="宋体" w:cs="Arial"/>
                <w:b/>
                <w:color w:val="000000" w:themeColor="text1"/>
                <w:szCs w:val="21"/>
                <w:lang w:eastAsia="zh-CN"/>
                <w14:textFill>
                  <w14:solidFill>
                    <w14:schemeClr w14:val="tx1"/>
                  </w14:solidFill>
                </w14:textFill>
              </w:rPr>
            </w:pPr>
            <w:r>
              <w:rPr>
                <w:rFonts w:ascii="Arial" w:hAnsi="Arial" w:cs="Arial"/>
                <w:b/>
                <w:color w:val="000000" w:themeColor="text1"/>
                <w:szCs w:val="21"/>
                <w14:textFill>
                  <w14:solidFill>
                    <w14:schemeClr w14:val="tx1"/>
                  </w14:solidFill>
                </w14:textFill>
              </w:rPr>
              <w:t>6.3.</w:t>
            </w:r>
            <w:r>
              <w:rPr>
                <w:rFonts w:hint="eastAsia" w:ascii="Arial" w:hAnsi="Arial" w:cs="Arial"/>
                <w:b/>
                <w:color w:val="000000" w:themeColor="text1"/>
                <w:szCs w:val="21"/>
                <w:lang w:val="en-US" w:eastAsia="zh-CN"/>
                <w14:textFill>
                  <w14:solidFill>
                    <w14:schemeClr w14:val="tx1"/>
                  </w14:solidFill>
                </w14:textFill>
              </w:rPr>
              <w:t>6</w:t>
            </w:r>
          </w:p>
        </w:tc>
        <w:tc>
          <w:tcPr>
            <w:tcW w:w="1230" w:type="dxa"/>
            <w:tcBorders>
              <w:top w:val="single" w:color="auto" w:sz="4" w:space="0"/>
              <w:left w:val="single" w:color="auto" w:sz="4" w:space="0"/>
              <w:bottom w:val="single" w:color="auto" w:sz="4" w:space="0"/>
              <w:right w:val="single" w:color="auto" w:sz="4" w:space="0"/>
            </w:tcBorders>
            <w:vAlign w:val="center"/>
          </w:tcPr>
          <w:p w14:paraId="2121FFA0">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相同品牌推荐方式</w:t>
            </w:r>
          </w:p>
        </w:tc>
        <w:tc>
          <w:tcPr>
            <w:tcW w:w="8116" w:type="dxa"/>
            <w:tcBorders>
              <w:top w:val="single" w:color="auto" w:sz="4" w:space="0"/>
              <w:left w:val="single" w:color="auto" w:sz="4" w:space="0"/>
              <w:bottom w:val="single" w:color="auto" w:sz="4" w:space="0"/>
              <w:right w:val="single" w:color="auto" w:sz="4" w:space="0"/>
            </w:tcBorders>
            <w:vAlign w:val="center"/>
          </w:tcPr>
          <w:p w14:paraId="203CF05F">
            <w:pPr>
              <w:spacing w:line="276"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采购人委托评审委员会确定</w:t>
            </w:r>
          </w:p>
        </w:tc>
      </w:tr>
      <w:tr w14:paraId="43E915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0F7D5A3D">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6.5.1</w:t>
            </w:r>
          </w:p>
        </w:tc>
        <w:tc>
          <w:tcPr>
            <w:tcW w:w="1230" w:type="dxa"/>
            <w:tcBorders>
              <w:top w:val="single" w:color="auto" w:sz="4" w:space="0"/>
              <w:left w:val="single" w:color="auto" w:sz="4" w:space="0"/>
              <w:bottom w:val="single" w:color="auto" w:sz="4" w:space="0"/>
              <w:right w:val="single" w:color="auto" w:sz="4" w:space="0"/>
            </w:tcBorders>
            <w:vAlign w:val="center"/>
          </w:tcPr>
          <w:p w14:paraId="0AC8C5FE">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结果公告</w:t>
            </w:r>
          </w:p>
        </w:tc>
        <w:tc>
          <w:tcPr>
            <w:tcW w:w="8116" w:type="dxa"/>
            <w:tcBorders>
              <w:top w:val="single" w:color="auto" w:sz="4" w:space="0"/>
              <w:left w:val="single" w:color="auto" w:sz="4" w:space="0"/>
              <w:bottom w:val="single" w:color="auto" w:sz="4" w:space="0"/>
              <w:right w:val="single" w:color="auto" w:sz="4" w:space="0"/>
            </w:tcBorders>
            <w:vAlign w:val="center"/>
          </w:tcPr>
          <w:p w14:paraId="2818A5E1">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采购代理机构在采购人依法确认中标人后2个工作日内在招标公告发布的媒体上发布结果公告。</w:t>
            </w:r>
          </w:p>
        </w:tc>
      </w:tr>
      <w:tr w14:paraId="6A128D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47F8D6EC">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6.5.2</w:t>
            </w:r>
          </w:p>
        </w:tc>
        <w:tc>
          <w:tcPr>
            <w:tcW w:w="1230" w:type="dxa"/>
            <w:tcBorders>
              <w:top w:val="single" w:color="auto" w:sz="4" w:space="0"/>
              <w:left w:val="single" w:color="auto" w:sz="4" w:space="0"/>
              <w:bottom w:val="single" w:color="auto" w:sz="4" w:space="0"/>
              <w:right w:val="single" w:color="auto" w:sz="4" w:space="0"/>
            </w:tcBorders>
            <w:vAlign w:val="center"/>
          </w:tcPr>
          <w:p w14:paraId="6AFCEE71">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中标通知书</w:t>
            </w:r>
          </w:p>
        </w:tc>
        <w:tc>
          <w:tcPr>
            <w:tcW w:w="8116" w:type="dxa"/>
            <w:tcBorders>
              <w:top w:val="single" w:color="auto" w:sz="4" w:space="0"/>
              <w:left w:val="single" w:color="auto" w:sz="4" w:space="0"/>
              <w:bottom w:val="single" w:color="auto" w:sz="4" w:space="0"/>
              <w:right w:val="single" w:color="auto" w:sz="4" w:space="0"/>
            </w:tcBorders>
            <w:vAlign w:val="center"/>
          </w:tcPr>
          <w:p w14:paraId="70534BBD">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中标人到代理机构领取中标通知书</w:t>
            </w:r>
          </w:p>
        </w:tc>
      </w:tr>
      <w:tr w14:paraId="0E0213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78B45330">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6.5.3</w:t>
            </w:r>
          </w:p>
        </w:tc>
        <w:tc>
          <w:tcPr>
            <w:tcW w:w="1230" w:type="dxa"/>
            <w:tcBorders>
              <w:top w:val="single" w:color="auto" w:sz="4" w:space="0"/>
              <w:left w:val="single" w:color="auto" w:sz="4" w:space="0"/>
              <w:bottom w:val="single" w:color="auto" w:sz="4" w:space="0"/>
              <w:right w:val="single" w:color="auto" w:sz="4" w:space="0"/>
            </w:tcBorders>
            <w:vAlign w:val="center"/>
          </w:tcPr>
          <w:p w14:paraId="36EDB9B5">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招标结果通知书</w:t>
            </w:r>
          </w:p>
        </w:tc>
        <w:tc>
          <w:tcPr>
            <w:tcW w:w="8116" w:type="dxa"/>
            <w:tcBorders>
              <w:top w:val="single" w:color="auto" w:sz="4" w:space="0"/>
              <w:left w:val="single" w:color="auto" w:sz="4" w:space="0"/>
              <w:bottom w:val="single" w:color="auto" w:sz="4" w:space="0"/>
              <w:right w:val="single" w:color="auto" w:sz="4" w:space="0"/>
            </w:tcBorders>
            <w:vAlign w:val="center"/>
          </w:tcPr>
          <w:p w14:paraId="162F66F0">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采购代理机构通过</w:t>
            </w:r>
            <w:r>
              <w:rPr>
                <w:rFonts w:ascii="Arial" w:hAnsi="Arial" w:cs="Arial"/>
                <w:color w:val="000000" w:themeColor="text1"/>
                <w:kern w:val="0"/>
                <w:szCs w:val="21"/>
                <w14:textFill>
                  <w14:solidFill>
                    <w14:schemeClr w14:val="tx1"/>
                  </w14:solidFill>
                </w14:textFill>
              </w:rPr>
              <w:t>广西政府采购云平台</w:t>
            </w:r>
            <w:r>
              <w:rPr>
                <w:rFonts w:ascii="Arial" w:hAnsi="Arial" w:cs="Arial"/>
                <w:color w:val="000000" w:themeColor="text1"/>
                <w:szCs w:val="21"/>
                <w14:textFill>
                  <w14:solidFill>
                    <w14:schemeClr w14:val="tx1"/>
                  </w14:solidFill>
                </w14:textFill>
              </w:rPr>
              <w:t>发出招标结果通知书</w:t>
            </w:r>
          </w:p>
          <w:p w14:paraId="6DC6BB58">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招标结果通知书在广西政府采购云平台推送之日起，视为中标人已收到，中标人自行承担未及时查收的后果。</w:t>
            </w:r>
          </w:p>
        </w:tc>
      </w:tr>
      <w:tr w14:paraId="552A73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416DB3F3">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8.1</w:t>
            </w:r>
          </w:p>
        </w:tc>
        <w:tc>
          <w:tcPr>
            <w:tcW w:w="1230" w:type="dxa"/>
            <w:tcBorders>
              <w:top w:val="single" w:color="auto" w:sz="4" w:space="0"/>
              <w:left w:val="single" w:color="auto" w:sz="4" w:space="0"/>
              <w:bottom w:val="single" w:color="auto" w:sz="4" w:space="0"/>
              <w:right w:val="single" w:color="auto" w:sz="4" w:space="0"/>
            </w:tcBorders>
            <w:vAlign w:val="center"/>
          </w:tcPr>
          <w:p w14:paraId="04966F5C">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质疑</w:t>
            </w:r>
          </w:p>
        </w:tc>
        <w:tc>
          <w:tcPr>
            <w:tcW w:w="8116" w:type="dxa"/>
            <w:tcBorders>
              <w:top w:val="single" w:color="auto" w:sz="4" w:space="0"/>
              <w:left w:val="single" w:color="auto" w:sz="4" w:space="0"/>
              <w:bottom w:val="single" w:color="auto" w:sz="4" w:space="0"/>
              <w:right w:val="single" w:color="auto" w:sz="4" w:space="0"/>
            </w:tcBorders>
            <w:vAlign w:val="center"/>
          </w:tcPr>
          <w:p w14:paraId="7E479FA1">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供应商认为招标文件、采购过程、中标或者成交结果使自己的权益受到损害的，可以在知道或者应知其权益受到损害之日起7个工作日内，通过以下方式向采购人、采购代理机构提出质疑。提出质疑的供应商必须是参与本项目采购活动的供应商，并须在法定质疑期内一次性提出针对同一采购程序环节的质疑。质疑函应使用财政部发布的政府采购供应商质疑函范本，并应按照“质疑函制作说明”进行制作。</w:t>
            </w:r>
          </w:p>
          <w:p w14:paraId="6CFE2CEF">
            <w:pPr>
              <w:spacing w:line="3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本项目不接受传真、移动通信、广西政府采购云平台等方式送达的质疑材料，供应商可通过现场或邮寄方式递交书面质疑材料。供应商应于质疑有效期内将质疑函原件递交或邮寄至招标公告中采购代理机构信息中的联系人。</w:t>
            </w:r>
          </w:p>
        </w:tc>
      </w:tr>
      <w:tr w14:paraId="32AD85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58" w:hRule="atLeast"/>
        </w:trPr>
        <w:tc>
          <w:tcPr>
            <w:tcW w:w="755" w:type="dxa"/>
            <w:tcBorders>
              <w:top w:val="single" w:color="auto" w:sz="4" w:space="0"/>
              <w:left w:val="single" w:color="auto" w:sz="4" w:space="0"/>
              <w:bottom w:val="single" w:color="auto" w:sz="4" w:space="0"/>
              <w:right w:val="single" w:color="auto" w:sz="4" w:space="0"/>
            </w:tcBorders>
            <w:vAlign w:val="center"/>
          </w:tcPr>
          <w:p w14:paraId="0F053C45">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9.1</w:t>
            </w:r>
          </w:p>
        </w:tc>
        <w:tc>
          <w:tcPr>
            <w:tcW w:w="1230" w:type="dxa"/>
            <w:tcBorders>
              <w:top w:val="single" w:color="auto" w:sz="4" w:space="0"/>
              <w:left w:val="single" w:color="auto" w:sz="4" w:space="0"/>
              <w:bottom w:val="single" w:color="auto" w:sz="4" w:space="0"/>
              <w:right w:val="single" w:color="auto" w:sz="4" w:space="0"/>
            </w:tcBorders>
            <w:vAlign w:val="center"/>
          </w:tcPr>
          <w:p w14:paraId="2D4C6034">
            <w:pPr>
              <w:spacing w:line="30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0"/>
                <w14:textFill>
                  <w14:solidFill>
                    <w14:schemeClr w14:val="tx1"/>
                  </w14:solidFill>
                </w14:textFill>
              </w:rPr>
              <w:t>代理服务费</w:t>
            </w:r>
          </w:p>
        </w:tc>
        <w:tc>
          <w:tcPr>
            <w:tcW w:w="8116" w:type="dxa"/>
            <w:tcBorders>
              <w:top w:val="single" w:color="auto" w:sz="4" w:space="0"/>
              <w:left w:val="single" w:color="auto" w:sz="4" w:space="0"/>
              <w:bottom w:val="single" w:color="auto" w:sz="4" w:space="0"/>
              <w:right w:val="single" w:color="auto" w:sz="4" w:space="0"/>
            </w:tcBorders>
            <w:vAlign w:val="center"/>
          </w:tcPr>
          <w:p w14:paraId="5DD9D51D">
            <w:pPr>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（1）代理服务费</w:t>
            </w:r>
          </w:p>
          <w:p w14:paraId="2808C76E">
            <w:pPr>
              <w:spacing w:line="300" w:lineRule="exact"/>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sym w:font="Wingdings 2" w:char="0052"/>
            </w:r>
            <w:r>
              <w:rPr>
                <w:rFonts w:ascii="Arial" w:hAnsi="Arial" w:cs="Arial"/>
                <w:color w:val="000000" w:themeColor="text1"/>
                <w14:textFill>
                  <w14:solidFill>
                    <w14:schemeClr w14:val="tx1"/>
                  </w14:solidFill>
                </w14:textFill>
              </w:rPr>
              <w:t>采购代理机构向中标供应商收取代理服务费。本项目代理服务费按照《招标代理服务费管理暂行办法》 (计价格﹝2002﹞1980号)、《国家发展改革委关于降低部分建设项目收费标准规范收费行为等有关问题的通知》(发改价格﹝2011﹞534号)下浮15%后的</w:t>
            </w:r>
            <w:r>
              <w:rPr>
                <w:rFonts w:hint="eastAsia" w:ascii="Arial" w:hAnsi="Arial" w:cs="Arial"/>
                <w:color w:val="000000" w:themeColor="text1"/>
                <w:lang w:val="en-US" w:eastAsia="zh-CN"/>
                <w14:textFill>
                  <w14:solidFill>
                    <w14:schemeClr w14:val="tx1"/>
                  </w14:solidFill>
                </w14:textFill>
              </w:rPr>
              <w:t>85</w:t>
            </w:r>
            <w:r>
              <w:rPr>
                <w:rFonts w:ascii="Arial" w:hAnsi="Arial" w:cs="Arial"/>
                <w:color w:val="000000" w:themeColor="text1"/>
                <w14:textFill>
                  <w14:solidFill>
                    <w14:schemeClr w14:val="tx1"/>
                  </w14:solidFill>
                </w14:textFill>
              </w:rPr>
              <w:t>%采用差额定率累进法计算。具体费率如下：</w:t>
            </w:r>
          </w:p>
          <w:p w14:paraId="56EC2B15">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①中标金额在100万元以下的：</w:t>
            </w:r>
          </w:p>
          <w:p w14:paraId="550A0745">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货物1.5％；服务招标1.5％；工程招标1.0％；</w:t>
            </w:r>
          </w:p>
          <w:p w14:paraId="2794A011">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②中标金额在100-500万元之间：</w:t>
            </w:r>
          </w:p>
          <w:p w14:paraId="773F0DFB">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货物1.1％；服务招标0.8％；工程招标0.7％；</w:t>
            </w:r>
          </w:p>
          <w:p w14:paraId="574F3A2E">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③中标金额在500-1000万元之间：</w:t>
            </w:r>
          </w:p>
          <w:p w14:paraId="7C07D32D">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货物0.8％；服务招标0.45％；工程招标0.55％；</w:t>
            </w:r>
          </w:p>
          <w:p w14:paraId="3B506D0A">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④中标金额在1000-5000万元之间：</w:t>
            </w:r>
          </w:p>
          <w:p w14:paraId="647C27DE">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货物0.5％；服务招标0.25％；工程招标0.35％；</w:t>
            </w:r>
          </w:p>
          <w:p w14:paraId="61F5DD91">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w:t>
            </w:r>
          </w:p>
          <w:p w14:paraId="124FBEFD">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差额定率累进法计算过程示例：</w:t>
            </w:r>
          </w:p>
          <w:p w14:paraId="5FC0E74A">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例如：某货物招标代理业务中标金额为300万元，招标代理服务费金额按如下计算：</w:t>
            </w:r>
          </w:p>
          <w:p w14:paraId="3628686C">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100万元×1.5%＝1.5万元</w:t>
            </w:r>
          </w:p>
          <w:p w14:paraId="37589D95">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（300－100）万元×1.1%＝2.2万元</w:t>
            </w:r>
          </w:p>
          <w:p w14:paraId="126369B1">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合计收费＝（1.5＋2.2）*85%*</w:t>
            </w:r>
            <w:r>
              <w:rPr>
                <w:rFonts w:hint="eastAsia" w:ascii="Arial" w:hAnsi="Arial" w:cs="Arial"/>
                <w:color w:val="000000" w:themeColor="text1"/>
                <w:lang w:val="en-US" w:eastAsia="zh-CN"/>
                <w14:textFill>
                  <w14:solidFill>
                    <w14:schemeClr w14:val="tx1"/>
                  </w14:solidFill>
                </w14:textFill>
              </w:rPr>
              <w:t>85</w:t>
            </w:r>
            <w:r>
              <w:rPr>
                <w:rFonts w:ascii="Arial" w:hAnsi="Arial" w:cs="Arial"/>
                <w:color w:val="000000" w:themeColor="text1"/>
                <w14:textFill>
                  <w14:solidFill>
                    <w14:schemeClr w14:val="tx1"/>
                  </w14:solidFill>
                </w14:textFill>
              </w:rPr>
              <w:t>%=</w:t>
            </w:r>
            <w:r>
              <w:rPr>
                <w:rFonts w:hint="eastAsia" w:ascii="Arial" w:hAnsi="Arial" w:cs="Arial"/>
                <w:color w:val="000000" w:themeColor="text1"/>
                <w:lang w:val="en-US" w:eastAsia="zh-CN"/>
                <w14:textFill>
                  <w14:solidFill>
                    <w14:schemeClr w14:val="tx1"/>
                  </w14:solidFill>
                </w14:textFill>
              </w:rPr>
              <w:t>2.67</w:t>
            </w:r>
            <w:r>
              <w:rPr>
                <w:rFonts w:ascii="Arial" w:hAnsi="Arial" w:cs="Arial"/>
                <w:color w:val="000000" w:themeColor="text1"/>
                <w14:textFill>
                  <w14:solidFill>
                    <w14:schemeClr w14:val="tx1"/>
                  </w14:solidFill>
                </w14:textFill>
              </w:rPr>
              <w:t>万元</w:t>
            </w:r>
          </w:p>
          <w:p w14:paraId="70984586">
            <w:pPr>
              <w:spacing w:line="288" w:lineRule="auto"/>
              <w:jc w:val="left"/>
              <w:rPr>
                <w:rFonts w:ascii="Arial" w:hAnsi="Arial" w:cs="Arial"/>
                <w:color w:val="000000" w:themeColor="text1"/>
                <w14:textFill>
                  <w14:solidFill>
                    <w14:schemeClr w14:val="tx1"/>
                  </w14:solidFill>
                </w14:textFill>
              </w:rPr>
            </w:pPr>
          </w:p>
          <w:p w14:paraId="33F778AA">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sym w:font="Wingdings 2" w:char="F0A3"/>
            </w:r>
            <w:r>
              <w:rPr>
                <w:rFonts w:ascii="Arial" w:hAnsi="Arial" w:cs="Arial"/>
                <w:color w:val="000000" w:themeColor="text1"/>
                <w14:textFill>
                  <w14:solidFill>
                    <w14:schemeClr w14:val="tx1"/>
                  </w14:solidFill>
                </w14:textFill>
              </w:rPr>
              <w:t>采购代理机构向中标供应商收取代理服务费，具体金额为             。</w:t>
            </w:r>
          </w:p>
          <w:p w14:paraId="0D34EECC">
            <w:pPr>
              <w:spacing w:line="288" w:lineRule="auto"/>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（2）中标供应商在中标通知书发出前以银行转账或现金形式支付代理服务费。</w:t>
            </w:r>
          </w:p>
          <w:p w14:paraId="2F7BA39E">
            <w:pPr>
              <w:spacing w:line="288" w:lineRule="auto"/>
              <w:rPr>
                <w:rFonts w:ascii="Arial" w:hAnsi="Arial" w:cs="Arial"/>
                <w:b/>
                <w:color w:val="000000" w:themeColor="text1"/>
                <w14:textFill>
                  <w14:solidFill>
                    <w14:schemeClr w14:val="tx1"/>
                  </w14:solidFill>
                </w14:textFill>
              </w:rPr>
            </w:pPr>
            <w:r>
              <w:rPr>
                <w:rFonts w:ascii="Arial" w:hAnsi="Arial" w:cs="Arial"/>
                <w:b/>
                <w:color w:val="000000" w:themeColor="text1"/>
                <w14:textFill>
                  <w14:solidFill>
                    <w14:schemeClr w14:val="tx1"/>
                  </w14:solidFill>
                </w14:textFill>
              </w:rPr>
              <w:t>交纳招标代理服务费的银行账户：</w:t>
            </w:r>
          </w:p>
          <w:p w14:paraId="07F118D4">
            <w:pPr>
              <w:spacing w:line="300" w:lineRule="exact"/>
              <w:jc w:val="left"/>
              <w:rPr>
                <w:rFonts w:hint="eastAsia" w:ascii="Arial" w:hAnsi="Arial" w:cs="Arial"/>
                <w:b/>
                <w:color w:val="000000" w:themeColor="text1"/>
                <w:szCs w:val="21"/>
                <w14:textFill>
                  <w14:solidFill>
                    <w14:schemeClr w14:val="tx1"/>
                  </w14:solidFill>
                </w14:textFill>
              </w:rPr>
            </w:pPr>
            <w:r>
              <w:rPr>
                <w:rFonts w:hint="eastAsia" w:ascii="Arial" w:hAnsi="Arial" w:cs="Arial"/>
                <w:b/>
                <w:color w:val="000000" w:themeColor="text1"/>
                <w:szCs w:val="21"/>
                <w14:textFill>
                  <w14:solidFill>
                    <w14:schemeClr w14:val="tx1"/>
                  </w14:solidFill>
                </w14:textFill>
              </w:rPr>
              <w:t>公司名称：广西机电设备招标有限公司桂林七星分公司</w:t>
            </w:r>
          </w:p>
          <w:p w14:paraId="6BEFF262">
            <w:pPr>
              <w:spacing w:line="300" w:lineRule="exact"/>
              <w:jc w:val="left"/>
              <w:rPr>
                <w:rFonts w:hint="eastAsia" w:ascii="Arial" w:hAnsi="Arial" w:cs="Arial"/>
                <w:b/>
                <w:color w:val="000000" w:themeColor="text1"/>
                <w:szCs w:val="21"/>
                <w14:textFill>
                  <w14:solidFill>
                    <w14:schemeClr w14:val="tx1"/>
                  </w14:solidFill>
                </w14:textFill>
              </w:rPr>
            </w:pPr>
            <w:r>
              <w:rPr>
                <w:rFonts w:hint="eastAsia" w:ascii="Arial" w:hAnsi="Arial" w:cs="Arial"/>
                <w:b/>
                <w:color w:val="000000" w:themeColor="text1"/>
                <w:szCs w:val="21"/>
                <w14:textFill>
                  <w14:solidFill>
                    <w14:schemeClr w14:val="tx1"/>
                  </w14:solidFill>
                </w14:textFill>
              </w:rPr>
              <w:t>开户银行：交通银行桂林高新支行</w:t>
            </w:r>
          </w:p>
          <w:p w14:paraId="34670C9D">
            <w:pPr>
              <w:spacing w:line="300" w:lineRule="exact"/>
              <w:jc w:val="left"/>
              <w:rPr>
                <w:rFonts w:ascii="Arial" w:hAnsi="Arial" w:cs="Arial"/>
                <w:color w:val="000000" w:themeColor="text1"/>
                <w:kern w:val="0"/>
                <w:szCs w:val="21"/>
                <w14:textFill>
                  <w14:solidFill>
                    <w14:schemeClr w14:val="tx1"/>
                  </w14:solidFill>
                </w14:textFill>
              </w:rPr>
            </w:pPr>
            <w:r>
              <w:rPr>
                <w:rFonts w:hint="eastAsia" w:ascii="Arial" w:hAnsi="Arial" w:cs="Arial"/>
                <w:b/>
                <w:color w:val="000000" w:themeColor="text1"/>
                <w:szCs w:val="21"/>
                <w14:textFill>
                  <w14:solidFill>
                    <w14:schemeClr w14:val="tx1"/>
                  </w14:solidFill>
                </w14:textFill>
              </w:rPr>
              <w:t>银行账号：453060811013000380456</w:t>
            </w:r>
          </w:p>
        </w:tc>
      </w:tr>
      <w:tr w14:paraId="1DA502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755" w:type="dxa"/>
            <w:tcBorders>
              <w:top w:val="single" w:color="auto" w:sz="4" w:space="0"/>
              <w:left w:val="single" w:color="auto" w:sz="4" w:space="0"/>
              <w:bottom w:val="single" w:color="auto" w:sz="4" w:space="0"/>
              <w:right w:val="single" w:color="auto" w:sz="4" w:space="0"/>
            </w:tcBorders>
            <w:vAlign w:val="center"/>
          </w:tcPr>
          <w:p w14:paraId="4004289F">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9.3</w:t>
            </w:r>
          </w:p>
        </w:tc>
        <w:tc>
          <w:tcPr>
            <w:tcW w:w="1230" w:type="dxa"/>
            <w:tcBorders>
              <w:top w:val="single" w:color="auto" w:sz="4" w:space="0"/>
              <w:left w:val="single" w:color="auto" w:sz="4" w:space="0"/>
              <w:bottom w:val="single" w:color="auto" w:sz="4" w:space="0"/>
              <w:right w:val="single" w:color="auto" w:sz="4" w:space="0"/>
            </w:tcBorders>
            <w:vAlign w:val="center"/>
          </w:tcPr>
          <w:p w14:paraId="6F6EA9F1">
            <w:pPr>
              <w:spacing w:line="300" w:lineRule="exact"/>
              <w:jc w:val="center"/>
              <w:rPr>
                <w:rFonts w:ascii="Arial" w:hAnsi="Arial" w:cs="Arial"/>
                <w:color w:val="000000" w:themeColor="text1"/>
                <w:szCs w:val="20"/>
                <w14:textFill>
                  <w14:solidFill>
                    <w14:schemeClr w14:val="tx1"/>
                  </w14:solidFill>
                </w14:textFill>
              </w:rPr>
            </w:pPr>
            <w:r>
              <w:rPr>
                <w:rFonts w:ascii="Arial" w:hAnsi="Arial" w:cs="Arial"/>
                <w:color w:val="000000" w:themeColor="text1"/>
                <w:szCs w:val="20"/>
                <w14:textFill>
                  <w14:solidFill>
                    <w14:schemeClr w14:val="tx1"/>
                  </w14:solidFill>
                </w14:textFill>
              </w:rPr>
              <w:t>附件</w:t>
            </w:r>
          </w:p>
        </w:tc>
        <w:tc>
          <w:tcPr>
            <w:tcW w:w="8116" w:type="dxa"/>
            <w:tcBorders>
              <w:top w:val="single" w:color="auto" w:sz="4" w:space="0"/>
              <w:left w:val="single" w:color="auto" w:sz="4" w:space="0"/>
              <w:bottom w:val="single" w:color="auto" w:sz="4" w:space="0"/>
              <w:right w:val="single" w:color="auto" w:sz="4" w:space="0"/>
            </w:tcBorders>
            <w:vAlign w:val="center"/>
          </w:tcPr>
          <w:p w14:paraId="59655365">
            <w:pPr>
              <w:spacing w:line="276" w:lineRule="auto"/>
              <w:rPr>
                <w:rFonts w:ascii="Arial" w:hAnsi="Arial" w:cs="Arial"/>
                <w:color w:val="000000" w:themeColor="text1"/>
                <w:szCs w:val="21"/>
                <w:u w:val="single"/>
                <w14:textFill>
                  <w14:solidFill>
                    <w14:schemeClr w14:val="tx1"/>
                  </w14:solidFill>
                </w14:textFill>
              </w:rPr>
            </w:pPr>
            <w:r>
              <w:rPr>
                <w:rFonts w:ascii="Arial" w:hAnsi="Arial" w:cs="Arial"/>
                <w:color w:val="000000" w:themeColor="text1"/>
                <w:szCs w:val="21"/>
                <w14:textFill>
                  <w14:solidFill>
                    <w14:schemeClr w14:val="tx1"/>
                  </w14:solidFill>
                </w14:textFill>
              </w:rPr>
              <w:t>无</w:t>
            </w:r>
          </w:p>
        </w:tc>
      </w:tr>
      <w:tr w14:paraId="0DDDF4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55" w:type="dxa"/>
            <w:tcBorders>
              <w:top w:val="single" w:color="auto" w:sz="4" w:space="0"/>
              <w:left w:val="single" w:color="auto" w:sz="4" w:space="0"/>
              <w:bottom w:val="single" w:color="auto" w:sz="4" w:space="0"/>
              <w:right w:val="single" w:color="auto" w:sz="4" w:space="0"/>
            </w:tcBorders>
            <w:vAlign w:val="center"/>
          </w:tcPr>
          <w:p w14:paraId="1BBE458B">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9.3</w:t>
            </w:r>
          </w:p>
        </w:tc>
        <w:tc>
          <w:tcPr>
            <w:tcW w:w="1230" w:type="dxa"/>
            <w:tcBorders>
              <w:top w:val="single" w:color="auto" w:sz="4" w:space="0"/>
              <w:left w:val="single" w:color="auto" w:sz="4" w:space="0"/>
              <w:bottom w:val="single" w:color="auto" w:sz="4" w:space="0"/>
              <w:right w:val="single" w:color="auto" w:sz="4" w:space="0"/>
            </w:tcBorders>
            <w:vAlign w:val="center"/>
          </w:tcPr>
          <w:p w14:paraId="54418773">
            <w:pPr>
              <w:spacing w:line="300" w:lineRule="exact"/>
              <w:jc w:val="center"/>
              <w:rPr>
                <w:rFonts w:ascii="Arial" w:hAnsi="Arial" w:cs="Arial"/>
                <w:color w:val="000000" w:themeColor="text1"/>
                <w:szCs w:val="20"/>
                <w14:textFill>
                  <w14:solidFill>
                    <w14:schemeClr w14:val="tx1"/>
                  </w14:solidFill>
                </w14:textFill>
              </w:rPr>
            </w:pPr>
            <w:r>
              <w:rPr>
                <w:rFonts w:ascii="Arial" w:hAnsi="Arial" w:cs="Arial"/>
                <w:color w:val="000000" w:themeColor="text1"/>
                <w:szCs w:val="20"/>
                <w14:textFill>
                  <w14:solidFill>
                    <w14:schemeClr w14:val="tx1"/>
                  </w14:solidFill>
                </w14:textFill>
              </w:rPr>
              <w:t>图纸</w:t>
            </w:r>
          </w:p>
        </w:tc>
        <w:tc>
          <w:tcPr>
            <w:tcW w:w="8116" w:type="dxa"/>
            <w:tcBorders>
              <w:top w:val="single" w:color="auto" w:sz="4" w:space="0"/>
              <w:left w:val="single" w:color="auto" w:sz="4" w:space="0"/>
              <w:bottom w:val="single" w:color="auto" w:sz="4" w:space="0"/>
              <w:right w:val="single" w:color="auto" w:sz="4" w:space="0"/>
            </w:tcBorders>
            <w:vAlign w:val="center"/>
          </w:tcPr>
          <w:p w14:paraId="30F5A46B">
            <w:pPr>
              <w:spacing w:line="276" w:lineRule="auto"/>
              <w:rPr>
                <w:rFonts w:ascii="Arial" w:hAnsi="Arial" w:cs="Arial"/>
                <w:color w:val="000000" w:themeColor="text1"/>
                <w:szCs w:val="21"/>
                <w:u w:val="single"/>
                <w14:textFill>
                  <w14:solidFill>
                    <w14:schemeClr w14:val="tx1"/>
                  </w14:solidFill>
                </w14:textFill>
              </w:rPr>
            </w:pPr>
            <w:r>
              <w:rPr>
                <w:rFonts w:ascii="Arial" w:hAnsi="Arial" w:cs="Arial"/>
                <w:color w:val="000000" w:themeColor="text1"/>
                <w:szCs w:val="21"/>
                <w14:textFill>
                  <w14:solidFill>
                    <w14:schemeClr w14:val="tx1"/>
                  </w14:solidFill>
                </w14:textFill>
              </w:rPr>
              <w:t>无</w:t>
            </w:r>
          </w:p>
        </w:tc>
      </w:tr>
      <w:tr w14:paraId="564076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755" w:type="dxa"/>
            <w:tcBorders>
              <w:top w:val="single" w:color="auto" w:sz="4" w:space="0"/>
              <w:left w:val="single" w:color="auto" w:sz="4" w:space="0"/>
              <w:bottom w:val="single" w:color="auto" w:sz="4" w:space="0"/>
              <w:right w:val="single" w:color="auto" w:sz="4" w:space="0"/>
            </w:tcBorders>
            <w:vAlign w:val="center"/>
          </w:tcPr>
          <w:p w14:paraId="4ADC6F7F">
            <w:pPr>
              <w:spacing w:line="30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9.4</w:t>
            </w:r>
          </w:p>
        </w:tc>
        <w:tc>
          <w:tcPr>
            <w:tcW w:w="1230" w:type="dxa"/>
            <w:tcBorders>
              <w:top w:val="single" w:color="auto" w:sz="4" w:space="0"/>
              <w:left w:val="single" w:color="auto" w:sz="4" w:space="0"/>
              <w:bottom w:val="single" w:color="auto" w:sz="4" w:space="0"/>
              <w:right w:val="single" w:color="auto" w:sz="4" w:space="0"/>
            </w:tcBorders>
            <w:vAlign w:val="center"/>
          </w:tcPr>
          <w:p w14:paraId="780B7623">
            <w:pPr>
              <w:spacing w:line="300" w:lineRule="exact"/>
              <w:jc w:val="center"/>
              <w:rPr>
                <w:rFonts w:ascii="Arial" w:hAnsi="Arial" w:cs="Arial"/>
                <w:color w:val="000000" w:themeColor="text1"/>
                <w:szCs w:val="20"/>
                <w14:textFill>
                  <w14:solidFill>
                    <w14:schemeClr w14:val="tx1"/>
                  </w14:solidFill>
                </w14:textFill>
              </w:rPr>
            </w:pPr>
            <w:r>
              <w:rPr>
                <w:rFonts w:ascii="Arial" w:hAnsi="Arial" w:cs="Arial"/>
                <w:color w:val="000000" w:themeColor="text1"/>
                <w:szCs w:val="20"/>
                <w14:textFill>
                  <w14:solidFill>
                    <w14:schemeClr w14:val="tx1"/>
                  </w14:solidFill>
                </w14:textFill>
              </w:rPr>
              <w:t>其他事项</w:t>
            </w:r>
          </w:p>
        </w:tc>
        <w:tc>
          <w:tcPr>
            <w:tcW w:w="8116" w:type="dxa"/>
            <w:tcBorders>
              <w:top w:val="single" w:color="auto" w:sz="4" w:space="0"/>
              <w:left w:val="single" w:color="auto" w:sz="4" w:space="0"/>
              <w:bottom w:val="single" w:color="auto" w:sz="4" w:space="0"/>
              <w:right w:val="single" w:color="auto" w:sz="4" w:space="0"/>
            </w:tcBorders>
            <w:vAlign w:val="center"/>
          </w:tcPr>
          <w:p w14:paraId="4A521DDB">
            <w:pPr>
              <w:spacing w:line="276" w:lineRule="auto"/>
              <w:rPr>
                <w:rFonts w:ascii="Arial" w:hAnsi="Arial" w:cs="Arial"/>
                <w:color w:val="000000" w:themeColor="text1"/>
                <w:sz w:val="24"/>
                <w14:textFill>
                  <w14:solidFill>
                    <w14:schemeClr w14:val="tx1"/>
                  </w14:solidFill>
                </w14:textFill>
              </w:rPr>
            </w:pPr>
            <w:r>
              <w:rPr>
                <w:rFonts w:ascii="Arial" w:hAnsi="Arial" w:cs="Arial"/>
                <w:color w:val="000000" w:themeColor="text1"/>
                <w:szCs w:val="21"/>
                <w14:textFill>
                  <w14:solidFill>
                    <w14:schemeClr w14:val="tx1"/>
                  </w14:solidFill>
                </w14:textFill>
              </w:rPr>
              <w:t>本文件中内容如有前后不一致，以在招标文件先出现的为准。</w:t>
            </w:r>
          </w:p>
        </w:tc>
      </w:tr>
    </w:tbl>
    <w:p w14:paraId="1C8DE61A">
      <w:pPr>
        <w:spacing w:before="120" w:line="320" w:lineRule="atLeast"/>
        <w:outlineLvl w:val="1"/>
        <w:rPr>
          <w:rFonts w:ascii="Arial" w:hAnsi="Arial" w:cs="Arial"/>
          <w:bCs/>
          <w:color w:val="000000" w:themeColor="text1"/>
          <w:kern w:val="0"/>
          <w:sz w:val="28"/>
          <w:szCs w:val="28"/>
          <w14:textFill>
            <w14:solidFill>
              <w14:schemeClr w14:val="tx1"/>
            </w14:solidFill>
          </w14:textFill>
        </w:rPr>
        <w:sectPr>
          <w:type w:val="continuous"/>
          <w:pgSz w:w="11906" w:h="16838"/>
          <w:pgMar w:top="993" w:right="1133" w:bottom="1246" w:left="998" w:header="851" w:footer="992" w:gutter="0"/>
          <w:cols w:space="720" w:num="1"/>
          <w:titlePg/>
          <w:docGrid w:linePitch="312" w:charSpace="0"/>
        </w:sectPr>
      </w:pPr>
    </w:p>
    <w:p w14:paraId="021BA1B5">
      <w:pPr>
        <w:spacing w:before="120" w:line="320" w:lineRule="atLeast"/>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1．总则</w:t>
      </w:r>
    </w:p>
    <w:p w14:paraId="7970AF14">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bookmarkStart w:id="20" w:name="_Toc254970668"/>
      <w:bookmarkStart w:id="21" w:name="_Toc254970527"/>
      <w:r>
        <w:rPr>
          <w:rFonts w:ascii="Arial" w:hAnsi="Arial" w:cs="Arial"/>
          <w:b/>
          <w:bCs/>
          <w:color w:val="000000" w:themeColor="text1"/>
          <w:kern w:val="0"/>
          <w:szCs w:val="21"/>
          <w14:textFill>
            <w14:solidFill>
              <w14:schemeClr w14:val="tx1"/>
            </w14:solidFill>
          </w14:textFill>
        </w:rPr>
        <w:t>1.1适用范围</w:t>
      </w:r>
      <w:bookmarkEnd w:id="20"/>
      <w:bookmarkEnd w:id="21"/>
    </w:p>
    <w:p w14:paraId="03CDC187">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本招标文件适用于供应商须知前附表所述项目的政府采购活动。</w:t>
      </w:r>
    </w:p>
    <w:p w14:paraId="42E82E9F">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bookmarkStart w:id="22" w:name="_Toc254970669"/>
      <w:bookmarkStart w:id="23" w:name="_Toc254970528"/>
      <w:r>
        <w:rPr>
          <w:rFonts w:ascii="Arial" w:hAnsi="Arial" w:cs="Arial"/>
          <w:b/>
          <w:bCs/>
          <w:color w:val="000000" w:themeColor="text1"/>
          <w:kern w:val="0"/>
          <w:szCs w:val="21"/>
          <w14:textFill>
            <w14:solidFill>
              <w14:schemeClr w14:val="tx1"/>
            </w14:solidFill>
          </w14:textFill>
        </w:rPr>
        <w:t>1.2定义</w:t>
      </w:r>
      <w:bookmarkEnd w:id="22"/>
      <w:bookmarkEnd w:id="23"/>
    </w:p>
    <w:p w14:paraId="6F42A785">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1.2.1“采购人”系指依法进行政府采购的国家机关、事业单位、团体组织。</w:t>
      </w:r>
    </w:p>
    <w:p w14:paraId="14FA68B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1.2.2“供应商”系</w:t>
      </w:r>
      <w:r>
        <w:rPr>
          <w:rFonts w:ascii="Arial" w:hAnsi="Arial" w:cs="Arial"/>
          <w:color w:val="000000" w:themeColor="text1"/>
          <w14:textFill>
            <w14:solidFill>
              <w14:schemeClr w14:val="tx1"/>
            </w14:solidFill>
          </w14:textFill>
        </w:rPr>
        <w:t>指响应招标、参加投标竞争的法人、其他组织或者自然人</w:t>
      </w:r>
      <w:r>
        <w:rPr>
          <w:rFonts w:ascii="Arial" w:hAnsi="Arial" w:cs="Arial"/>
          <w:color w:val="000000" w:themeColor="text1"/>
          <w:szCs w:val="21"/>
          <w14:textFill>
            <w14:solidFill>
              <w14:schemeClr w14:val="tx1"/>
            </w14:solidFill>
          </w14:textFill>
        </w:rPr>
        <w:t>。</w:t>
      </w:r>
    </w:p>
    <w:p w14:paraId="76BAF9DE">
      <w:pPr>
        <w:spacing w:before="120" w:line="360" w:lineRule="auto"/>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1.2.3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个体工商户的，是指个体工商户营业执照上的经营者；当供应商是自然人的，是指参与本项目响应的自然人本人。</w:t>
      </w:r>
    </w:p>
    <w:p w14:paraId="409C835D">
      <w:pPr>
        <w:spacing w:before="120" w:line="360" w:lineRule="auto"/>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536A3621">
      <w:pPr>
        <w:widowControl/>
        <w:spacing w:line="360"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1.2.5“书面形式”如无特殊规定，书面形式是合同书、信件、电报、电传等可以有形地表现所载内容的形式。以电子数据交换、电子邮件等方式能够有形地表现所载内容，并可以随时调取查用的数据电文，视为书面形式。招标文件如有特殊规定，以招标文件规定为准。 </w:t>
      </w:r>
    </w:p>
    <w:p w14:paraId="7518A45C">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1.2.6本项目的技术商务要求重要性分为“▲”（如有）、“</w:t>
      </w:r>
      <w:r>
        <w:rPr>
          <w:rFonts w:hint="eastAsia" w:ascii="宋体" w:hAnsi="宋体" w:eastAsia="宋体" w:cs="宋体"/>
          <w:bCs/>
          <w:color w:val="000000"/>
          <w:sz w:val="21"/>
          <w:szCs w:val="21"/>
          <w:highlight w:val="none"/>
        </w:rPr>
        <w:t>●</w:t>
      </w:r>
      <w:r>
        <w:rPr>
          <w:rFonts w:ascii="Arial" w:hAnsi="Arial" w:cs="Arial"/>
          <w:color w:val="000000" w:themeColor="text1"/>
          <w:szCs w:val="21"/>
          <w14:textFill>
            <w14:solidFill>
              <w14:schemeClr w14:val="tx1"/>
            </w14:solidFill>
          </w14:textFill>
        </w:rPr>
        <w:t>（如有）和一般无标识指标。▲代表实质性要求指标，</w:t>
      </w:r>
      <w:r>
        <w:rPr>
          <w:rFonts w:ascii="Arial" w:hAnsi="Arial" w:cs="Arial"/>
          <w:b/>
          <w:bCs/>
          <w:color w:val="000000" w:themeColor="text1"/>
          <w:szCs w:val="21"/>
          <w14:textFill>
            <w14:solidFill>
              <w14:schemeClr w14:val="tx1"/>
            </w14:solidFill>
          </w14:textFill>
        </w:rPr>
        <w:t>不满足该指标项将导致投标被否决</w:t>
      </w:r>
      <w:r>
        <w:rPr>
          <w:rFonts w:ascii="Arial" w:hAnsi="Arial" w:cs="Arial"/>
          <w:color w:val="000000" w:themeColor="text1"/>
          <w:szCs w:val="21"/>
          <w14:textFill>
            <w14:solidFill>
              <w14:schemeClr w14:val="tx1"/>
            </w14:solidFill>
          </w14:textFill>
        </w:rPr>
        <w:t>，</w:t>
      </w:r>
      <w:r>
        <w:rPr>
          <w:rFonts w:hint="eastAsia" w:ascii="宋体" w:hAnsi="宋体" w:eastAsia="宋体" w:cs="宋体"/>
          <w:bCs/>
          <w:color w:val="000000"/>
          <w:sz w:val="21"/>
          <w:szCs w:val="21"/>
          <w:highlight w:val="none"/>
        </w:rPr>
        <w:t>●</w:t>
      </w:r>
      <w:r>
        <w:rPr>
          <w:rFonts w:ascii="Arial" w:hAnsi="Arial" w:cs="Arial"/>
          <w:color w:val="000000" w:themeColor="text1"/>
          <w:szCs w:val="21"/>
          <w14:textFill>
            <w14:solidFill>
              <w14:schemeClr w14:val="tx1"/>
            </w14:solidFill>
          </w14:textFill>
        </w:rPr>
        <w:t>代表重要指标，无标识则表示一般指标项。</w:t>
      </w:r>
    </w:p>
    <w:p w14:paraId="22AF403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1.2.7 本招标文件出现多种选项的条款，以“</w:t>
      </w:r>
      <w:r>
        <w:rPr>
          <w:rFonts w:ascii="Arial" w:hAnsi="Arial" w:cs="Arial"/>
          <w:color w:val="000000" w:themeColor="text1"/>
          <w14:textFill>
            <w14:solidFill>
              <w14:schemeClr w14:val="tx1"/>
            </w14:solidFill>
          </w14:textFill>
        </w:rPr>
        <w:sym w:font="Wingdings 2" w:char="F052"/>
      </w:r>
      <w:r>
        <w:rPr>
          <w:rFonts w:ascii="Arial" w:hAnsi="Arial" w:cs="Arial"/>
          <w:color w:val="000000" w:themeColor="text1"/>
          <w:szCs w:val="21"/>
          <w14:textFill>
            <w14:solidFill>
              <w14:schemeClr w14:val="tx1"/>
            </w14:solidFill>
          </w14:textFill>
        </w:rPr>
        <w:t>”表示本条款所选择的方式。</w:t>
      </w:r>
    </w:p>
    <w:p w14:paraId="14E0CCAF">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1.2.8 “电子交易平台”是指以数据电文形式在线完成采购活动的信息平台，本招标文件中也称“广西政府采购云平台”。</w:t>
      </w:r>
    </w:p>
    <w:p w14:paraId="7FA3A058">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1.3项目信息</w:t>
      </w:r>
    </w:p>
    <w:p w14:paraId="58AA0295">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1.3.1项目名称及编号：详见供应商须知前附表</w:t>
      </w:r>
    </w:p>
    <w:p w14:paraId="66E9A23D">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1.3.2采购方式：详见供应商须知前附表</w:t>
      </w:r>
    </w:p>
    <w:p w14:paraId="5B4608EF">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bookmarkStart w:id="24" w:name="_Hlk132812137"/>
      <w:r>
        <w:rPr>
          <w:rFonts w:ascii="Arial" w:hAnsi="Arial" w:cs="Arial"/>
          <w:b/>
          <w:bCs/>
          <w:color w:val="000000" w:themeColor="text1"/>
          <w:kern w:val="0"/>
          <w:szCs w:val="21"/>
          <w14:textFill>
            <w14:solidFill>
              <w14:schemeClr w14:val="tx1"/>
            </w14:solidFill>
          </w14:textFill>
        </w:rPr>
        <w:t>1.4促进中小企业发展政策</w:t>
      </w:r>
    </w:p>
    <w:p w14:paraId="293D5392">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1.4.1本项目落实促进中小企业发展政策措施在前附表规定。依据促进中小企业发展政策获得政府采购合同的，小微企业不得将合同分包给大中型企业，中型企业不得将合同分包给大型企业。</w:t>
      </w:r>
    </w:p>
    <w:p w14:paraId="65D049C6">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bookmarkStart w:id="25" w:name="_Hlk138842976"/>
      <w:r>
        <w:rPr>
          <w:rFonts w:ascii="Arial" w:hAnsi="Arial" w:cs="Arial"/>
          <w:color w:val="000000" w:themeColor="text1"/>
          <w:szCs w:val="21"/>
          <w14:textFill>
            <w14:solidFill>
              <w14:schemeClr w14:val="tx1"/>
            </w14:solidFill>
          </w14:textFill>
        </w:rPr>
        <w:t>根据《政府采购促进中小企业发展管理办法》（财库[2020]46号）第九条以及《广西壮族自治区财政厅 广西壮族自治区工业和信息化厅转发财政部 工业和信息化部政府采购促进中小企业发展管理办法的通知》（桂财采[2021]70号）规定，</w:t>
      </w:r>
      <w:bookmarkEnd w:id="25"/>
      <w:bookmarkStart w:id="26" w:name="_Hlk92205820"/>
      <w:r>
        <w:rPr>
          <w:rFonts w:ascii="Arial" w:hAnsi="Arial" w:cs="Arial"/>
          <w:color w:val="000000" w:themeColor="text1"/>
          <w:szCs w:val="21"/>
          <w14:textFill>
            <w14:solidFill>
              <w14:schemeClr w14:val="tx1"/>
            </w14:solidFill>
          </w14:textFill>
        </w:rPr>
        <w:t>价格扣除比例在第四章评审方法及标准中规定，对小型企业和微型企业同等对待，不作区分。</w:t>
      </w:r>
    </w:p>
    <w:p w14:paraId="65455A79">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1.4.2中小企业定义</w:t>
      </w:r>
    </w:p>
    <w:p w14:paraId="4B140D37">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1.4.2.1中小企业是指在中华人民共和国境内依法设立，依据国务院批准的中小企业划分标准确定的中型企业、小型企业和微型企业，但与大企业的负责人为同一人，或者与大企业存在直接控股、管理关系的除外。</w:t>
      </w:r>
    </w:p>
    <w:p w14:paraId="56B98D8D">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1.4.2.2供应商提供的货物、工程或者服务符合下列情形的，享受本款规定的促进中小企业发展政策：</w:t>
      </w:r>
    </w:p>
    <w:p w14:paraId="513AB371">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在货物采购项目中，货物由中小企业制造，即货物由中小企业生产且使用该中小企业商号或者注册商标；</w:t>
      </w:r>
    </w:p>
    <w:p w14:paraId="7E800BA0">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在工程采购项目中，工程由中小企业承建，即工程施工单位为中小企业；</w:t>
      </w:r>
    </w:p>
    <w:p w14:paraId="4FEA319C">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在服务采购项目中，服务由中小企业承接，即提供服务的人员为中小企业依照《中华人民共和国劳动合同法》订立劳动合同的从业人员。</w:t>
      </w:r>
    </w:p>
    <w:p w14:paraId="61B4398D">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在货物采购项目中，供应商提供的货物既有中小企业制造货物，也有大型企业制造货物的，不享受本款规定的促进中小企业发展政策。</w:t>
      </w:r>
    </w:p>
    <w:p w14:paraId="71458A15">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1.4.2.3本项目标的所属行业在第二章采购需求中规定。供应商根据中小企业划分标准（《关于印发中小企业划型标准规定的通知》（工信部联企业〔2011〕300号）判断是否为中小企业。（见附件）</w:t>
      </w:r>
    </w:p>
    <w:p w14:paraId="40FAE34C">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符合条件的货物制造商、工程施工单位、服务承接单位为中小企业的，应按招标文件规定在投标文件中提供声明函。</w:t>
      </w:r>
    </w:p>
    <w:p w14:paraId="2AFB0FE2">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1.4.2.4视同中小企业情形</w:t>
      </w:r>
    </w:p>
    <w:p w14:paraId="7DC5CFC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（1）符合中小企业划分标准的个体工商户，视同中小企业。</w:t>
      </w:r>
    </w:p>
    <w:p w14:paraId="5D033DF9">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（2）以联合体形式参加政府采购活动，联合体各方均为中小企业的，联合体视同中小企业。其中，联合体各方均为小微企业的，联合体视同小微企业。</w:t>
      </w:r>
    </w:p>
    <w:p w14:paraId="22E8CD31">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009808CB">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符合条件的货物制造商、工程施工单位、服务承接单位为监狱企业或残疾人福利性单位的，应按招标文件规定在投标文件中提供相关证明文件。</w:t>
      </w:r>
      <w:bookmarkEnd w:id="26"/>
    </w:p>
    <w:bookmarkEnd w:id="24"/>
    <w:p w14:paraId="0A9792E3">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1.5供应商资格要求</w:t>
      </w:r>
    </w:p>
    <w:p w14:paraId="7F6D93A3">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1.5.1供应商资格要求：详见供应商须知前附表</w:t>
      </w:r>
    </w:p>
    <w:p w14:paraId="130DF91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1.5.2按照招标公告的规定获得招标文件。</w:t>
      </w:r>
    </w:p>
    <w:p w14:paraId="6381831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1.5.3本项目是否接受联合体投标，见“供应商须知前附表”规定。</w:t>
      </w:r>
    </w:p>
    <w:p w14:paraId="68659152">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如接受联合体投标，联合体投标要求如下： </w:t>
      </w:r>
    </w:p>
    <w:p w14:paraId="05919F9D">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（1）供应商可以组成一个投标联合体，以一个供应商的身份共同参加投标。联合体投标的，须提供《联合体协议书》（格式后附）</w:t>
      </w:r>
    </w:p>
    <w:p w14:paraId="4C8C4B8B">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以联合体形式参加投标的，联合体各方均必须具备《中华人民共和国政府采购法》第二十二条第一款规定的基本条件。本项目有特殊要求规定供应商特定条件的，联合体各方中至少有一方必须符合招标文件规定的特定条件。</w:t>
      </w:r>
    </w:p>
    <w:p w14:paraId="6AA27D42">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联合体各方之间必须签订联合体协议，协议书必须明确主体方（或者牵头方）并明确约定联合体各方承担的工作和相应的责任，并将联合投标协议放入投标文件。联合体各方必须共同与采购人签订采购合同，就采购合同约定的事项对采购人承担连带责任。</w:t>
      </w:r>
    </w:p>
    <w:p w14:paraId="20C98E48">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（4）以联合体形式参加政府采购活动的，联合体各方不得再单独参加或者与其他供应商另外组成联合体参加同一合同项下的政府采购活动。</w:t>
      </w:r>
    </w:p>
    <w:p w14:paraId="6C02E7CB">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（5）联合体中有同类资质的供应商按照联合体分工承担相同工作的，应当按照资质等级较低的供应商确定资质等级。</w:t>
      </w:r>
    </w:p>
    <w:p w14:paraId="4A8D0451">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（6）联合体投标业绩、履约能力按照联合体各方其中较高的一方认定并计算（招标文件其他章节另有规定的除外）。</w:t>
      </w:r>
    </w:p>
    <w:p w14:paraId="1106810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（7）供应商为联合体的，可以由联合体中的一方或者多方共同交纳投标保证金，其交纳的保证金对联合体各方均具有约束力。</w:t>
      </w:r>
    </w:p>
    <w:p w14:paraId="22B89E5D">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（8）联合体各方均应按照招标文件的规定提交资格证明文件。</w:t>
      </w:r>
    </w:p>
    <w:p w14:paraId="1902D834">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bookmarkStart w:id="27" w:name="_Toc254970672"/>
      <w:bookmarkStart w:id="28" w:name="_Toc254970531"/>
      <w:r>
        <w:rPr>
          <w:rFonts w:ascii="Arial" w:hAnsi="Arial" w:cs="Arial"/>
          <w:b/>
          <w:bCs/>
          <w:color w:val="000000" w:themeColor="text1"/>
          <w:kern w:val="0"/>
          <w:szCs w:val="21"/>
          <w14:textFill>
            <w14:solidFill>
              <w14:schemeClr w14:val="tx1"/>
            </w14:solidFill>
          </w14:textFill>
        </w:rPr>
        <w:t>1.6现场踏勘及投标费用</w:t>
      </w:r>
      <w:bookmarkEnd w:id="27"/>
      <w:bookmarkEnd w:id="28"/>
    </w:p>
    <w:p w14:paraId="2CA08F62">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1.6.1前附表如规定现场踏勘的，供应商应按规定时间地点参加踏勘。</w:t>
      </w:r>
    </w:p>
    <w:p w14:paraId="67859DF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1.6.2供应商均应自行承担所有与投标有关的全部费用（招标文件有相关的规定除外）。</w:t>
      </w:r>
    </w:p>
    <w:p w14:paraId="52387E4E">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1.7转包与分包</w:t>
      </w:r>
    </w:p>
    <w:p w14:paraId="1D92E20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1.7.1如招标文件其他地方无特别规定，本项目不允许转包。</w:t>
      </w:r>
    </w:p>
    <w:p w14:paraId="0BE535DB">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1.7.2本项目是否允许分包详见“供应商须知前附表”，本项目不允许违法分包。供应商根据招标文件的规定和采购项目的实际情况，拟在中标后将中标项目的非主体、非关键性工作分包的，应当在投标文件中载明分包承担主体，分包承担主体应当具备相应资质条件且不得再次分包。</w:t>
      </w:r>
    </w:p>
    <w:p w14:paraId="03140E13">
      <w:pPr>
        <w:spacing w:before="120" w:line="276" w:lineRule="auto"/>
        <w:ind w:firstLine="422" w:firstLineChars="200"/>
        <w:outlineLvl w:val="2"/>
        <w:rPr>
          <w:rFonts w:ascii="Arial" w:hAnsi="Arial" w:cs="Arial"/>
          <w:b/>
          <w:bCs/>
          <w:color w:val="000000" w:themeColor="text1"/>
          <w:kern w:val="0"/>
          <w:szCs w:val="21"/>
          <w14:textFill>
            <w14:solidFill>
              <w14:schemeClr w14:val="tx1"/>
            </w14:solidFill>
          </w14:textFill>
        </w:rPr>
      </w:pPr>
      <w:bookmarkStart w:id="29" w:name="_Toc254970532"/>
      <w:bookmarkStart w:id="30" w:name="_Toc254970673"/>
      <w:r>
        <w:rPr>
          <w:rFonts w:ascii="Arial" w:hAnsi="Arial" w:cs="Arial"/>
          <w:b/>
          <w:bCs/>
          <w:color w:val="000000" w:themeColor="text1"/>
          <w:kern w:val="0"/>
          <w:szCs w:val="21"/>
          <w14:textFill>
            <w14:solidFill>
              <w14:schemeClr w14:val="tx1"/>
            </w14:solidFill>
          </w14:textFill>
        </w:rPr>
        <w:t>1.8特别说明</w:t>
      </w:r>
      <w:bookmarkEnd w:id="29"/>
      <w:bookmarkEnd w:id="30"/>
    </w:p>
    <w:p w14:paraId="21ECFADE">
      <w:pPr>
        <w:spacing w:line="276"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1.8.1 供应商应保证其提供的联系方式（电话、传真、电子邮件）有效，以保证往来函件（澄清、修改等）能及时通知供应商，并能及时反馈，否则采购人及代理机构不承担由此引起的一切后果。</w:t>
      </w:r>
    </w:p>
    <w:p w14:paraId="28A53A40">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1.8.2供应商应仔细阅读招标文件的所有内容，按照招标文件的要求提交投标文件，并对所提供的全部资料的真实性承担法律责任。</w:t>
      </w:r>
    </w:p>
    <w:p w14:paraId="76AF3983">
      <w:pPr>
        <w:spacing w:before="120" w:line="360"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1.8.3供应商在投标活动中提供任何虚假材料，将报监管部门查处</w:t>
      </w:r>
      <w:r>
        <w:rPr>
          <w:rFonts w:hint="eastAsia" w:ascii="Arial" w:hAnsi="Arial" w:cs="Arial"/>
          <w:color w:val="000000" w:themeColor="text1"/>
          <w:szCs w:val="21"/>
          <w:lang w:eastAsia="zh-CN"/>
          <w14:textFill>
            <w14:solidFill>
              <w14:schemeClr w14:val="tx1"/>
            </w14:solidFill>
          </w14:textFill>
        </w:rPr>
        <w:t>。</w:t>
      </w:r>
      <w:r>
        <w:rPr>
          <w:rFonts w:ascii="Arial" w:hAnsi="Arial" w:cs="Arial"/>
          <w:color w:val="000000" w:themeColor="text1"/>
          <w:szCs w:val="21"/>
          <w14:textFill>
            <w14:solidFill>
              <w14:schemeClr w14:val="tx1"/>
            </w14:solidFill>
          </w14:textFill>
        </w:rPr>
        <w:t xml:space="preserve"> </w:t>
      </w:r>
    </w:p>
    <w:p w14:paraId="7F6726E5">
      <w:pPr>
        <w:spacing w:before="120" w:line="276" w:lineRule="auto"/>
        <w:ind w:firstLine="422" w:firstLineChars="200"/>
        <w:outlineLvl w:val="2"/>
        <w:rPr>
          <w:b/>
          <w:bCs/>
          <w:color w:val="000000" w:themeColor="text1"/>
          <w:kern w:val="0"/>
          <w:szCs w:val="21"/>
          <w:highlight w:val="none"/>
          <w14:textFill>
            <w14:solidFill>
              <w14:schemeClr w14:val="tx1"/>
            </w14:solidFill>
          </w14:textFill>
        </w:rPr>
      </w:pPr>
      <w:bookmarkStart w:id="31" w:name="_Toc254970675"/>
      <w:bookmarkStart w:id="32" w:name="_Toc254970534"/>
      <w:r>
        <w:rPr>
          <w:rFonts w:hint="eastAsia"/>
          <w:b/>
          <w:bCs/>
          <w:color w:val="000000" w:themeColor="text1"/>
          <w:kern w:val="0"/>
          <w:szCs w:val="21"/>
          <w:highlight w:val="none"/>
          <w14:textFill>
            <w14:solidFill>
              <w14:schemeClr w14:val="tx1"/>
            </w14:solidFill>
          </w14:textFill>
        </w:rPr>
        <w:t>1</w:t>
      </w:r>
      <w:r>
        <w:rPr>
          <w:b/>
          <w:bCs/>
          <w:color w:val="000000" w:themeColor="text1"/>
          <w:kern w:val="0"/>
          <w:szCs w:val="21"/>
          <w:highlight w:val="none"/>
          <w14:textFill>
            <w14:solidFill>
              <w14:schemeClr w14:val="tx1"/>
            </w14:solidFill>
          </w14:textFill>
        </w:rPr>
        <w:t>.</w:t>
      </w:r>
      <w:r>
        <w:rPr>
          <w:rFonts w:hint="eastAsia"/>
          <w:b/>
          <w:bCs/>
          <w:color w:val="000000" w:themeColor="text1"/>
          <w:kern w:val="0"/>
          <w:szCs w:val="21"/>
          <w:highlight w:val="none"/>
          <w:lang w:val="en-US" w:eastAsia="zh-CN"/>
          <w14:textFill>
            <w14:solidFill>
              <w14:schemeClr w14:val="tx1"/>
            </w14:solidFill>
          </w14:textFill>
        </w:rPr>
        <w:t xml:space="preserve">9 </w:t>
      </w:r>
      <w:r>
        <w:rPr>
          <w:rFonts w:hint="eastAsia"/>
          <w:b/>
          <w:bCs/>
          <w:color w:val="000000" w:themeColor="text1"/>
          <w:kern w:val="0"/>
          <w:szCs w:val="21"/>
          <w:highlight w:val="none"/>
          <w14:textFill>
            <w14:solidFill>
              <w14:schemeClr w14:val="tx1"/>
            </w14:solidFill>
          </w14:textFill>
        </w:rPr>
        <w:t>对本国产品的支持政策</w:t>
      </w:r>
    </w:p>
    <w:p w14:paraId="1735F010">
      <w:pPr>
        <w:spacing w:before="120" w:line="360" w:lineRule="auto"/>
        <w:ind w:left="819" w:leftChars="190" w:hanging="420" w:hangingChars="20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1.9.1</w:t>
      </w:r>
      <w:r>
        <w:rPr>
          <w:rFonts w:hint="default"/>
          <w:color w:val="000000" w:themeColor="text1"/>
          <w:szCs w:val="21"/>
          <w:highlight w:val="none"/>
          <w:lang w:val="en-US" w:eastAsia="zh-CN"/>
          <w14:textFill>
            <w14:solidFill>
              <w14:schemeClr w14:val="tx1"/>
            </w14:solidFill>
          </w14:textFill>
        </w:rPr>
        <w:t>本国产品标准</w:t>
      </w:r>
    </w:p>
    <w:p w14:paraId="5C03F088">
      <w:pPr>
        <w:spacing w:line="276"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“本国产品标准的产品”是指：符合《国务院办公厅关于在政府采购中实施本国产品标准及相关政策的通知》（国办发〔2025〕34号）规定的本国产品标准的产品。</w:t>
      </w:r>
    </w:p>
    <w:p w14:paraId="6558729A">
      <w:pPr>
        <w:spacing w:line="276"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本国产品标准的产品应当符合以下条件：</w:t>
      </w:r>
    </w:p>
    <w:p w14:paraId="56BD0AAB">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r>
        <w:rPr>
          <w:rFonts w:hint="default"/>
          <w:color w:val="000000" w:themeColor="text1"/>
          <w:szCs w:val="21"/>
          <w:highlight w:val="none"/>
          <w:lang w:val="en-US" w:eastAsia="zh-CN"/>
          <w14:textFill>
            <w14:solidFill>
              <w14:schemeClr w14:val="tx1"/>
            </w14:solidFill>
          </w14:textFill>
        </w:rPr>
        <w:t>在中国境内生产</w:t>
      </w:r>
      <w:r>
        <w:rPr>
          <w:rFonts w:hint="eastAsia"/>
          <w:color w:val="000000" w:themeColor="text1"/>
          <w:szCs w:val="21"/>
          <w:highlight w:val="none"/>
          <w:lang w:val="en-US" w:eastAsia="zh-CN"/>
          <w14:textFill>
            <w14:solidFill>
              <w14:schemeClr w14:val="tx1"/>
            </w14:solidFill>
          </w14:textFill>
        </w:rPr>
        <w:t>。</w:t>
      </w:r>
      <w:r>
        <w:rPr>
          <w:rFonts w:hint="default"/>
          <w:color w:val="000000" w:themeColor="text1"/>
          <w:szCs w:val="21"/>
          <w:highlight w:val="none"/>
          <w:lang w:val="en-US" w:eastAsia="zh-CN"/>
          <w14:textFill>
            <w14:solidFill>
              <w14:schemeClr w14:val="tx1"/>
            </w14:solidFill>
          </w14:textFill>
        </w:rPr>
        <w:t>产品应当在中国境内生产，即在中华人民共和国关境内</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（含保税区、综合保税区等海关特殊监管区域）</w:t>
      </w:r>
      <w:r>
        <w:rPr>
          <w:rFonts w:hint="default"/>
          <w:color w:val="000000" w:themeColor="text1"/>
          <w:szCs w:val="21"/>
          <w:highlight w:val="none"/>
          <w:lang w:val="en-US" w:eastAsia="zh-CN"/>
          <w14:textFill>
            <w14:solidFill>
              <w14:schemeClr w14:val="tx1"/>
            </w14:solidFill>
          </w14:textFill>
        </w:rPr>
        <w:t>实现从原材料、组件到产品的属性改变；属性改变是指经过制造、加工或者组装等工序，产生完全不同于原材料、组件的新产品，并具有新的名称和特征（用途），属性改变不包括以下细微操作：</w:t>
      </w:r>
    </w:p>
    <w:p w14:paraId="0102001E">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①为确保产品在运输或者储存期间保持某种状态而进行的操作；</w:t>
      </w:r>
    </w:p>
    <w:p w14:paraId="4A58D069">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②为产品运输或者销售进行的包装或者展示；</w:t>
      </w:r>
    </w:p>
    <w:p w14:paraId="3272DA22">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③在产品或者其包装上粘贴或者印刷品牌、标志、标识以及其他用于区别的标记；</w:t>
      </w:r>
    </w:p>
    <w:p w14:paraId="153A2491">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④简单的上漆、磨光和分装；</w:t>
      </w:r>
    </w:p>
    <w:p w14:paraId="7D1505C8">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⑤其他不属于属性改变的情形；</w:t>
      </w:r>
    </w:p>
    <w:p w14:paraId="2FE38ACE">
      <w:pPr>
        <w:spacing w:line="276"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rFonts w:hint="default"/>
          <w:color w:val="000000" w:themeColor="text1"/>
          <w:szCs w:val="21"/>
          <w:highlight w:val="none"/>
          <w:lang w:val="en-US" w:eastAsia="zh-CN"/>
          <w14:textFill>
            <w14:solidFill>
              <w14:schemeClr w14:val="tx1"/>
            </w14:solidFill>
          </w14:textFill>
        </w:rPr>
        <w:t>中国境内生产的组件成本占比达到规定比例</w:t>
      </w:r>
      <w:r>
        <w:rPr>
          <w:rFonts w:hint="eastAsia"/>
          <w:color w:val="000000" w:themeColor="text1"/>
          <w:szCs w:val="21"/>
          <w:highlight w:val="none"/>
          <w:lang w:val="en-US" w:eastAsia="zh-CN"/>
          <w14:textFill>
            <w14:solidFill>
              <w14:schemeClr w14:val="tx1"/>
            </w14:solidFill>
          </w14:textFill>
        </w:rPr>
        <w:t>。</w:t>
      </w:r>
    </w:p>
    <w:p w14:paraId="35274560">
      <w:pPr>
        <w:spacing w:line="276"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①产品在中国境内生产的组件成本占比应当达到规定比例，计算公式为：产品在中国境内生产的组件成本/产品总成本≥规定比例；</w:t>
      </w:r>
    </w:p>
    <w:p w14:paraId="2761051E">
      <w:pPr>
        <w:spacing w:line="276"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②产品在中国境内生产的组件成本，按照《中国境内生产的组件成本核算基本规则》计算；</w:t>
      </w:r>
    </w:p>
    <w:p w14:paraId="27020F74">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③中国境内生产的组件成本占比相关要求实施前，符合第（1）项条件的产品在政府采购活动中视同本国产品。</w:t>
      </w:r>
    </w:p>
    <w:p w14:paraId="6178B395">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r>
        <w:rPr>
          <w:rFonts w:hint="default"/>
          <w:color w:val="000000" w:themeColor="text1"/>
          <w:szCs w:val="21"/>
          <w:highlight w:val="none"/>
          <w:lang w:val="en-US" w:eastAsia="zh-CN"/>
          <w14:textFill>
            <w14:solidFill>
              <w14:schemeClr w14:val="tx1"/>
            </w14:solidFill>
          </w14:textFill>
        </w:rPr>
        <w:t>特定产品的关键组件和工序在中国境内完成。</w:t>
      </w:r>
    </w:p>
    <w:p w14:paraId="423F8CFB">
      <w:pPr>
        <w:spacing w:line="276"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①对特定产品，在符合第（1）项和第（2）项条件的基础上，应当符合财政部会同有关行业主管部门确定的其关键组件、关键工序在中国境内生产、完成等要求；</w:t>
      </w:r>
    </w:p>
    <w:p w14:paraId="29E41AF2">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②特定产品的关键组件、关键工序符合相关要求实施前，符合第（1）项和第（2）项条件的产品在政府采购活动中视同本国产品。</w:t>
      </w:r>
    </w:p>
    <w:p w14:paraId="42F34A8A">
      <w:pPr>
        <w:spacing w:before="120" w:line="360" w:lineRule="auto"/>
        <w:ind w:left="819" w:leftChars="190" w:hanging="420" w:hanging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1.9.2 本国产品标准的适用范围</w:t>
      </w:r>
    </w:p>
    <w:p w14:paraId="59B82F87">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9E8DF9B">
      <w:pPr>
        <w:spacing w:line="276" w:lineRule="auto"/>
        <w:ind w:firstLine="422" w:firstLineChars="200"/>
        <w:rPr>
          <w:rFonts w:hint="default"/>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本项目是否适用对本国产品的支持政策详见投标人须知前附表。</w:t>
      </w:r>
    </w:p>
    <w:p w14:paraId="6F1D138A">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中华人民共和国缔结或者共同参加的国际条约、协定对政府采购中本国产品政策另有规定的，按照有关条约、协定执行。</w:t>
      </w:r>
    </w:p>
    <w:p w14:paraId="18FAB59F">
      <w:pPr>
        <w:spacing w:before="120" w:line="320" w:lineRule="atLeast"/>
        <w:ind w:firstLine="420" w:firstLineChars="20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1.9.3 价格评审优惠</w:t>
      </w:r>
    </w:p>
    <w:p w14:paraId="4B3D05C6">
      <w:pPr>
        <w:spacing w:before="120" w:line="320" w:lineRule="atLeast"/>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既有本国产品又有非本国产品参与竞争的，依法对本国产品给予价格评审优惠，对本国产品的报价给予20%的价格扣除，用扣除后的价格参与评审。</w:t>
      </w:r>
    </w:p>
    <w:p w14:paraId="5E760CD3">
      <w:pPr>
        <w:spacing w:before="120" w:line="320" w:lineRule="atLeast"/>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CB8898D">
      <w:pPr>
        <w:spacing w:before="120" w:line="320" w:lineRule="atLeast"/>
        <w:ind w:firstLine="420" w:firstLineChars="200"/>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价格扣除比例在第四章评审方法及标准中规定</w:t>
      </w:r>
      <w:r>
        <w:rPr>
          <w:rFonts w:hint="eastAsia"/>
          <w:color w:val="000000" w:themeColor="text1"/>
          <w:szCs w:val="21"/>
          <w:highlight w:val="none"/>
          <w:lang w:eastAsia="zh-CN"/>
          <w14:textFill>
            <w14:solidFill>
              <w14:schemeClr w14:val="tx1"/>
            </w14:solidFill>
          </w14:textFill>
        </w:rPr>
        <w:t>。</w:t>
      </w:r>
    </w:p>
    <w:p w14:paraId="5851C88A">
      <w:pPr>
        <w:spacing w:before="120" w:line="320" w:lineRule="atLeast"/>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1.9.4政策执行要求</w:t>
      </w:r>
    </w:p>
    <w:p w14:paraId="0BCF661E">
      <w:pPr>
        <w:spacing w:before="120" w:line="320" w:lineRule="atLeast"/>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1.9.4.1产品在中国境内生产的组件成本核算规则：产品在中国境内生产的组件成本，按照《中国境内生产的组件成本核算基本规则》计算。</w:t>
      </w:r>
    </w:p>
    <w:p w14:paraId="0E3E6822">
      <w:pPr>
        <w:spacing w:before="120" w:line="360" w:lineRule="auto"/>
        <w:ind w:firstLine="2520" w:firstLineChars="1200"/>
        <w:rPr>
          <w:rFonts w:hint="eastAsia"/>
          <w:color w:val="000000" w:themeColor="text1"/>
          <w:szCs w:val="21"/>
          <w:highlight w:val="none"/>
          <w:lang w:eastAsia="zh-CN"/>
          <w14:textFill>
            <w14:solidFill>
              <w14:schemeClr w14:val="tx1"/>
            </w14:solidFill>
          </w14:textFill>
        </w:rPr>
      </w:pPr>
      <w:r>
        <w:rPr>
          <w:rFonts w:hint="eastAsia" w:eastAsia="宋体"/>
          <w:color w:val="000000" w:themeColor="text1"/>
          <w:szCs w:val="21"/>
          <w:highlight w:val="none"/>
          <w:lang w:eastAsia="zh-CN"/>
          <w14:textFill>
            <w14:solidFill>
              <w14:schemeClr w14:val="tx1"/>
            </w14:solidFill>
          </w14:textFill>
        </w:rPr>
        <w:t>《中国境内生产的组件成本核算基本规则》</w:t>
      </w:r>
    </w:p>
    <w:p w14:paraId="26FF60BE">
      <w:pPr>
        <w:spacing w:before="120" w:line="240" w:lineRule="auto"/>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128A678">
      <w:pPr>
        <w:numPr>
          <w:ilvl w:val="0"/>
          <w:numId w:val="0"/>
        </w:numPr>
        <w:spacing w:before="120" w:line="240" w:lineRule="auto"/>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产品的一级组件是指直接组成产品的组件。产品的二级组件是指直接组成产品一级组件的组件。一级组件不可分解的，视同二级组件。</w:t>
      </w:r>
    </w:p>
    <w:p w14:paraId="5262BAC1">
      <w:pPr>
        <w:numPr>
          <w:ilvl w:val="0"/>
          <w:numId w:val="0"/>
        </w:numPr>
        <w:spacing w:before="120" w:line="240" w:lineRule="auto"/>
        <w:ind w:firstLine="420" w:firstLineChars="200"/>
        <w:rPr>
          <w:rFonts w:hint="eastAsia"/>
          <w:color w:val="000000" w:themeColor="text1"/>
          <w:szCs w:val="21"/>
          <w:highlight w:val="none"/>
          <w14:textFill>
            <w14:solidFill>
              <w14:schemeClr w14:val="tx1"/>
            </w14:solidFill>
          </w14:textFill>
        </w:rPr>
      </w:pPr>
      <w:r>
        <w:rPr>
          <w:rFonts w:hint="eastAsia" w:ascii="Times New Roman" w:eastAsia="宋体"/>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二级组件在中国境内生产的，其全部成本计入中国境内生产的组件成本；二级组件不在中国境内生产的，其成本不计入中国境内生产的组件成本。</w:t>
      </w:r>
    </w:p>
    <w:p w14:paraId="17470F88">
      <w:pPr>
        <w:spacing w:before="120" w:line="240" w:lineRule="auto"/>
        <w:ind w:firstLine="420" w:firstLineChars="200"/>
        <w:rPr>
          <w:rFonts w:hint="eastAsia"/>
          <w:color w:val="000000" w:themeColor="text1"/>
          <w:szCs w:val="21"/>
          <w:highlight w:val="none"/>
          <w14:textFill>
            <w14:solidFill>
              <w14:schemeClr w14:val="tx1"/>
            </w14:solidFill>
          </w14:textFill>
        </w:rPr>
      </w:pPr>
      <w:r>
        <w:rPr>
          <w:rFonts w:hint="eastAsia" w:ascii="Times New Roman" w:eastAsia="宋体"/>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14:textFill>
            <w14:solidFill>
              <w14:schemeClr w14:val="tx1"/>
            </w14:solidFill>
          </w14:textFill>
        </w:rPr>
        <w:t>产品总成本和组件成本以相关会计核算数据、采购合同、进货记录等为基础进行计算。</w:t>
      </w:r>
    </w:p>
    <w:p w14:paraId="7B0DA4B9">
      <w:pPr>
        <w:spacing w:before="120" w:line="240"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ascii="Times New Roman" w:eastAsia="宋体"/>
          <w:color w:val="000000" w:themeColor="text1"/>
          <w:szCs w:val="21"/>
          <w:highlight w:val="none"/>
          <w:lang w:val="en-US" w:eastAsia="zh-CN"/>
          <w14:textFill>
            <w14:solidFill>
              <w14:schemeClr w14:val="tx1"/>
            </w14:solidFill>
          </w14:textFill>
        </w:rPr>
        <w:t>4.</w:t>
      </w:r>
      <w:r>
        <w:rPr>
          <w:rFonts w:hint="eastAsia"/>
          <w:color w:val="000000" w:themeColor="text1"/>
          <w:szCs w:val="21"/>
          <w:highlight w:val="none"/>
          <w14:textFill>
            <w14:solidFill>
              <w14:schemeClr w14:val="tx1"/>
            </w14:solidFill>
          </w14:textFill>
        </w:rPr>
        <w:t>需要对成本核算规则予以进一步明确的其他有关事项，由财政部会同有关部门另行规定。</w:t>
      </w:r>
    </w:p>
    <w:p w14:paraId="5A5BAF2D">
      <w:pPr>
        <w:spacing w:before="120" w:line="320" w:lineRule="atLeast"/>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1.9.4.2证明材料提交与审查：供应商需在投标（响应）文件中对其提供的产品出具《关于符合本国产品标准的声明函》（样式见投标文件格式）或财政部会同有关部门规定的有关证明文件。</w:t>
      </w:r>
      <w:r>
        <w:rPr>
          <w:rFonts w:hint="eastAsia"/>
          <w:b/>
          <w:bCs/>
          <w:color w:val="000000" w:themeColor="text1"/>
          <w:szCs w:val="21"/>
          <w:highlight w:val="none"/>
          <w:lang w:val="en-US" w:eastAsia="zh-CN"/>
          <w14:textFill>
            <w14:solidFill>
              <w14:schemeClr w14:val="tx1"/>
            </w14:solidFill>
          </w14:textFill>
        </w:rPr>
        <w:t>医疗器械产品凭药品监督管理部门授予的准字号注册证直接认定属于在中国境内生产的产品。</w:t>
      </w:r>
      <w:r>
        <w:rPr>
          <w:rFonts w:hint="eastAsia"/>
          <w:color w:val="000000" w:themeColor="text1"/>
          <w:szCs w:val="21"/>
          <w:highlight w:val="none"/>
          <w:lang w:val="en-US" w:eastAsia="zh-CN"/>
          <w14:textFill>
            <w14:solidFill>
              <w14:schemeClr w14:val="tx1"/>
            </w14:solidFill>
          </w14:textFill>
        </w:rPr>
        <w:t>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1D2E3370">
      <w:pPr>
        <w:pStyle w:val="21"/>
        <w:ind w:firstLine="420" w:firstLineChars="200"/>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评审委员会应对《声明函》的完整性、准确性进行审查，对《声明函》内容含义不明确、同类事项与投标（响应）文件表述不一致或存在明显文字错误的，应</w:t>
      </w:r>
      <w:r>
        <w:rPr>
          <w:rFonts w:hint="eastAsia" w:cs="Times New Roman"/>
          <w:color w:val="000000" w:themeColor="text1"/>
          <w:kern w:val="2"/>
          <w:sz w:val="21"/>
          <w:szCs w:val="21"/>
          <w:highlight w:val="none"/>
          <w:lang w:val="en-US" w:eastAsia="zh-CN" w:bidi="ar-SA"/>
          <w14:textFill>
            <w14:solidFill>
              <w14:schemeClr w14:val="tx1"/>
            </w14:solidFill>
          </w14:textFill>
        </w:rPr>
        <w:t>当</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以书面形式要求供应商澄清、说明或者补正；</w:t>
      </w:r>
      <w:r>
        <w:rPr>
          <w:rFonts w:hint="eastAsia" w:cs="Times New Roman"/>
          <w:color w:val="000000" w:themeColor="text1"/>
          <w:kern w:val="2"/>
          <w:sz w:val="21"/>
          <w:szCs w:val="21"/>
          <w:highlight w:val="none"/>
          <w:lang w:val="en-US" w:eastAsia="zh-CN" w:bidi="ar-SA"/>
          <w14:textFill>
            <w14:solidFill>
              <w14:schemeClr w14:val="tx1"/>
            </w14:solidFill>
          </w14:textFill>
        </w:rPr>
        <w:t>经</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澄清、说明或者补正后仍不符合要求的，不认定为本国产品。</w:t>
      </w:r>
    </w:p>
    <w:p w14:paraId="69C1BF47">
      <w:pPr>
        <w:pStyle w:val="21"/>
        <w:ind w:firstLine="420" w:firstLineChars="200"/>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澄清补正应当按照“6.3.3澄清、说明或补正”的规定提交。</w:t>
      </w:r>
    </w:p>
    <w:p w14:paraId="1C22056C">
      <w:pPr>
        <w:pStyle w:val="21"/>
        <w:ind w:firstLine="420" w:firstLineChars="20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1.9.4.3成本核算与承诺</w:t>
      </w:r>
    </w:p>
    <w:p w14:paraId="36EC83CE">
      <w:pPr>
        <w:pStyle w:val="21"/>
        <w:ind w:firstLine="420" w:firstLineChars="20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供应商应依据《中国境内生产的组件成本核算基本规则》核算产品成本占比，并对核算结果负责，按要求提交《</w:t>
      </w:r>
      <w:r>
        <w:rPr>
          <w:rFonts w:hint="eastAsia" w:cs="Times New Roman"/>
          <w:color w:val="000000" w:themeColor="text1"/>
          <w:kern w:val="2"/>
          <w:sz w:val="21"/>
          <w:szCs w:val="21"/>
          <w:highlight w:val="none"/>
          <w:lang w:val="en-US" w:eastAsia="zh-CN" w:bidi="ar-SA"/>
          <w14:textFill>
            <w14:solidFill>
              <w14:schemeClr w14:val="tx1"/>
            </w14:solidFill>
          </w14:textFill>
        </w:rPr>
        <w:t>关于符合</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本国产品</w:t>
      </w:r>
      <w:r>
        <w:rPr>
          <w:rFonts w:hint="eastAsia" w:cs="Times New Roman"/>
          <w:color w:val="000000" w:themeColor="text1"/>
          <w:kern w:val="2"/>
          <w:sz w:val="21"/>
          <w:szCs w:val="21"/>
          <w:highlight w:val="none"/>
          <w:lang w:val="en-US" w:eastAsia="zh-CN" w:bidi="ar-SA"/>
          <w14:textFill>
            <w14:solidFill>
              <w14:schemeClr w14:val="tx1"/>
            </w14:solidFill>
          </w14:textFill>
        </w:rPr>
        <w:t>标准的</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成本占比承诺函》</w:t>
      </w:r>
      <w:r>
        <w:rPr>
          <w:rFonts w:hint="eastAsia" w:cs="Times New Roman"/>
          <w:color w:val="000000" w:themeColor="text1"/>
          <w:kern w:val="2"/>
          <w:sz w:val="21"/>
          <w:szCs w:val="21"/>
          <w:highlight w:val="none"/>
          <w:lang w:val="en-US" w:eastAsia="zh-CN" w:bidi="ar-SA"/>
          <w14:textFill>
            <w14:solidFill>
              <w14:schemeClr w14:val="tx1"/>
            </w14:solidFill>
          </w14:textFill>
        </w:rPr>
        <w:t>（如适用）</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（参考模板</w:t>
      </w:r>
      <w:r>
        <w:rPr>
          <w:rFonts w:hint="eastAsia" w:cs="Times New Roman"/>
          <w:color w:val="000000" w:themeColor="text1"/>
          <w:kern w:val="2"/>
          <w:sz w:val="21"/>
          <w:szCs w:val="21"/>
          <w:highlight w:val="none"/>
          <w:lang w:val="en-US" w:eastAsia="zh-CN" w:bidi="ar-SA"/>
          <w14:textFill>
            <w14:solidFill>
              <w14:schemeClr w14:val="tx1"/>
            </w14:solidFill>
          </w14:textFill>
        </w:rPr>
        <w:t>详见投标文件格式</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）。相关成本核算的原始凭证应妥善留存，以备核查。采购人可在履约验收环节对相关材料进行抽查。</w:t>
      </w:r>
    </w:p>
    <w:p w14:paraId="333F5497">
      <w:pPr>
        <w:spacing w:before="120" w:line="320" w:lineRule="atLeast"/>
        <w:ind w:firstLine="420" w:firstLineChars="20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1.9.5 争议处理</w:t>
      </w:r>
    </w:p>
    <w:p w14:paraId="27FE927F">
      <w:pPr>
        <w:spacing w:before="120" w:line="320" w:lineRule="atLeast"/>
        <w:ind w:firstLine="420" w:firstLineChars="200"/>
        <w:rPr>
          <w:rFonts w:ascii="Arial" w:hAnsi="Arial" w:cs="Arial"/>
          <w:b/>
          <w:bCs/>
          <w:color w:val="000000" w:themeColor="text1"/>
          <w:kern w:val="0"/>
          <w:szCs w:val="21"/>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4E21A396">
      <w:pPr>
        <w:spacing w:before="120" w:line="320" w:lineRule="atLeast"/>
        <w:ind w:left="2" w:leftChars="1" w:firstLine="422" w:firstLineChars="200"/>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2．招标文件</w:t>
      </w:r>
      <w:bookmarkEnd w:id="31"/>
      <w:bookmarkEnd w:id="32"/>
    </w:p>
    <w:p w14:paraId="3C35AE29">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2.1招标文件的构成</w:t>
      </w:r>
    </w:p>
    <w:p w14:paraId="7D65A3B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第一章 招标公告</w:t>
      </w:r>
    </w:p>
    <w:p w14:paraId="305E0C47">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第二章 项目采购需求</w:t>
      </w:r>
    </w:p>
    <w:p w14:paraId="44B33305">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第三章 供应商须知</w:t>
      </w:r>
    </w:p>
    <w:p w14:paraId="5525847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第四章 评标方法及评标标准</w:t>
      </w:r>
    </w:p>
    <w:p w14:paraId="60A6CF6F">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第五章 合同主要条款格式</w:t>
      </w:r>
    </w:p>
    <w:p w14:paraId="16E3DEB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第六章 投标文件格式</w:t>
      </w:r>
    </w:p>
    <w:p w14:paraId="65FF3C20">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2.2供应商的风险</w:t>
      </w:r>
    </w:p>
    <w:p w14:paraId="60429092">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供应商没有按照招标文件要求提供全部资料，或者供应商没有对招标文件在各方面作出实质性响应是供应商的风险，并可能导致其投标被否决。</w:t>
      </w:r>
    </w:p>
    <w:p w14:paraId="56042CCA">
      <w:pPr>
        <w:spacing w:before="120" w:line="320" w:lineRule="atLeast"/>
        <w:ind w:firstLine="422" w:firstLineChars="200"/>
        <w:outlineLvl w:val="2"/>
        <w:rPr>
          <w:rFonts w:ascii="Arial" w:hAnsi="Arial" w:cs="Arial"/>
          <w:b/>
          <w:color w:val="000000" w:themeColor="text1"/>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2.3招标文件的澄清与修改</w:t>
      </w:r>
    </w:p>
    <w:p w14:paraId="4DA94972">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2.3.1任何已获得招标文件的潜在供应商，均可以书面形式要求采购代理机构作出书面解释、澄清。</w:t>
      </w:r>
    </w:p>
    <w:p w14:paraId="2805B729">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2.3.2采购人或者采购代理机构可以对已发出的招标文件进行必要的澄清或者修改。澄清或者修改的内容可能影响投标文件编制的，采购人或者采购代理机构应当在投标截止时间至少15日前，</w:t>
      </w:r>
      <w:bookmarkStart w:id="33" w:name="_Hlk132790706"/>
      <w:r>
        <w:rPr>
          <w:rFonts w:ascii="Arial" w:hAnsi="Arial" w:cs="Arial"/>
          <w:color w:val="000000" w:themeColor="text1"/>
          <w:szCs w:val="21"/>
          <w14:textFill>
            <w14:solidFill>
              <w14:schemeClr w14:val="tx1"/>
            </w14:solidFill>
          </w14:textFill>
        </w:rPr>
        <w:t>在投标人须知前附表规定的方式通知所有获取招标文件的潜在投标人</w:t>
      </w:r>
      <w:bookmarkEnd w:id="33"/>
      <w:r>
        <w:rPr>
          <w:rFonts w:ascii="Arial" w:hAnsi="Arial" w:cs="Arial"/>
          <w:color w:val="000000" w:themeColor="text1"/>
          <w:szCs w:val="21"/>
          <w14:textFill>
            <w14:solidFill>
              <w14:schemeClr w14:val="tx1"/>
            </w14:solidFill>
          </w14:textFill>
        </w:rPr>
        <w:t>；不足15日的，采购人或者采购代理机构应当顺延提交投标文件的截止时间。</w:t>
      </w:r>
    </w:p>
    <w:p w14:paraId="52480E5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2.3.3招标文件澄清、答复、修改、补充的内容为招标文件的组成部分。当招标文件与招标文件的答复、澄清、修改、补充通知就同一内容的表述不一致时，以最后发出的公告或书面文件为准。</w:t>
      </w:r>
    </w:p>
    <w:p w14:paraId="5F57E1F0">
      <w:pPr>
        <w:spacing w:before="120" w:line="320" w:lineRule="atLeast"/>
        <w:ind w:left="2" w:leftChars="1" w:firstLine="422" w:firstLineChars="200"/>
        <w:outlineLvl w:val="1"/>
        <w:rPr>
          <w:rFonts w:ascii="Arial" w:hAnsi="Arial" w:cs="Arial"/>
          <w:b/>
          <w:bCs/>
          <w:color w:val="000000" w:themeColor="text1"/>
          <w:kern w:val="0"/>
          <w:szCs w:val="21"/>
          <w14:textFill>
            <w14:solidFill>
              <w14:schemeClr w14:val="tx1"/>
            </w14:solidFill>
          </w14:textFill>
        </w:rPr>
      </w:pPr>
      <w:bookmarkStart w:id="34" w:name="_Toc254970676"/>
      <w:bookmarkStart w:id="35" w:name="_Toc254970535"/>
      <w:r>
        <w:rPr>
          <w:rFonts w:ascii="Arial" w:hAnsi="Arial" w:cs="Arial"/>
          <w:b/>
          <w:bCs/>
          <w:color w:val="000000" w:themeColor="text1"/>
          <w:kern w:val="0"/>
          <w:szCs w:val="21"/>
          <w14:textFill>
            <w14:solidFill>
              <w14:schemeClr w14:val="tx1"/>
            </w14:solidFill>
          </w14:textFill>
        </w:rPr>
        <w:t>3．投标文件</w:t>
      </w:r>
      <w:bookmarkEnd w:id="34"/>
      <w:bookmarkEnd w:id="35"/>
    </w:p>
    <w:p w14:paraId="0AC4515B">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bookmarkStart w:id="36" w:name="_Toc254970677"/>
      <w:bookmarkStart w:id="37" w:name="_Toc254970536"/>
      <w:r>
        <w:rPr>
          <w:rFonts w:ascii="Arial" w:hAnsi="Arial" w:cs="Arial"/>
          <w:b/>
          <w:bCs/>
          <w:color w:val="000000" w:themeColor="text1"/>
          <w:kern w:val="0"/>
          <w:szCs w:val="21"/>
          <w14:textFill>
            <w14:solidFill>
              <w14:schemeClr w14:val="tx1"/>
            </w14:solidFill>
          </w14:textFill>
        </w:rPr>
        <w:t>3.1投标文件的组成</w:t>
      </w:r>
      <w:bookmarkEnd w:id="36"/>
      <w:bookmarkEnd w:id="37"/>
    </w:p>
    <w:p w14:paraId="2872C355">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投标文件由第六章“投标文件格式”规定的内容和供应商所作的一切有效补充、修改和承诺等文件组成。</w:t>
      </w:r>
    </w:p>
    <w:p w14:paraId="2DBC5480">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bookmarkStart w:id="38" w:name="_Toc254970537"/>
      <w:bookmarkStart w:id="39" w:name="_Toc254970678"/>
      <w:r>
        <w:rPr>
          <w:rFonts w:ascii="Arial" w:hAnsi="Arial" w:cs="Arial"/>
          <w:b/>
          <w:color w:val="000000" w:themeColor="text1"/>
          <w:szCs w:val="21"/>
          <w14:textFill>
            <w14:solidFill>
              <w14:schemeClr w14:val="tx1"/>
            </w14:solidFill>
          </w14:textFill>
        </w:rPr>
        <w:t>3.2</w:t>
      </w:r>
      <w:r>
        <w:rPr>
          <w:rFonts w:ascii="Arial" w:hAnsi="Arial" w:cs="Arial"/>
          <w:b/>
          <w:bCs/>
          <w:color w:val="000000" w:themeColor="text1"/>
          <w:kern w:val="0"/>
          <w:szCs w:val="21"/>
          <w14:textFill>
            <w14:solidFill>
              <w14:schemeClr w14:val="tx1"/>
            </w14:solidFill>
          </w14:textFill>
        </w:rPr>
        <w:t>投标文件的语言及计量</w:t>
      </w:r>
      <w:bookmarkEnd w:id="38"/>
      <w:bookmarkEnd w:id="39"/>
    </w:p>
    <w:p w14:paraId="22893E4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3.2.1投标文件以及供应商与采购人就有关投标事宜的所有来往函电，均应以中文书写（除专用术语外，与招标投标有关的语言均使用中文。必要时专用术语应附有中文注释）。供应商提交的支持文件和印刷的文献可以使用别的语言，但其相应内容应同时附中文翻译文本，在解释投标文件时以中文翻译文本为主。对不同文字文本投标文件的解释发生异议的，以中文文本为准。</w:t>
      </w:r>
    </w:p>
    <w:p w14:paraId="5F724A2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3.2.2计量单位招标文件已有明确规定的，投标使用招标文件规定的计量单位；招标文件没有规定的，应采用中华人民共和国法定计量单位。</w:t>
      </w:r>
    </w:p>
    <w:p w14:paraId="01A1AFAA">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bookmarkStart w:id="40" w:name="_Toc254970679"/>
      <w:bookmarkStart w:id="41" w:name="_Toc254970538"/>
      <w:r>
        <w:rPr>
          <w:rFonts w:ascii="Arial" w:hAnsi="Arial" w:cs="Arial"/>
          <w:b/>
          <w:bCs/>
          <w:color w:val="000000" w:themeColor="text1"/>
          <w:kern w:val="0"/>
          <w:szCs w:val="21"/>
          <w14:textFill>
            <w14:solidFill>
              <w14:schemeClr w14:val="tx1"/>
            </w14:solidFill>
          </w14:textFill>
        </w:rPr>
        <w:t>3.3投标报价</w:t>
      </w:r>
      <w:bookmarkEnd w:id="40"/>
      <w:bookmarkEnd w:id="41"/>
    </w:p>
    <w:p w14:paraId="6D1BA86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3.3.1投标报价应按招标文件中相关附表格式填写。</w:t>
      </w:r>
    </w:p>
    <w:p w14:paraId="55FC403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3.3.2投标文件只允许有一个报价，有选择的或有条件的报价将不予接受。</w:t>
      </w:r>
    </w:p>
    <w:p w14:paraId="7B01647A">
      <w:pPr>
        <w:suppressAutoHyphens/>
        <w:spacing w:before="120" w:line="320" w:lineRule="atLeast"/>
        <w:ind w:firstLine="420" w:firstLineChars="200"/>
        <w:rPr>
          <w:rFonts w:ascii="Arial" w:hAnsi="Arial" w:cs="Arial"/>
          <w:color w:val="000000" w:themeColor="text1"/>
          <w:kern w:val="1"/>
          <w:szCs w:val="21"/>
          <w14:textFill>
            <w14:solidFill>
              <w14:schemeClr w14:val="tx1"/>
            </w14:solidFill>
          </w14:textFill>
        </w:rPr>
      </w:pPr>
      <w:r>
        <w:rPr>
          <w:rFonts w:ascii="Arial" w:hAnsi="Arial" w:cs="Arial"/>
          <w:color w:val="000000" w:themeColor="text1"/>
          <w:kern w:val="1"/>
          <w:szCs w:val="21"/>
          <w14:textFill>
            <w14:solidFill>
              <w14:schemeClr w14:val="tx1"/>
            </w14:solidFill>
          </w14:textFill>
        </w:rPr>
        <w:t>3.3.3对于本文件中未列明，而供应商认为必需的费用也需列入投标报价。在合同实施时，采购人将不予支付中标人没有列入的项目费用，并认为此项目的费用已包括在投标报价中。</w:t>
      </w:r>
    </w:p>
    <w:p w14:paraId="25BD65F1">
      <w:pPr>
        <w:suppressAutoHyphens/>
        <w:spacing w:before="120" w:line="320" w:lineRule="atLeast"/>
        <w:ind w:firstLine="420" w:firstLineChars="200"/>
        <w:rPr>
          <w:rFonts w:ascii="Arial" w:hAnsi="Arial" w:cs="Arial"/>
          <w:b/>
          <w:bCs/>
          <w:color w:val="000000" w:themeColor="text1"/>
          <w:kern w:val="1"/>
          <w:szCs w:val="21"/>
          <w14:textFill>
            <w14:solidFill>
              <w14:schemeClr w14:val="tx1"/>
            </w14:solidFill>
          </w14:textFill>
        </w:rPr>
      </w:pPr>
      <w:r>
        <w:rPr>
          <w:rFonts w:ascii="Arial" w:hAnsi="Arial" w:cs="Arial"/>
          <w:color w:val="000000" w:themeColor="text1"/>
          <w:kern w:val="1"/>
          <w:szCs w:val="21"/>
          <w14:textFill>
            <w14:solidFill>
              <w14:schemeClr w14:val="tx1"/>
            </w14:solidFill>
          </w14:textFill>
        </w:rPr>
        <w:t>3.3.4采购人不接受供应商给予的赠品、回扣或者与采购无关的其他商品、服务。</w:t>
      </w:r>
    </w:p>
    <w:p w14:paraId="1A61EC5B">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3.4投标有效期</w:t>
      </w:r>
    </w:p>
    <w:p w14:paraId="145EC1B9">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3.4.1如招标文件其他地方无特别规定，投标有效期则为投标截止之日起90天。在投标有效期内投标文件应保持有效。</w:t>
      </w:r>
      <w:r>
        <w:rPr>
          <w:rFonts w:ascii="Arial" w:hAnsi="Arial" w:cs="Arial"/>
          <w:b/>
          <w:bCs/>
          <w:color w:val="000000" w:themeColor="text1"/>
          <w:szCs w:val="21"/>
          <w14:textFill>
            <w14:solidFill>
              <w14:schemeClr w14:val="tx1"/>
            </w14:solidFill>
          </w14:textFill>
        </w:rPr>
        <w:t>有效期不足的投标文件将被否决</w:t>
      </w:r>
      <w:r>
        <w:rPr>
          <w:rFonts w:ascii="Arial" w:hAnsi="Arial" w:cs="Arial"/>
          <w:color w:val="000000" w:themeColor="text1"/>
          <w:szCs w:val="21"/>
          <w14:textFill>
            <w14:solidFill>
              <w14:schemeClr w14:val="tx1"/>
            </w14:solidFill>
          </w14:textFill>
        </w:rPr>
        <w:t>。</w:t>
      </w:r>
    </w:p>
    <w:p w14:paraId="49521992">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3.4.2在特殊情况下，采购人可与供应商协商延长投标文件的有效期，这种要求和答复均以书面形式进行。</w:t>
      </w:r>
    </w:p>
    <w:p w14:paraId="480C147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3.4.3供应商同意延长的投标有效期的，如本项目要求提交保证金则应相应延长其投标保证金的有效期，但不得要求或被允许修改或撤销其投标文件；供应商拒绝延长的，其投标无效，但供应商有权收回其投标保证金。</w:t>
      </w:r>
    </w:p>
    <w:p w14:paraId="3E44B47A">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bookmarkStart w:id="42" w:name="_Toc254970541"/>
      <w:bookmarkStart w:id="43" w:name="_Toc254970682"/>
      <w:r>
        <w:rPr>
          <w:rFonts w:ascii="Arial" w:hAnsi="Arial" w:cs="Arial"/>
          <w:b/>
          <w:bCs/>
          <w:color w:val="000000" w:themeColor="text1"/>
          <w:kern w:val="0"/>
          <w:szCs w:val="21"/>
          <w14:textFill>
            <w14:solidFill>
              <w14:schemeClr w14:val="tx1"/>
            </w14:solidFill>
          </w14:textFill>
        </w:rPr>
        <w:t>3.5投标保证金</w:t>
      </w:r>
      <w:bookmarkEnd w:id="42"/>
      <w:bookmarkEnd w:id="43"/>
    </w:p>
    <w:p w14:paraId="035EF1CB">
      <w:pPr>
        <w:spacing w:before="120" w:line="320" w:lineRule="atLeast"/>
        <w:ind w:left="42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本项目无需缴纳投标保证金。</w:t>
      </w:r>
    </w:p>
    <w:p w14:paraId="1D02647F">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bookmarkStart w:id="44" w:name="_Toc254970542"/>
      <w:bookmarkStart w:id="45" w:name="_Toc254970683"/>
      <w:r>
        <w:rPr>
          <w:rFonts w:ascii="Arial" w:hAnsi="Arial" w:cs="Arial"/>
          <w:b/>
          <w:bCs/>
          <w:color w:val="000000" w:themeColor="text1"/>
          <w:kern w:val="0"/>
          <w:szCs w:val="21"/>
          <w14:textFill>
            <w14:solidFill>
              <w14:schemeClr w14:val="tx1"/>
            </w14:solidFill>
          </w14:textFill>
        </w:rPr>
        <w:t>3.6投标文件的</w:t>
      </w:r>
      <w:bookmarkEnd w:id="44"/>
      <w:bookmarkEnd w:id="45"/>
      <w:r>
        <w:rPr>
          <w:rFonts w:ascii="Arial" w:hAnsi="Arial" w:cs="Arial"/>
          <w:b/>
          <w:bCs/>
          <w:color w:val="000000" w:themeColor="text1"/>
          <w:kern w:val="0"/>
          <w:szCs w:val="21"/>
          <w14:textFill>
            <w14:solidFill>
              <w14:schemeClr w14:val="tx1"/>
            </w14:solidFill>
          </w14:textFill>
        </w:rPr>
        <w:t>编制要求</w:t>
      </w:r>
    </w:p>
    <w:p w14:paraId="5634D409">
      <w:pPr>
        <w:spacing w:before="120" w:line="320" w:lineRule="atLeast"/>
        <w:ind w:firstLine="420" w:firstLineChars="200"/>
        <w:rPr>
          <w:rFonts w:ascii="Arial" w:hAnsi="Arial" w:cs="Arial"/>
          <w:b/>
          <w:bCs/>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3.6.1</w:t>
      </w:r>
      <w:r>
        <w:rPr>
          <w:rFonts w:ascii="Arial" w:hAnsi="Arial" w:cs="Arial"/>
          <w:color w:val="000000" w:themeColor="text1"/>
          <w:szCs w:val="21"/>
          <w14:textFill>
            <w14:solidFill>
              <w14:schemeClr w14:val="tx1"/>
            </w14:solidFill>
          </w14:textFill>
        </w:rPr>
        <w:t>供应商应先安装</w:t>
      </w:r>
      <w:bookmarkStart w:id="46" w:name="_Hlk160184301"/>
      <w:r>
        <w:rPr>
          <w:rFonts w:ascii="Arial" w:hAnsi="Arial" w:cs="Arial"/>
          <w:color w:val="000000" w:themeColor="text1"/>
          <w:szCs w:val="21"/>
          <w14:textFill>
            <w14:solidFill>
              <w14:schemeClr w14:val="tx1"/>
            </w14:solidFill>
          </w14:textFill>
        </w:rPr>
        <w:t>广西政府采购云平台新版客户端</w:t>
      </w:r>
      <w:bookmarkEnd w:id="46"/>
      <w:r>
        <w:rPr>
          <w:rFonts w:ascii="Arial" w:hAnsi="Arial" w:cs="Arial"/>
          <w:color w:val="000000" w:themeColor="text1"/>
          <w:szCs w:val="21"/>
          <w14:textFill>
            <w14:solidFill>
              <w14:schemeClr w14:val="tx1"/>
            </w14:solidFill>
          </w14:textFill>
        </w:rPr>
        <w:t>，通过账号密码或CA登录客户端制作投标文件。</w:t>
      </w:r>
    </w:p>
    <w:p w14:paraId="29AFFDED">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47" w:name="_Hlk132791136"/>
      <w:r>
        <w:rPr>
          <w:rFonts w:ascii="Arial" w:hAnsi="Arial" w:cs="Arial"/>
          <w:color w:val="000000" w:themeColor="text1"/>
          <w:szCs w:val="21"/>
          <w14:textFill>
            <w14:solidFill>
              <w14:schemeClr w14:val="tx1"/>
            </w14:solidFill>
          </w14:textFill>
        </w:rPr>
        <w:t>3.6.2供应商应按本招标文件规定的格式和顺序编制投标文件并进行关联定位，以便评审委员会在评审时，点击评分项可直接定位到该评分项内容。如对招标文件的某项要求，供应商的投标文件未能关联定位提供相应的内容与其对应，则评审委员会在评审时如做出对供应商不利的评审由供应商自行承担。投标文件如内容不完整、编排混乱导致投标文件被误读、漏读，或者在按招标文件规定的部位查找不到相关内容的，由供应商自行承担。</w:t>
      </w:r>
    </w:p>
    <w:p w14:paraId="4E22C289">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48" w:name="_Hlk93046800"/>
      <w:r>
        <w:rPr>
          <w:rFonts w:ascii="Arial" w:hAnsi="Arial" w:cs="Arial"/>
          <w:color w:val="000000" w:themeColor="text1"/>
          <w:szCs w:val="21"/>
          <w14:textFill>
            <w14:solidFill>
              <w14:schemeClr w14:val="tx1"/>
            </w14:solidFill>
          </w14:textFill>
        </w:rPr>
        <w:t>3.6.3 投标人的投标文件未按照招标文件要求签署、盖章的，</w:t>
      </w:r>
      <w:r>
        <w:rPr>
          <w:rFonts w:ascii="Arial" w:hAnsi="Arial" w:cs="Arial"/>
          <w:b/>
          <w:bCs/>
          <w:color w:val="000000" w:themeColor="text1"/>
          <w:szCs w:val="21"/>
          <w14:textFill>
            <w14:solidFill>
              <w14:schemeClr w14:val="tx1"/>
            </w14:solidFill>
          </w14:textFill>
        </w:rPr>
        <w:t>其投标无效</w:t>
      </w:r>
      <w:r>
        <w:rPr>
          <w:rFonts w:ascii="Arial" w:hAnsi="Arial" w:cs="Arial"/>
          <w:color w:val="000000" w:themeColor="text1"/>
          <w:szCs w:val="21"/>
          <w14:textFill>
            <w14:solidFill>
              <w14:schemeClr w14:val="tx1"/>
            </w14:solidFill>
          </w14:textFill>
        </w:rPr>
        <w:t>。</w:t>
      </w:r>
    </w:p>
    <w:bookmarkEnd w:id="47"/>
    <w:bookmarkEnd w:id="48"/>
    <w:p w14:paraId="2FA03769">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3.6.4为确保网上操作合法、有效和安全，供应商应当在投标截止时间前完成在广西政府采购云平台的身份认证，确保在电子投标过程中能够对相关数据电文进行加密和使用电子签名。</w:t>
      </w:r>
    </w:p>
    <w:p w14:paraId="0BD5797B">
      <w:pPr>
        <w:spacing w:before="120" w:line="320" w:lineRule="atLeast"/>
        <w:ind w:firstLine="420" w:firstLineChars="200"/>
        <w:rPr>
          <w:rFonts w:ascii="Arial" w:hAnsi="Arial" w:cs="Arial"/>
          <w:b/>
          <w:bCs/>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3.6.5投标文件中标注的供应商名称应与主体资格证明（如营业执照、事业单位法人证书、执业许可证、个体工商户营业执照、自然人身份证等）和公章/电子签章一致，</w:t>
      </w:r>
      <w:r>
        <w:rPr>
          <w:rFonts w:ascii="Arial" w:hAnsi="Arial" w:cs="Arial"/>
          <w:b/>
          <w:bCs/>
          <w:color w:val="000000" w:themeColor="text1"/>
          <w:szCs w:val="21"/>
          <w14:textFill>
            <w14:solidFill>
              <w14:schemeClr w14:val="tx1"/>
            </w14:solidFill>
          </w14:textFill>
        </w:rPr>
        <w:t>否则作无效投标处理。</w:t>
      </w:r>
    </w:p>
    <w:p w14:paraId="4514FE1A">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3.7投标文件的递交、修改和撤回</w:t>
      </w:r>
    </w:p>
    <w:p w14:paraId="6F9AB64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3.7.1供应商必须在供应商须知前附表规定的投标文件开标时间和投标地点提交电子版投标文件。电子投标文件应在制作完成后，在投标截止时间前通过有效数字证书（CA认证锁）进行电子签章、加密，然后通过网络将加密的电子投标文件递交至广西政府采购云平台。</w:t>
      </w:r>
    </w:p>
    <w:p w14:paraId="1205A17C">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3.7.2未在规定时间内提交或者未按照招标文件要求签章、加密的电子投标文件，广西政府采购云平台将拒收。 </w:t>
      </w:r>
    </w:p>
    <w:p w14:paraId="5A4954C2">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bookmarkStart w:id="49" w:name="_Toc254970544"/>
      <w:bookmarkStart w:id="50" w:name="_Toc254970685"/>
      <w:r>
        <w:rPr>
          <w:rFonts w:ascii="Arial" w:hAnsi="Arial" w:cs="Arial"/>
          <w:color w:val="000000" w:themeColor="text1"/>
          <w:szCs w:val="21"/>
          <w14:textFill>
            <w14:solidFill>
              <w14:schemeClr w14:val="tx1"/>
            </w14:solidFill>
          </w14:textFill>
        </w:rPr>
        <w:t>3.7.3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w:t>
      </w:r>
    </w:p>
    <w:p w14:paraId="5D4FB748">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3.7.4在投标截止时间前，除供应商补充、修改或者撤回投标文件外，任何单位和个人不得解密或提取投标文件。</w:t>
      </w:r>
    </w:p>
    <w:p w14:paraId="104B8941">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3.7.5在投标截止时间止提交电子版投标文件的供应商不足3家时，电子版投标文件由代理机构在广西政府采购云平台操作退回，除此之外采购人和采购代理机构对已提交的投标文件概不退回。</w:t>
      </w:r>
    </w:p>
    <w:p w14:paraId="51D6A7BF">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bookmarkStart w:id="51" w:name="_Hlk93046827"/>
      <w:r>
        <w:rPr>
          <w:rFonts w:ascii="Arial" w:hAnsi="Arial" w:cs="Arial"/>
          <w:color w:val="000000" w:themeColor="text1"/>
          <w:szCs w:val="21"/>
          <w14:textFill>
            <w14:solidFill>
              <w14:schemeClr w14:val="tx1"/>
            </w14:solidFill>
          </w14:textFill>
        </w:rPr>
        <w:t>3.7.6招标文件未允许同一供应商提交两个或以上不同的响应文件，但存在</w:t>
      </w:r>
      <w:r>
        <w:rPr>
          <w:rFonts w:ascii="Arial" w:hAnsi="Arial" w:cs="Arial"/>
          <w:color w:val="000000" w:themeColor="text1"/>
          <w14:textFill>
            <w14:solidFill>
              <w14:schemeClr w14:val="tx1"/>
            </w14:solidFill>
          </w14:textFill>
        </w:rPr>
        <w:t>同</w:t>
      </w:r>
      <w:r>
        <w:rPr>
          <w:rFonts w:ascii="Arial" w:hAnsi="Arial" w:cs="Arial"/>
          <w:color w:val="000000" w:themeColor="text1"/>
          <w:szCs w:val="21"/>
          <w14:textFill>
            <w14:solidFill>
              <w14:schemeClr w14:val="tx1"/>
            </w14:solidFill>
          </w14:textFill>
        </w:rPr>
        <w:t>一供应商提交两个或以上不同的响应文件的，</w:t>
      </w:r>
      <w:r>
        <w:rPr>
          <w:rFonts w:ascii="Arial" w:hAnsi="Arial" w:cs="Arial"/>
          <w:b/>
          <w:bCs/>
          <w:color w:val="000000" w:themeColor="text1"/>
          <w:szCs w:val="21"/>
          <w14:textFill>
            <w14:solidFill>
              <w14:schemeClr w14:val="tx1"/>
            </w14:solidFill>
          </w14:textFill>
        </w:rPr>
        <w:t>其投标无效。</w:t>
      </w:r>
    </w:p>
    <w:bookmarkEnd w:id="51"/>
    <w:p w14:paraId="762B2D8C">
      <w:pPr>
        <w:spacing w:before="120" w:line="320" w:lineRule="atLeast"/>
        <w:ind w:left="2" w:leftChars="1" w:firstLine="422" w:firstLineChars="200"/>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4．开标</w:t>
      </w:r>
      <w:bookmarkEnd w:id="49"/>
      <w:bookmarkEnd w:id="50"/>
    </w:p>
    <w:p w14:paraId="5E115679">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4.1开标准备</w:t>
      </w:r>
    </w:p>
    <w:p w14:paraId="47D326BF">
      <w:pPr>
        <w:spacing w:before="120" w:line="276"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本项目投标截止时间及地点见“供应商须知前附表”规定。</w:t>
      </w:r>
    </w:p>
    <w:p w14:paraId="056C2C3A">
      <w:pPr>
        <w:autoSpaceDE w:val="0"/>
        <w:autoSpaceDN w:val="0"/>
        <w:adjustRightInd w:val="0"/>
        <w:spacing w:line="276"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全流程电子化项目没有现场递交投标文件及现场开标环节。采购代理机构将按照招标文件规定的时间通过广西政府采购云平台组织线上开标活动、开启投标文件，所有供应商均应当准时在线参加。供应商如不参加开标大会的，视同认可开标结果，事后不得对采购相关人员、开标过程和开标结果提出异议，同时供应商因未在线参加开标而导致投标文件无法按时解密等一切后果由供应商自己承担。</w:t>
      </w:r>
    </w:p>
    <w:p w14:paraId="5EEAB62B">
      <w:pPr>
        <w:spacing w:before="120" w:line="276"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如供应商成功解密投标文件，但未在广西政府采购云平台电子开标大厅参加开标的，视同认可开标过程和结果，由此产生的后果由供应商自行负责。 </w:t>
      </w:r>
    </w:p>
    <w:p w14:paraId="3AED44A1">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4.2开标程序</w:t>
      </w:r>
    </w:p>
    <w:p w14:paraId="1B024868">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4.2.1供应商登录广西政府采购云平台进入开标大厅签到。</w:t>
      </w:r>
    </w:p>
    <w:p w14:paraId="17626ED8">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4.2.2解密电子投标文件。广西政府采购云平台按开标时间自动提取所有投标文件。采购代理机构在广西政府采购云平台向各供应商发出电子加密投标文件开始解密通知，由供应商平台设置时间内自行进行投标文件解密。供应商须使用加密时所用的CA锁准时登录到广西政府采购云平台电子开标大厅签到并对电子投标文件解密。开标后供应商未及时进行解密的，代理机构可通知供应商。</w:t>
      </w:r>
      <w:r>
        <w:rPr>
          <w:rFonts w:ascii="Arial" w:hAnsi="Arial" w:cs="Arial"/>
          <w:color w:val="000000" w:themeColor="text1"/>
          <w14:textFill>
            <w14:solidFill>
              <w14:schemeClr w14:val="tx1"/>
            </w14:solidFill>
          </w14:textFill>
        </w:rPr>
        <w:t>通知后供应商仍未在上述规定时间内解密响应文件</w:t>
      </w:r>
      <w:r>
        <w:rPr>
          <w:rFonts w:ascii="Arial" w:hAnsi="Arial" w:cs="Arial"/>
          <w:color w:val="000000" w:themeColor="text1"/>
          <w:szCs w:val="21"/>
          <w14:textFill>
            <w14:solidFill>
              <w14:schemeClr w14:val="tx1"/>
            </w14:solidFill>
          </w14:textFill>
        </w:rPr>
        <w:t>，或者供应商没预留联系方式或预留联系方式无效导致代理机构无法联系到供应商进行解密的，均视为无效投标。</w:t>
      </w:r>
    </w:p>
    <w:p w14:paraId="6F7431E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4.2.3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p w14:paraId="7D0A768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4.2.4解密异常情况处理：详见本章9.2电子交易活动的中止。</w:t>
      </w:r>
    </w:p>
    <w:p w14:paraId="2ED1EBBF">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4.2.5供应商对报价进行确认。</w:t>
      </w:r>
    </w:p>
    <w:p w14:paraId="421ADAEB">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4.2.6开标结束。</w:t>
      </w:r>
    </w:p>
    <w:p w14:paraId="70C9641A">
      <w:pPr>
        <w:pStyle w:val="30"/>
        <w:snapToGrid w:val="0"/>
        <w:spacing w:line="440" w:lineRule="exact"/>
        <w:ind w:firstLine="422" w:firstLineChars="200"/>
        <w:rPr>
          <w:rFonts w:ascii="Arial" w:hAnsi="Arial" w:cs="Arial"/>
          <w:color w:val="000000" w:themeColor="text1"/>
          <w14:textFill>
            <w14:solidFill>
              <w14:schemeClr w14:val="tx1"/>
            </w14:solidFill>
          </w14:textFill>
        </w:rPr>
      </w:pPr>
      <w:r>
        <w:rPr>
          <w:rFonts w:ascii="Arial" w:hAnsi="Arial" w:cs="Arial"/>
          <w:b/>
          <w:bCs/>
          <w:color w:val="000000" w:themeColor="text1"/>
          <w14:textFill>
            <w14:solidFill>
              <w14:schemeClr w14:val="tx1"/>
            </w14:solidFill>
          </w14:textFill>
        </w:rPr>
        <w:t>特别说明：</w:t>
      </w:r>
      <w:r>
        <w:rPr>
          <w:rFonts w:ascii="Arial" w:hAnsi="Arial" w:cs="Arial"/>
          <w:color w:val="000000" w:themeColor="text1"/>
          <w14:textFill>
            <w14:solidFill>
              <w14:schemeClr w14:val="tx1"/>
            </w14:solidFill>
          </w14:textFill>
        </w:rPr>
        <w:t>如遇广西政府采购云平台电子化开标或评审程序调整的，按调整后的程序执行。</w:t>
      </w:r>
    </w:p>
    <w:p w14:paraId="736C91EC">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4.3演示</w:t>
      </w:r>
    </w:p>
    <w:p w14:paraId="352F9707">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本项目无演示。</w:t>
      </w:r>
    </w:p>
    <w:p w14:paraId="631DE8C9">
      <w:pPr>
        <w:spacing w:before="120" w:line="320" w:lineRule="atLeast"/>
        <w:ind w:firstLine="422" w:firstLineChars="200"/>
        <w:outlineLvl w:val="2"/>
        <w:rPr>
          <w:rFonts w:ascii="Arial" w:hAnsi="Arial" w:cs="Arial"/>
          <w:color w:val="000000" w:themeColor="text1"/>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4.4样品</w:t>
      </w:r>
    </w:p>
    <w:p w14:paraId="74D56D10">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52" w:name="_Toc254970545"/>
      <w:bookmarkStart w:id="53" w:name="_Toc254970686"/>
      <w:r>
        <w:rPr>
          <w:rFonts w:ascii="Arial" w:hAnsi="Arial" w:cs="Arial"/>
          <w:color w:val="000000" w:themeColor="text1"/>
          <w:szCs w:val="21"/>
          <w14:textFill>
            <w14:solidFill>
              <w14:schemeClr w14:val="tx1"/>
            </w14:solidFill>
          </w14:textFill>
        </w:rPr>
        <w:t>本项目无需提供样品。</w:t>
      </w:r>
    </w:p>
    <w:p w14:paraId="649A6686">
      <w:pPr>
        <w:spacing w:before="120" w:line="320" w:lineRule="atLeast"/>
        <w:ind w:left="2" w:leftChars="1" w:firstLine="422" w:firstLineChars="200"/>
        <w:outlineLvl w:val="1"/>
        <w:rPr>
          <w:rFonts w:ascii="Arial" w:hAnsi="Arial" w:cs="Arial"/>
          <w:b/>
          <w:bCs/>
          <w:color w:val="000000" w:themeColor="text1"/>
          <w:kern w:val="0"/>
          <w:szCs w:val="21"/>
          <w14:textFill>
            <w14:solidFill>
              <w14:schemeClr w14:val="tx1"/>
            </w14:solidFill>
          </w14:textFill>
        </w:rPr>
      </w:pPr>
      <w:bookmarkStart w:id="54" w:name="_Hlk93420947"/>
      <w:r>
        <w:rPr>
          <w:rFonts w:ascii="Arial" w:hAnsi="Arial" w:cs="Arial"/>
          <w:b/>
          <w:bCs/>
          <w:color w:val="000000" w:themeColor="text1"/>
          <w:kern w:val="0"/>
          <w:szCs w:val="21"/>
          <w14:textFill>
            <w14:solidFill>
              <w14:schemeClr w14:val="tx1"/>
            </w14:solidFill>
          </w14:textFill>
        </w:rPr>
        <w:t>5．资格审查</w:t>
      </w:r>
    </w:p>
    <w:p w14:paraId="219D8673">
      <w:pPr>
        <w:spacing w:before="120" w:line="320" w:lineRule="atLeast"/>
        <w:ind w:left="2" w:leftChars="1" w:firstLine="420" w:firstLineChars="200"/>
        <w:outlineLvl w:val="1"/>
        <w:rPr>
          <w:rFonts w:ascii="Arial" w:hAnsi="Arial" w:cs="Arial"/>
          <w:bCs/>
          <w:color w:val="000000" w:themeColor="text1"/>
          <w:kern w:val="0"/>
          <w:szCs w:val="21"/>
          <w14:textFill>
            <w14:solidFill>
              <w14:schemeClr w14:val="tx1"/>
            </w14:solidFill>
          </w14:textFill>
        </w:rPr>
      </w:pPr>
      <w:r>
        <w:rPr>
          <w:rFonts w:ascii="Arial" w:hAnsi="Arial" w:cs="Arial"/>
          <w:bCs/>
          <w:color w:val="000000" w:themeColor="text1"/>
          <w:kern w:val="0"/>
          <w:szCs w:val="21"/>
          <w14:textFill>
            <w14:solidFill>
              <w14:schemeClr w14:val="tx1"/>
            </w14:solidFill>
          </w14:textFill>
        </w:rPr>
        <w:t>5.1</w:t>
      </w:r>
      <w:r>
        <w:rPr>
          <w:rFonts w:ascii="Arial" w:hAnsi="Arial" w:cs="Arial"/>
          <w:bCs/>
          <w:color w:val="000000" w:themeColor="text1"/>
          <w:szCs w:val="21"/>
          <w14:textFill>
            <w14:solidFill>
              <w14:schemeClr w14:val="tx1"/>
            </w14:solidFill>
          </w14:textFill>
        </w:rPr>
        <w:t>开标结束后，采购人或者采购代理机构通过电子交易平台对供应商的资格进行审查。资格审查</w:t>
      </w:r>
      <w:r>
        <w:rPr>
          <w:rFonts w:ascii="Arial" w:hAnsi="Arial" w:cs="Arial"/>
          <w:bCs/>
          <w:color w:val="000000" w:themeColor="text1"/>
          <w:kern w:val="0"/>
          <w:szCs w:val="21"/>
          <w14:textFill>
            <w14:solidFill>
              <w14:schemeClr w14:val="tx1"/>
            </w14:solidFill>
          </w14:textFill>
        </w:rPr>
        <w:t>是根据法律法规和招标文件的规定，对供应商的基本资格条件、特定资格条件进行审查。</w:t>
      </w:r>
    </w:p>
    <w:p w14:paraId="61BCF97B">
      <w:pPr>
        <w:spacing w:before="120" w:line="320" w:lineRule="atLeast"/>
        <w:ind w:left="2" w:leftChars="1" w:firstLine="420" w:firstLineChars="200"/>
        <w:outlineLvl w:val="1"/>
        <w:rPr>
          <w:rFonts w:ascii="Arial" w:hAnsi="Arial" w:cs="Arial"/>
          <w:bCs/>
          <w:color w:val="000000" w:themeColor="text1"/>
          <w:kern w:val="0"/>
          <w:szCs w:val="21"/>
          <w14:textFill>
            <w14:solidFill>
              <w14:schemeClr w14:val="tx1"/>
            </w14:solidFill>
          </w14:textFill>
        </w:rPr>
      </w:pPr>
      <w:r>
        <w:rPr>
          <w:rFonts w:ascii="Arial" w:hAnsi="Arial" w:cs="Arial"/>
          <w:bCs/>
          <w:color w:val="000000" w:themeColor="text1"/>
          <w:kern w:val="0"/>
          <w:szCs w:val="21"/>
          <w14:textFill>
            <w14:solidFill>
              <w14:schemeClr w14:val="tx1"/>
            </w14:solidFill>
          </w14:textFill>
        </w:rPr>
        <w:t>5.2资格审查标准在第四章评审方法及标准中规定，符合资格审查标准要求的供应商即为资格审查合格。</w:t>
      </w:r>
    </w:p>
    <w:p w14:paraId="1EAA3771">
      <w:pPr>
        <w:spacing w:before="120" w:line="276" w:lineRule="auto"/>
        <w:ind w:left="2" w:leftChars="1" w:firstLine="420" w:firstLineChars="200"/>
        <w:outlineLvl w:val="1"/>
        <w:rPr>
          <w:rFonts w:ascii="Arial" w:hAnsi="Arial" w:cs="Arial"/>
          <w:bCs/>
          <w:color w:val="000000" w:themeColor="text1"/>
          <w:kern w:val="0"/>
          <w:szCs w:val="21"/>
          <w14:textFill>
            <w14:solidFill>
              <w14:schemeClr w14:val="tx1"/>
            </w14:solidFill>
          </w14:textFill>
        </w:rPr>
      </w:pPr>
      <w:r>
        <w:rPr>
          <w:rFonts w:ascii="Arial" w:hAnsi="Arial" w:cs="Arial"/>
          <w:bCs/>
          <w:color w:val="000000" w:themeColor="text1"/>
          <w:kern w:val="0"/>
          <w:szCs w:val="21"/>
          <w14:textFill>
            <w14:solidFill>
              <w14:schemeClr w14:val="tx1"/>
            </w14:solidFill>
          </w14:textFill>
        </w:rPr>
        <w:t>5.3供应商有下列情形之一的，资格审查不合格，作无效投标处理：</w:t>
      </w:r>
    </w:p>
    <w:p w14:paraId="7DFED924">
      <w:pPr>
        <w:spacing w:line="276" w:lineRule="auto"/>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 xml:space="preserve">5.3.1不具备招标文件中规定的资格要求或资格条件的； </w:t>
      </w:r>
      <w:r>
        <w:rPr>
          <w:rFonts w:ascii="Arial" w:hAnsi="Arial" w:cs="Arial"/>
          <w:color w:val="000000" w:themeColor="text1"/>
          <w14:textFill>
            <w14:solidFill>
              <w14:schemeClr w14:val="tx1"/>
            </w14:solidFill>
          </w14:textFill>
        </w:rPr>
        <w:t>（注：其中信用查询规则见“投标人须知前附表”，</w:t>
      </w:r>
      <w:r>
        <w:rPr>
          <w:rFonts w:ascii="Arial" w:hAnsi="Arial" w:cs="Arial"/>
          <w:color w:val="000000" w:themeColor="text1"/>
          <w:szCs w:val="21"/>
          <w14:textFill>
            <w14:solidFill>
              <w14:schemeClr w14:val="tx1"/>
            </w14:solidFill>
          </w14:textFill>
        </w:rPr>
        <w:t>广西政府采购云平台</w:t>
      </w:r>
      <w:r>
        <w:rPr>
          <w:rFonts w:ascii="Arial" w:hAnsi="Arial" w:cs="Arial"/>
          <w:color w:val="000000" w:themeColor="text1"/>
          <w14:textFill>
            <w14:solidFill>
              <w14:schemeClr w14:val="tx1"/>
            </w14:solidFill>
          </w14:textFill>
        </w:rPr>
        <w:t>已与“信用中国”平台做接口，可直接在线查询）</w:t>
      </w:r>
    </w:p>
    <w:p w14:paraId="0DE5A8E3">
      <w:pPr>
        <w:spacing w:before="120" w:line="276"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5.3.2投标文件缺少任何一项资格证明文件或不符合第四章评审方法及标准中资格审查标准规定的评审内容的；</w:t>
      </w:r>
    </w:p>
    <w:p w14:paraId="4A1ABF59">
      <w:pPr>
        <w:spacing w:before="120" w:line="276" w:lineRule="auto"/>
        <w:ind w:left="2" w:leftChars="1" w:firstLine="420" w:firstLineChars="200"/>
        <w:outlineLvl w:val="1"/>
        <w:rPr>
          <w:rFonts w:ascii="Arial" w:hAnsi="Arial" w:cs="Arial"/>
          <w:bCs/>
          <w:color w:val="000000" w:themeColor="text1"/>
          <w:kern w:val="0"/>
          <w:szCs w:val="21"/>
          <w14:textFill>
            <w14:solidFill>
              <w14:schemeClr w14:val="tx1"/>
            </w14:solidFill>
          </w14:textFill>
        </w:rPr>
      </w:pPr>
      <w:r>
        <w:rPr>
          <w:rFonts w:ascii="Arial" w:hAnsi="Arial" w:cs="Arial"/>
          <w:bCs/>
          <w:color w:val="000000" w:themeColor="text1"/>
          <w:kern w:val="0"/>
          <w:szCs w:val="21"/>
          <w14:textFill>
            <w14:solidFill>
              <w14:schemeClr w14:val="tx1"/>
            </w14:solidFill>
          </w14:textFill>
        </w:rPr>
        <w:t>5.4资格审查合格的供应商不足3家的，不得评审。</w:t>
      </w:r>
    </w:p>
    <w:bookmarkEnd w:id="54"/>
    <w:p w14:paraId="389E09D8">
      <w:pPr>
        <w:spacing w:before="120" w:line="320" w:lineRule="atLeast"/>
        <w:ind w:left="2" w:leftChars="1" w:firstLine="422" w:firstLineChars="200"/>
        <w:outlineLvl w:val="1"/>
        <w:rPr>
          <w:rFonts w:ascii="Arial" w:hAnsi="Arial" w:cs="Arial"/>
          <w:b/>
          <w:bCs/>
          <w:color w:val="000000" w:themeColor="text1"/>
          <w:kern w:val="0"/>
          <w:szCs w:val="21"/>
          <w14:textFill>
            <w14:solidFill>
              <w14:schemeClr w14:val="tx1"/>
            </w14:solidFill>
          </w14:textFill>
        </w:rPr>
      </w:pPr>
      <w:bookmarkStart w:id="55" w:name="_Hlk93420990"/>
      <w:r>
        <w:rPr>
          <w:rFonts w:ascii="Arial" w:hAnsi="Arial" w:cs="Arial"/>
          <w:b/>
          <w:bCs/>
          <w:color w:val="000000" w:themeColor="text1"/>
          <w:kern w:val="0"/>
          <w:szCs w:val="21"/>
          <w14:textFill>
            <w14:solidFill>
              <w14:schemeClr w14:val="tx1"/>
            </w14:solidFill>
          </w14:textFill>
        </w:rPr>
        <w:t>6．评审</w:t>
      </w:r>
      <w:bookmarkEnd w:id="52"/>
      <w:bookmarkEnd w:id="53"/>
    </w:p>
    <w:p w14:paraId="701ABB75">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6.1评审委员会及评审原则</w:t>
      </w:r>
    </w:p>
    <w:p w14:paraId="25E18164">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56" w:name="_Hlk91249317"/>
      <w:r>
        <w:rPr>
          <w:rFonts w:ascii="Arial" w:hAnsi="Arial" w:cs="Arial"/>
          <w:color w:val="000000" w:themeColor="text1"/>
          <w:szCs w:val="21"/>
          <w14:textFill>
            <w14:solidFill>
              <w14:schemeClr w14:val="tx1"/>
            </w14:solidFill>
          </w14:textFill>
        </w:rPr>
        <w:t>6.1.1本项目评审工作由评审委员会负责，评审委员会由评审专家和采购人代表（如有）组成。评审委员会评审时必须公平、公正、客观，不带任何倾向性和启发性；不得向外界透露任何与评审有关的内容；任何单位和个人不得干扰、影响评标的正常进行；评审委员会及有关工作人员不得私下与投标人接触，不得收受利害关系人的财物或者其他好处；评审专家发现本人与参加采购活动的供应商有利害关系的，应当主动提出回避。</w:t>
      </w:r>
    </w:p>
    <w:p w14:paraId="514693B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6.1.2评审委员会成员应当通过电子交易平台进行独立评审，评审委员会成员对需要共同认定的事项存在争议的，应当按照少数服从多数的原则作出结论。持不同意见的评审委员会成员应当在评审报告上签署不同意见及理由，否则视为同意评审报告。如果在评审过程中出现法律法规和招标文件均没有明确规定的情形时，由评审委员会现场协商确定，协商不一致的，由全体评审委员会成员投票表决，应当按照少数服从多数的原则作出结论并记录在评审报告中。</w:t>
      </w:r>
    </w:p>
    <w:p w14:paraId="71D7C5BD">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10B9677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6.1.4本项目评审过程实行全程网上留痕及录音、录像监控，供应商在评审过程中所进行的试图影响评审结果的不公正活动，可能导致其投标按无效处理。</w:t>
      </w:r>
    </w:p>
    <w:bookmarkEnd w:id="56"/>
    <w:p w14:paraId="57F93370">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bookmarkStart w:id="57" w:name="_Hlk91324148"/>
      <w:r>
        <w:rPr>
          <w:rFonts w:ascii="Arial" w:hAnsi="Arial" w:cs="Arial"/>
          <w:b/>
          <w:bCs/>
          <w:color w:val="000000" w:themeColor="text1"/>
          <w:kern w:val="0"/>
          <w:szCs w:val="21"/>
          <w14:textFill>
            <w14:solidFill>
              <w14:schemeClr w14:val="tx1"/>
            </w14:solidFill>
          </w14:textFill>
        </w:rPr>
        <w:t>6.2评审方法及依据</w:t>
      </w:r>
    </w:p>
    <w:p w14:paraId="6D3C1DDC">
      <w:pPr>
        <w:spacing w:before="120" w:line="320" w:lineRule="atLeast"/>
        <w:ind w:firstLine="420" w:firstLineChars="200"/>
        <w:rPr>
          <w:rFonts w:ascii="Arial" w:hAnsi="Arial" w:cs="Arial"/>
          <w:bCs/>
          <w:color w:val="000000" w:themeColor="text1"/>
          <w:kern w:val="0"/>
          <w:szCs w:val="21"/>
          <w14:textFill>
            <w14:solidFill>
              <w14:schemeClr w14:val="tx1"/>
            </w14:solidFill>
          </w14:textFill>
        </w:rPr>
      </w:pPr>
      <w:r>
        <w:rPr>
          <w:rFonts w:ascii="Arial" w:hAnsi="Arial" w:cs="Arial"/>
          <w:bCs/>
          <w:color w:val="000000" w:themeColor="text1"/>
          <w:kern w:val="0"/>
          <w:szCs w:val="21"/>
          <w14:textFill>
            <w14:solidFill>
              <w14:schemeClr w14:val="tx1"/>
            </w14:solidFill>
          </w14:textFill>
        </w:rPr>
        <w:t>6.2.1本项目采用第四章评审方法及标准规定的方法进行评审。</w:t>
      </w:r>
    </w:p>
    <w:p w14:paraId="74669A7F">
      <w:pPr>
        <w:suppressAutoHyphens/>
        <w:spacing w:before="120" w:line="320" w:lineRule="atLeast"/>
        <w:ind w:firstLine="420" w:firstLineChars="200"/>
        <w:rPr>
          <w:rFonts w:ascii="Arial" w:hAnsi="Arial" w:cs="Arial"/>
          <w:bCs/>
          <w:color w:val="000000" w:themeColor="text1"/>
          <w:kern w:val="0"/>
          <w:szCs w:val="21"/>
          <w14:textFill>
            <w14:solidFill>
              <w14:schemeClr w14:val="tx1"/>
            </w14:solidFill>
          </w14:textFill>
        </w:rPr>
      </w:pPr>
      <w:r>
        <w:rPr>
          <w:rFonts w:ascii="Arial" w:hAnsi="Arial" w:cs="Arial"/>
          <w:bCs/>
          <w:color w:val="000000" w:themeColor="text1"/>
          <w:kern w:val="0"/>
          <w:szCs w:val="21"/>
          <w14:textFill>
            <w14:solidFill>
              <w14:schemeClr w14:val="tx1"/>
            </w14:solidFill>
          </w14:textFill>
        </w:rPr>
        <w:t>6.2.2</w:t>
      </w:r>
      <w:r>
        <w:rPr>
          <w:rFonts w:ascii="Arial" w:hAnsi="Arial" w:cs="Arial"/>
          <w:color w:val="000000" w:themeColor="text1"/>
          <w14:textFill>
            <w14:solidFill>
              <w14:schemeClr w14:val="tx1"/>
            </w14:solidFill>
          </w14:textFill>
        </w:rPr>
        <w:t>评审委员会以招标文件、补充文件、投标文件、澄清及答复为评审依据，</w:t>
      </w:r>
      <w:r>
        <w:rPr>
          <w:rFonts w:ascii="Arial" w:hAnsi="Arial" w:cs="Arial"/>
          <w:bCs/>
          <w:color w:val="000000" w:themeColor="text1"/>
          <w:kern w:val="0"/>
          <w:szCs w:val="21"/>
          <w14:textFill>
            <w14:solidFill>
              <w14:schemeClr w14:val="tx1"/>
            </w14:solidFill>
          </w14:textFill>
        </w:rPr>
        <w:t>第四章评审方法及标准没有规定的评审方法、标准及因素，不得作为评审依据。</w:t>
      </w:r>
    </w:p>
    <w:bookmarkEnd w:id="57"/>
    <w:p w14:paraId="32C95A7D">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bookmarkStart w:id="58" w:name="_Hlk91324322"/>
      <w:r>
        <w:rPr>
          <w:rFonts w:ascii="Arial" w:hAnsi="Arial" w:cs="Arial"/>
          <w:b/>
          <w:bCs/>
          <w:color w:val="000000" w:themeColor="text1"/>
          <w:kern w:val="0"/>
          <w:szCs w:val="21"/>
          <w14:textFill>
            <w14:solidFill>
              <w14:schemeClr w14:val="tx1"/>
            </w14:solidFill>
          </w14:textFill>
        </w:rPr>
        <w:t>6.3评审程序</w:t>
      </w:r>
    </w:p>
    <w:p w14:paraId="76BA91CF">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6.</w:t>
      </w:r>
      <w:bookmarkStart w:id="59" w:name="_Hlk80956880"/>
      <w:r>
        <w:rPr>
          <w:rFonts w:ascii="Arial" w:hAnsi="Arial" w:cs="Arial"/>
          <w:color w:val="000000" w:themeColor="text1"/>
          <w14:textFill>
            <w14:solidFill>
              <w14:schemeClr w14:val="tx1"/>
            </w14:solidFill>
          </w14:textFill>
        </w:rPr>
        <w:t>3.1符合性审查</w:t>
      </w:r>
    </w:p>
    <w:p w14:paraId="0F72E8F5">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bCs/>
          <w:color w:val="000000" w:themeColor="text1"/>
          <w:kern w:val="1"/>
          <w:szCs w:val="21"/>
          <w14:textFill>
            <w14:solidFill>
              <w14:schemeClr w14:val="tx1"/>
            </w14:solidFill>
          </w14:textFill>
        </w:rPr>
        <w:t>资格审查结束后，</w:t>
      </w:r>
      <w:r>
        <w:rPr>
          <w:rFonts w:ascii="Arial" w:hAnsi="Arial" w:cs="Arial"/>
          <w:color w:val="000000" w:themeColor="text1"/>
          <w14:textFill>
            <w14:solidFill>
              <w14:schemeClr w14:val="tx1"/>
            </w14:solidFill>
          </w14:textFill>
        </w:rPr>
        <w:t>评审委员会对通过资格审查的供应商的投标文件报价、商务资信、技术等方面实质性内容进行符合性审查，</w:t>
      </w:r>
      <w:r>
        <w:rPr>
          <w:rFonts w:ascii="Arial" w:hAnsi="Arial" w:cs="Arial"/>
          <w:color w:val="000000" w:themeColor="text1"/>
          <w:szCs w:val="21"/>
          <w14:textFill>
            <w14:solidFill>
              <w14:schemeClr w14:val="tx1"/>
            </w14:solidFill>
          </w14:textFill>
        </w:rPr>
        <w:t>符合性审查标准详见第四章评审方法及标准。</w:t>
      </w:r>
    </w:p>
    <w:bookmarkEnd w:id="59"/>
    <w:p w14:paraId="0D846660">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6.3.2</w:t>
      </w:r>
      <w:r>
        <w:rPr>
          <w:rFonts w:ascii="Arial" w:hAnsi="Arial" w:cs="Arial"/>
          <w:color w:val="000000" w:themeColor="text1"/>
          <w14:textFill>
            <w14:solidFill>
              <w14:schemeClr w14:val="tx1"/>
            </w14:solidFill>
          </w14:textFill>
        </w:rPr>
        <w:t>强制性</w:t>
      </w:r>
      <w:r>
        <w:rPr>
          <w:rFonts w:ascii="Arial" w:hAnsi="Arial" w:cs="Arial"/>
          <w:color w:val="000000" w:themeColor="text1"/>
          <w:szCs w:val="21"/>
          <w14:textFill>
            <w14:solidFill>
              <w14:schemeClr w14:val="tx1"/>
            </w14:solidFill>
          </w14:textFill>
        </w:rPr>
        <w:t>采购要求（仅适用于货物采购项目）</w:t>
      </w:r>
    </w:p>
    <w:p w14:paraId="1178C628">
      <w:pPr>
        <w:suppressAutoHyphens/>
        <w:spacing w:before="120" w:line="320" w:lineRule="atLeast"/>
        <w:ind w:firstLine="422" w:firstLineChars="201"/>
        <w:rPr>
          <w:rFonts w:ascii="Arial" w:hAnsi="Arial" w:cs="Arial"/>
          <w:color w:val="000000" w:themeColor="text1"/>
          <w:szCs w:val="21"/>
          <w14:textFill>
            <w14:solidFill>
              <w14:schemeClr w14:val="tx1"/>
            </w14:solidFill>
          </w14:textFill>
        </w:rPr>
      </w:pPr>
      <w:bookmarkStart w:id="60" w:name="_Hlk47714684"/>
      <w:r>
        <w:rPr>
          <w:rFonts w:ascii="Arial" w:hAnsi="Arial" w:cs="Arial"/>
          <w:color w:val="000000" w:themeColor="text1"/>
          <w:szCs w:val="21"/>
          <w14:textFill>
            <w14:solidFill>
              <w14:schemeClr w14:val="tx1"/>
            </w14:solidFill>
          </w14:textFill>
        </w:rPr>
        <w:t>（1）</w:t>
      </w:r>
      <w:bookmarkEnd w:id="60"/>
      <w:r>
        <w:rPr>
          <w:rFonts w:ascii="Arial" w:hAnsi="Arial" w:cs="Arial"/>
          <w:color w:val="000000" w:themeColor="text1"/>
          <w:szCs w:val="21"/>
          <w14:textFill>
            <w14:solidFill>
              <w14:schemeClr w14:val="tx1"/>
            </w14:solidFill>
          </w14:textFill>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投标货物必须使用政府强制采购的节能产品，否则投标文件作无效处理；属于品目清单内非标注“★”的产品时，应优先采购。</w:t>
      </w:r>
    </w:p>
    <w:p w14:paraId="3B8FAEDB">
      <w:pPr>
        <w:spacing w:before="120" w:line="276" w:lineRule="auto"/>
        <w:ind w:firstLine="420" w:firstLineChars="200"/>
        <w:rPr>
          <w:szCs w:val="21"/>
        </w:rPr>
      </w:pPr>
      <w:bookmarkStart w:id="61" w:name="_Hlk138843020"/>
      <w:r>
        <w:rPr>
          <w:rFonts w:hint="eastAsia"/>
          <w:szCs w:val="21"/>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投标人在投标文件中应主动列明供货范围中属于网络安全专用产品的投标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42F19034">
      <w:pPr>
        <w:spacing w:before="120" w:line="276" w:lineRule="auto"/>
        <w:ind w:firstLine="420" w:firstLineChars="200"/>
        <w:rPr>
          <w:rFonts w:ascii="Arial" w:hAnsi="Arial" w:cs="Arial"/>
          <w:color w:val="000000" w:themeColor="text1"/>
          <w:szCs w:val="21"/>
          <w14:textFill>
            <w14:solidFill>
              <w14:schemeClr w14:val="tx1"/>
            </w14:solidFill>
          </w14:textFill>
        </w:rPr>
      </w:pPr>
      <w:r>
        <w:rPr>
          <w:rFonts w:hint="eastAsia"/>
          <w:szCs w:val="21"/>
        </w:rPr>
        <w:t>注：网络安全专用产品在中共中央网络安全和信息化委员会办公室网站上发布的《网络关键设备和网络安全专用产品目录》中查询。</w:t>
      </w:r>
      <w:r>
        <w:rPr>
          <w:szCs w:val="21"/>
        </w:rPr>
        <w:t xml:space="preserve"> </w:t>
      </w:r>
      <w:r>
        <w:rPr>
          <w:rFonts w:hint="eastAsia"/>
          <w:szCs w:val="21"/>
          <w:lang w:eastAsia="zh-CN"/>
        </w:rPr>
        <w:t>“</w:t>
      </w:r>
      <w:r>
        <w:rPr>
          <w:rFonts w:hint="eastAsia"/>
          <w:szCs w:val="21"/>
          <w:lang w:val="en-US" w:eastAsia="zh-CN"/>
        </w:rPr>
        <w:t>网络安全专用产品”内“产品类别”</w:t>
      </w:r>
      <w:r>
        <w:rPr>
          <w:rFonts w:hint="eastAsia"/>
          <w:szCs w:val="21"/>
        </w:rPr>
        <w:t>共</w:t>
      </w:r>
      <w:r>
        <w:rPr>
          <w:rFonts w:hint="eastAsia"/>
          <w:szCs w:val="21"/>
          <w:lang w:val="en-US" w:eastAsia="zh-CN"/>
        </w:rPr>
        <w:t>34</w:t>
      </w:r>
      <w:r>
        <w:rPr>
          <w:rFonts w:hint="eastAsia"/>
          <w:szCs w:val="21"/>
        </w:rPr>
        <w:t>类：数据备份与恢复产品、防火墙、入侵检测系统（I</w:t>
      </w:r>
      <w:r>
        <w:rPr>
          <w:szCs w:val="21"/>
        </w:rPr>
        <w:t>DS</w:t>
      </w:r>
      <w:r>
        <w:rPr>
          <w:rFonts w:hint="eastAsia"/>
          <w:szCs w:val="21"/>
        </w:rPr>
        <w:t>）、入侵防御系统（</w:t>
      </w:r>
      <w:r>
        <w:rPr>
          <w:szCs w:val="21"/>
        </w:rPr>
        <w:t>IPS</w:t>
      </w:r>
      <w:r>
        <w:rPr>
          <w:rFonts w:hint="eastAsia"/>
          <w:szCs w:val="21"/>
        </w:rPr>
        <w:t>）、</w:t>
      </w:r>
      <w:r>
        <w:rPr>
          <w:rFonts w:hint="eastAsia"/>
          <w:szCs w:val="21"/>
          <w:lang w:val="en-US" w:eastAsia="zh-CN"/>
        </w:rPr>
        <w:t>网络和终端隔离产品</w:t>
      </w:r>
      <w:r>
        <w:rPr>
          <w:rFonts w:hint="eastAsia"/>
          <w:szCs w:val="21"/>
        </w:rPr>
        <w:t>、反垃圾邮件产品、网络综合审计</w:t>
      </w:r>
      <w:r>
        <w:rPr>
          <w:rFonts w:hint="eastAsia"/>
          <w:szCs w:val="21"/>
          <w:lang w:val="en-US" w:eastAsia="zh-CN"/>
        </w:rPr>
        <w:t>产品</w:t>
      </w:r>
      <w:r>
        <w:rPr>
          <w:rFonts w:hint="eastAsia"/>
          <w:szCs w:val="21"/>
        </w:rPr>
        <w:t>、网络脆弱性扫描产品、安全数据库系统、网站恢复产品</w:t>
      </w:r>
      <w:r>
        <w:rPr>
          <w:rFonts w:hint="eastAsia"/>
          <w:szCs w:val="21"/>
          <w:lang w:eastAsia="zh-CN"/>
        </w:rPr>
        <w:t>、</w:t>
      </w:r>
      <w:r>
        <w:rPr>
          <w:rFonts w:hint="eastAsia"/>
          <w:szCs w:val="21"/>
          <w:lang w:val="en-US" w:eastAsia="zh-CN"/>
        </w:rPr>
        <w:t>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bookmarkEnd w:id="61"/>
    <w:p w14:paraId="6E6E6197">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6.3.3澄清、说明或补正</w:t>
      </w:r>
    </w:p>
    <w:p w14:paraId="46C3C9B6">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（1）对投标文件中含义不明确、同类问题表述不一致或者有明显文字和计算错误的内容，评审委员会应在</w:t>
      </w:r>
      <w:r>
        <w:rPr>
          <w:rFonts w:ascii="Arial" w:hAnsi="Arial" w:cs="Arial"/>
          <w:color w:val="000000" w:themeColor="text1"/>
          <w:szCs w:val="21"/>
          <w14:textFill>
            <w14:solidFill>
              <w14:schemeClr w14:val="tx1"/>
            </w14:solidFill>
          </w14:textFill>
        </w:rPr>
        <w:t>广西政府采购云平台</w:t>
      </w:r>
      <w:r>
        <w:rPr>
          <w:rFonts w:ascii="Arial" w:hAnsi="Arial" w:cs="Arial"/>
          <w:color w:val="000000" w:themeColor="text1"/>
          <w14:textFill>
            <w14:solidFill>
              <w14:schemeClr w14:val="tx1"/>
            </w14:solidFill>
          </w14:textFill>
        </w:rPr>
        <w:t>发布电子澄清函，要求供应商在平台设置的时间内作出必要的澄清、说明或者补正。供应商在</w:t>
      </w:r>
      <w:r>
        <w:rPr>
          <w:rFonts w:ascii="Arial" w:hAnsi="Arial" w:cs="Arial"/>
          <w:color w:val="000000" w:themeColor="text1"/>
          <w:szCs w:val="21"/>
          <w14:textFill>
            <w14:solidFill>
              <w14:schemeClr w14:val="tx1"/>
            </w14:solidFill>
          </w14:textFill>
        </w:rPr>
        <w:t>广西政府采购云平台</w:t>
      </w:r>
      <w:r>
        <w:rPr>
          <w:rFonts w:ascii="Arial" w:hAnsi="Arial" w:cs="Arial"/>
          <w:color w:val="000000" w:themeColor="text1"/>
          <w14:textFill>
            <w14:solidFill>
              <w14:schemeClr w14:val="tx1"/>
            </w14:solidFill>
          </w14:textFill>
        </w:rPr>
        <w:t>接收到电子澄清函后根据澄清函内容直接在线编辑或上传PDF格式回函，电子澄清答复函使用CA证书加盖单位电子签章后提交至评审委员会。供应商的澄清、说明或者补正不得超出投标文件的范围或者改变投标文件的实质性内容。供应商未在规定时间内进行澄清、说明或者补正的，按无效投标处理。</w:t>
      </w:r>
    </w:p>
    <w:p w14:paraId="0A994A83">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2）异常情况处理：如遇无法正常使用线上发送澄清函的情况，将以书面形式执行。评审委员会以书面形式要求供应商在规定时间内作出必要的澄清、说明或者补正。供应商的澄清、说明或者补正必须采用书面形式，并加盖公章或者由法定代表人或者其授权的代表签字。</w:t>
      </w:r>
    </w:p>
    <w:p w14:paraId="3505D112">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6.3.4报价修正</w:t>
      </w:r>
    </w:p>
    <w:p w14:paraId="4695B05C">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（1）报价出现前后不一致的，按照下列规定修正：</w:t>
      </w:r>
    </w:p>
    <w:p w14:paraId="609B7B1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①投标文件中开标一览表（报价表）内容与投标文件中相应内容不一致的，以开标一览表（报价表）为准；</w:t>
      </w:r>
    </w:p>
    <w:p w14:paraId="2A2842BC">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②大写金额和小写金额不一致的，以大写金额为准；</w:t>
      </w:r>
    </w:p>
    <w:p w14:paraId="47DC9223">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③单价金额小数点或者百分比有明显错位的，以开标一览表的总价为准，并修改单价；</w:t>
      </w:r>
    </w:p>
    <w:p w14:paraId="3A0217F5">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④总价金额与按单价汇总金额不一致的，以单价金额计算结果为准。</w:t>
      </w:r>
    </w:p>
    <w:p w14:paraId="711EDC1A">
      <w:pPr>
        <w:spacing w:before="120" w:line="320" w:lineRule="atLeast"/>
        <w:ind w:firstLine="420" w:firstLineChars="200"/>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同时出现两种以上不一致的，按照上述①-④顺序修正。修正后的报价按照上述“6.3.3澄清、说明或补正”的规定经供应商确认后产生约束力，供应商不确认的，其投标无效。</w:t>
      </w:r>
    </w:p>
    <w:p w14:paraId="530F691C">
      <w:pPr>
        <w:spacing w:before="120" w:line="320" w:lineRule="atLeast"/>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2</w:t>
      </w:r>
      <w:r>
        <w:rPr>
          <w:rFonts w:hint="eastAsia"/>
          <w:color w:val="000000" w:themeColor="text1"/>
          <w:szCs w:val="21"/>
          <w14:textFill>
            <w14:solidFill>
              <w14:schemeClr w14:val="tx1"/>
            </w14:solidFill>
          </w14:textFill>
        </w:rPr>
        <w:t>）经投标人确认修正后的报价若超过采购预算金额或者最高限价，其投标文件作无效投标处理。</w:t>
      </w:r>
    </w:p>
    <w:p w14:paraId="5A08C474">
      <w:pPr>
        <w:spacing w:before="120" w:line="320" w:lineRule="atLeast"/>
        <w:ind w:firstLine="420" w:firstLineChars="200"/>
        <w:rPr>
          <w:rFonts w:ascii="Arial" w:hAnsi="Arial" w:cs="Arial"/>
          <w:color w:val="000000" w:themeColor="text1"/>
          <w:szCs w:val="21"/>
          <w:highlight w:val="none"/>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3</w:t>
      </w:r>
      <w:r>
        <w:rPr>
          <w:rFonts w:hint="eastAsia"/>
          <w:color w:val="000000" w:themeColor="text1"/>
          <w:szCs w:val="21"/>
          <w14:textFill>
            <w14:solidFill>
              <w14:schemeClr w14:val="tx1"/>
            </w14:solidFill>
          </w14:textFill>
        </w:rPr>
        <w:t>）经投标人确认修正后的报价作为签订合同的依据，并以此报价计算价格分。</w:t>
      </w:r>
    </w:p>
    <w:p w14:paraId="65543279">
      <w:pPr>
        <w:spacing w:before="120" w:line="320" w:lineRule="atLeast"/>
        <w:ind w:firstLine="420" w:firstLineChars="200"/>
        <w:rPr>
          <w:rFonts w:hint="eastAsia"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6.3.5异常低价审查</w:t>
      </w:r>
    </w:p>
    <w:p w14:paraId="6BFF4C10">
      <w:pPr>
        <w:numPr>
          <w:ilvl w:val="0"/>
          <w:numId w:val="0"/>
        </w:numPr>
        <w:spacing w:before="120" w:line="320" w:lineRule="atLeast"/>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BF3AF65">
      <w:pPr>
        <w:numPr>
          <w:ilvl w:val="0"/>
          <w:numId w:val="0"/>
        </w:numPr>
        <w:spacing w:before="120" w:line="320" w:lineRule="atLeast"/>
        <w:ind w:firstLine="420" w:firstLineChars="200"/>
        <w:rPr>
          <w:rFonts w:hint="eastAsia"/>
          <w:strike/>
          <w:dstrike w:val="0"/>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w:t>
      </w:r>
      <w:r>
        <w:rPr>
          <w:rFonts w:hint="eastAsia"/>
          <w:strike w:val="0"/>
          <w:dstrike w:val="0"/>
          <w:color w:val="000000" w:themeColor="text1"/>
          <w:szCs w:val="21"/>
          <w:highlight w:val="none"/>
          <w:lang w:val="en-US" w:eastAsia="zh-CN"/>
          <w14:textFill>
            <w14:solidFill>
              <w14:schemeClr w14:val="tx1"/>
            </w14:solidFill>
          </w14:textFill>
        </w:rPr>
        <w:t>投标（响应）供应商不能提供书面说明、证明材料，或者提供的书面说明、证明材料不能证明其报价合理性的，评审委员会应当将其作为无效投标处理。</w:t>
      </w:r>
    </w:p>
    <w:p w14:paraId="1D07FE73">
      <w:pPr>
        <w:numPr>
          <w:ilvl w:val="0"/>
          <w:numId w:val="0"/>
        </w:numPr>
        <w:spacing w:before="120" w:line="320" w:lineRule="atLeast"/>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159C602">
      <w:pPr>
        <w:numPr>
          <w:ilvl w:val="0"/>
          <w:numId w:val="0"/>
        </w:numPr>
        <w:spacing w:before="120" w:line="320" w:lineRule="atLeast"/>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异常低价投标审查的启动原因、审查意见和审查结果应当在评审报告中记录，并随供应商提供的相关书面说明及证明材料，以及评审委员会有关互联网浏览、查询历史一并归档。</w:t>
      </w:r>
    </w:p>
    <w:p w14:paraId="5279C8D8">
      <w:pPr>
        <w:spacing w:before="120" w:line="320" w:lineRule="atLeast"/>
        <w:ind w:firstLine="420" w:firstLineChars="200"/>
        <w:rPr>
          <w:rFonts w:ascii="Arial" w:hAnsi="Arial" w:cs="Arial"/>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书面证明应当按照上述“</w:t>
      </w:r>
      <w:r>
        <w:rPr>
          <w:color w:val="000000" w:themeColor="text1"/>
          <w:szCs w:val="21"/>
          <w:highlight w:val="none"/>
          <w14:textFill>
            <w14:solidFill>
              <w14:schemeClr w14:val="tx1"/>
            </w14:solidFill>
          </w14:textFill>
        </w:rPr>
        <w:t>6.3.3</w:t>
      </w:r>
      <w:r>
        <w:rPr>
          <w:rFonts w:hint="eastAsia"/>
          <w:color w:val="000000" w:themeColor="text1"/>
          <w:szCs w:val="21"/>
          <w:highlight w:val="none"/>
          <w14:textFill>
            <w14:solidFill>
              <w14:schemeClr w14:val="tx1"/>
            </w14:solidFill>
          </w14:textFill>
        </w:rPr>
        <w:t>澄清、说明或补正”的规定提交</w:t>
      </w:r>
      <w:r>
        <w:rPr>
          <w:rFonts w:hint="eastAsia"/>
          <w:color w:val="000000" w:themeColor="text1"/>
          <w:szCs w:val="21"/>
          <w:highlight w:val="none"/>
          <w:lang w:val="en-US" w:eastAsia="zh-CN"/>
          <w14:textFill>
            <w14:solidFill>
              <w14:schemeClr w14:val="tx1"/>
            </w14:solidFill>
          </w14:textFill>
        </w:rPr>
        <w:t>。</w:t>
      </w:r>
    </w:p>
    <w:p w14:paraId="2F868D4B">
      <w:pPr>
        <w:spacing w:before="120" w:line="320" w:lineRule="atLeast"/>
        <w:ind w:firstLine="420" w:firstLineChars="200"/>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6.3.</w:t>
      </w:r>
      <w:r>
        <w:rPr>
          <w:rFonts w:hint="eastAsia" w:ascii="Arial" w:hAnsi="Arial" w:cs="Arial"/>
          <w:color w:val="000000" w:themeColor="text1"/>
          <w:szCs w:val="21"/>
          <w:highlight w:val="none"/>
          <w:lang w:val="en-US" w:eastAsia="zh-CN"/>
          <w14:textFill>
            <w14:solidFill>
              <w14:schemeClr w14:val="tx1"/>
            </w14:solidFill>
          </w14:textFill>
        </w:rPr>
        <w:t>6</w:t>
      </w:r>
      <w:r>
        <w:rPr>
          <w:rFonts w:ascii="Arial" w:hAnsi="Arial" w:cs="Arial"/>
          <w:color w:val="000000" w:themeColor="text1"/>
          <w:szCs w:val="21"/>
          <w:highlight w:val="none"/>
          <w14:textFill>
            <w14:solidFill>
              <w14:schemeClr w14:val="tx1"/>
            </w14:solidFill>
          </w14:textFill>
        </w:rPr>
        <w:t>相同品牌认定（仅适用于货物采购项目）</w:t>
      </w:r>
    </w:p>
    <w:p w14:paraId="70BBBB18">
      <w:pPr>
        <w:spacing w:before="120" w:line="320" w:lineRule="atLeast"/>
        <w:ind w:firstLine="420" w:firstLineChars="200"/>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（1）单一产品采购项目，</w:t>
      </w:r>
      <w:r>
        <w:rPr>
          <w:rFonts w:ascii="Arial" w:hAnsi="Arial" w:cs="Arial"/>
          <w:color w:val="000000" w:themeColor="text1"/>
          <w:highlight w:val="none"/>
          <w14:textFill>
            <w14:solidFill>
              <w14:schemeClr w14:val="tx1"/>
            </w14:solidFill>
          </w14:textFill>
        </w:rPr>
        <w:t>不同供应商提供的产品品牌相同时，按以下规定确定</w:t>
      </w:r>
      <w:r>
        <w:rPr>
          <w:rFonts w:ascii="Arial" w:hAnsi="Arial" w:cs="Arial"/>
          <w:bCs/>
          <w:color w:val="000000" w:themeColor="text1"/>
          <w:kern w:val="0"/>
          <w:szCs w:val="21"/>
          <w:highlight w:val="none"/>
          <w14:textFill>
            <w14:solidFill>
              <w14:schemeClr w14:val="tx1"/>
            </w14:solidFill>
          </w14:textFill>
        </w:rPr>
        <w:t>相同品牌的投标有效性</w:t>
      </w:r>
      <w:r>
        <w:rPr>
          <w:rFonts w:ascii="Arial" w:hAnsi="Arial" w:cs="Arial"/>
          <w:color w:val="000000" w:themeColor="text1"/>
          <w:highlight w:val="none"/>
          <w14:textFill>
            <w14:solidFill>
              <w14:schemeClr w14:val="tx1"/>
            </w14:solidFill>
          </w14:textFill>
        </w:rPr>
        <w:t>。</w:t>
      </w:r>
    </w:p>
    <w:p w14:paraId="42B232E1">
      <w:pPr>
        <w:spacing w:before="120" w:line="320" w:lineRule="atLeast"/>
        <w:ind w:firstLine="420" w:firstLineChars="200"/>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①采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审委员会按照招标文件规定的方式确定一个供应商获得中标人推荐资格，招标文件未规定的采取随机抽取方式确定，其他同品牌供应商不作为中标候选人。</w:t>
      </w:r>
    </w:p>
    <w:p w14:paraId="6C44937D">
      <w:pPr>
        <w:spacing w:before="120" w:line="320" w:lineRule="atLeast"/>
        <w:ind w:firstLine="420" w:firstLineChars="200"/>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②采用最低评标价法的采购项目，提供相同品牌产品的不同供应商参加同一合同项下投标的，以其中通过资格审查、符合性审查且报价最低的参加评标；报价相同的，由采购人或者采购人委托评审委员会按照招标文件规定的方式确定一个参加评标的供应商，招标文件未规定的采取随机抽取方式确定，其他投标无效。</w:t>
      </w:r>
    </w:p>
    <w:p w14:paraId="4267EC50">
      <w:pPr>
        <w:spacing w:before="120" w:line="320" w:lineRule="atLeast"/>
        <w:ind w:firstLine="420" w:firstLineChars="200"/>
        <w:rPr>
          <w:rFonts w:ascii="Arial" w:hAnsi="Arial" w:cs="Arial"/>
          <w:color w:val="000000" w:themeColor="text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（2）非单一产品采购项目，采购人应当确定核心产品，并在招标文件中载明。不同供应商提供的核心产品品牌相同的，按上述规定处理。核心产品在第二章采购需求规定。</w:t>
      </w:r>
    </w:p>
    <w:p w14:paraId="3B1A05FD">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6.3.</w:t>
      </w:r>
      <w:r>
        <w:rPr>
          <w:rFonts w:hint="eastAsia" w:ascii="Arial" w:hAnsi="Arial" w:cs="Arial"/>
          <w:color w:val="000000" w:themeColor="text1"/>
          <w:szCs w:val="21"/>
          <w:lang w:val="en-US" w:eastAsia="zh-CN"/>
          <w14:textFill>
            <w14:solidFill>
              <w14:schemeClr w14:val="tx1"/>
            </w14:solidFill>
          </w14:textFill>
        </w:rPr>
        <w:t>7</w:t>
      </w:r>
      <w:r>
        <w:rPr>
          <w:rFonts w:ascii="Arial" w:hAnsi="Arial" w:cs="Arial"/>
          <w:color w:val="000000" w:themeColor="text1"/>
          <w:szCs w:val="21"/>
          <w14:textFill>
            <w14:solidFill>
              <w14:schemeClr w14:val="tx1"/>
            </w14:solidFill>
          </w14:textFill>
        </w:rPr>
        <w:t>串通投标认定</w:t>
      </w:r>
    </w:p>
    <w:p w14:paraId="5F739154">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评审委员会须根据以下规定认定供应商是否有</w:t>
      </w:r>
      <w:r>
        <w:rPr>
          <w:rFonts w:ascii="Arial" w:hAnsi="Arial" w:cs="Arial"/>
          <w:bCs/>
          <w:color w:val="000000" w:themeColor="text1"/>
          <w:kern w:val="0"/>
          <w:szCs w:val="21"/>
          <w14:textFill>
            <w14:solidFill>
              <w14:schemeClr w14:val="tx1"/>
            </w14:solidFill>
          </w14:textFill>
        </w:rPr>
        <w:t>串通投标的行为</w:t>
      </w:r>
      <w:r>
        <w:rPr>
          <w:rFonts w:ascii="Arial" w:hAnsi="Arial" w:cs="Arial"/>
          <w:color w:val="000000" w:themeColor="text1"/>
          <w14:textFill>
            <w14:solidFill>
              <w14:schemeClr w14:val="tx1"/>
            </w14:solidFill>
          </w14:textFill>
        </w:rPr>
        <w:t>。</w:t>
      </w:r>
    </w:p>
    <w:p w14:paraId="0F44C6B7">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（1）根据《关于防治政府采购招标中串通投标行为的通知》（桂财采[2016]42号）规定，出现下述情况的，相关供应商的投标作无效投标处理。</w:t>
      </w:r>
    </w:p>
    <w:p w14:paraId="6D5C087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①单位负责人为同一人或者存在直接控股、管理关系，参加同一合同项下政府采购活动的不同供应商。</w:t>
      </w:r>
    </w:p>
    <w:p w14:paraId="7BBC24F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②授权给供应商后参加同一合同项（分标、分包）投标的生产厂商。</w:t>
      </w:r>
    </w:p>
    <w:p w14:paraId="554E03A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③视为或被认定为串通投标的相关供应商。</w:t>
      </w:r>
    </w:p>
    <w:p w14:paraId="311FB8B0">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（2）根据《关于防治政府采购招标中串通投标行为的通知》（桂财采[2016]42号）规定，有下列情形之一的视为供应商相互串通投标，投标文件将被视为无效。</w:t>
      </w:r>
    </w:p>
    <w:p w14:paraId="316580F8">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①不同供应商的投标文件由同一单位或者个人编制；或不同供应商报名的IP地址一致的；</w:t>
      </w:r>
    </w:p>
    <w:p w14:paraId="0DDBBC22">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②不同供应商委托同一单位或者个人办理投标事宜；</w:t>
      </w:r>
    </w:p>
    <w:p w14:paraId="296E3A2B">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③不同的供应商的投标文件载明的项目管理员为同一个人；</w:t>
      </w:r>
    </w:p>
    <w:p w14:paraId="6B8AA3BD">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④不同供应商的投标文件异常一致或投标报价呈规律性差异；</w:t>
      </w:r>
    </w:p>
    <w:p w14:paraId="77C216D3">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⑤不同供应商的投标文件相互混装；</w:t>
      </w:r>
    </w:p>
    <w:p w14:paraId="49A59B4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⑥不同供应商的保证金从同一单位或者个人账户转出。</w:t>
      </w:r>
    </w:p>
    <w:p w14:paraId="50710AB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（3）根据《关于防治政府采购招标中串通投标行为的通知》（桂财采[2016]42号）规定，供应商有下列情形之一的，属于恶意串通行为，投标文件将被视为无效。</w:t>
      </w:r>
    </w:p>
    <w:p w14:paraId="60D8DC5F">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①供应商直接或者间接从采购人或者采购代理机构处获得其他供应商的相关信息并修改其投标文件或者响应文件；</w:t>
      </w:r>
    </w:p>
    <w:p w14:paraId="578D88BF">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②供应商按照采购人或者采购代理机构的授意撤换、修改投标文件或者响应文件;；</w:t>
      </w:r>
    </w:p>
    <w:p w14:paraId="45C77520">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③供应商之间协商报价、技术方案等投标文件或者响应文件的实质性内容；</w:t>
      </w:r>
    </w:p>
    <w:p w14:paraId="668AC6B1">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④属于同一集团、协会、商会等组织成员的供应商按照该组织要求协同参加政府采购活动；</w:t>
      </w:r>
    </w:p>
    <w:p w14:paraId="65C41ECC">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⑤供应商之间事先约定一致抬高或者压低投标报价，或者在招标项目中事先约定轮流以高价位或者低价位中标，或者事先约定由某一特定供应商中标，然后再参加投标；</w:t>
      </w:r>
    </w:p>
    <w:p w14:paraId="36C5F370">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⑥供应商之间商定部分供应商放弃参加政府采购活动或者放弃中标；</w:t>
      </w:r>
    </w:p>
    <w:p w14:paraId="465A4D98">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⑦供应商与采购人或者采购代理机构之间、供应商相互之间，为谋求特定供应商中标或者排斥其他供应商的其他串通行为。</w:t>
      </w:r>
    </w:p>
    <w:p w14:paraId="6103311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6.3.</w:t>
      </w:r>
      <w:r>
        <w:rPr>
          <w:rFonts w:hint="eastAsia" w:ascii="Arial" w:hAnsi="Arial" w:cs="Arial"/>
          <w:color w:val="000000" w:themeColor="text1"/>
          <w:szCs w:val="21"/>
          <w:lang w:val="en-US" w:eastAsia="zh-CN"/>
          <w14:textFill>
            <w14:solidFill>
              <w14:schemeClr w14:val="tx1"/>
            </w14:solidFill>
          </w14:textFill>
        </w:rPr>
        <w:t>8</w:t>
      </w:r>
      <w:r>
        <w:rPr>
          <w:rFonts w:ascii="Arial" w:hAnsi="Arial" w:cs="Arial"/>
          <w:color w:val="000000" w:themeColor="text1"/>
          <w:szCs w:val="21"/>
          <w14:textFill>
            <w14:solidFill>
              <w14:schemeClr w14:val="tx1"/>
            </w14:solidFill>
          </w14:textFill>
        </w:rPr>
        <w:t>投标无效认定</w:t>
      </w:r>
    </w:p>
    <w:p w14:paraId="1E89D89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（1）在评审过程中如发现下列情形之一的，投标文件将被视为无效：</w:t>
      </w:r>
    </w:p>
    <w:p w14:paraId="7D3B9C20">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①投标文件存在法律、法规及监督部门有关文件规定的无效情形。</w:t>
      </w:r>
    </w:p>
    <w:p w14:paraId="2414358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②投标文件存在招标文件规定的无效情形。</w:t>
      </w:r>
    </w:p>
    <w:p w14:paraId="78F025B3">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根据财库《关于促进政府采购公平竞争优化营商环境的通知》（〔2019〕38号）以及《广西壮族自治区财政厅转发财政部关于促进政府采购公平竞争优化营商环境的通知》（桂财采〔2019〕41号）规定，评审委员会不得因装订、纸张、文件排序等非实质性的格式、形式问题认定投标无效或否决投标，从而限制和影响供应商投标（响应）。</w:t>
      </w:r>
    </w:p>
    <w:p w14:paraId="2FD4F61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6.3.8比较与评价</w:t>
      </w:r>
    </w:p>
    <w:p w14:paraId="5B255DD5">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（1）评审委员会按招标文件中规定的评审方法和标准，对符合性审查合格的投标文件进行综合比较与评价。</w:t>
      </w:r>
    </w:p>
    <w:p w14:paraId="3F5646AF">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（2）评审委员会各成员独立对每个有效供应商的投标文件进行评价。评价有误的应及时进行修正。评分标准如有客观分定义，评审委员会所有成员的客观分评分分值应当一致。</w:t>
      </w:r>
    </w:p>
    <w:p w14:paraId="06451D79">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（3）评审委员会按综合评分由高到低的排列顺序推荐中标候选人，中标候选人最多不超过3名。若中标候选人综合评分相同的，按投标报价由低到高顺序排列；综合评分且投标报价相同的</w:t>
      </w:r>
      <w:r>
        <w:rPr>
          <w:rFonts w:ascii="Arial" w:hAnsi="Arial" w:cs="Arial"/>
          <w:color w:val="000000" w:themeColor="text1"/>
          <w14:textFill>
            <w14:solidFill>
              <w14:schemeClr w14:val="tx1"/>
            </w14:solidFill>
          </w14:textFill>
        </w:rPr>
        <w:t>并列</w:t>
      </w:r>
      <w:r>
        <w:rPr>
          <w:rFonts w:ascii="Arial" w:hAnsi="Arial" w:cs="Arial"/>
          <w:color w:val="000000" w:themeColor="text1"/>
          <w:szCs w:val="21"/>
          <w14:textFill>
            <w14:solidFill>
              <w14:schemeClr w14:val="tx1"/>
            </w14:solidFill>
          </w14:textFill>
        </w:rPr>
        <w:t>；中标候选人并列的，按技术部分得分由高到低顺序排列，若综合评分、投标报价、技术部分均相同的，按商务部分得分由高到低顺序排列。</w:t>
      </w:r>
    </w:p>
    <w:p w14:paraId="197A2556">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（4）评审委员会根据评审记录及评审结果编写评审报告，评审委员会成员均应当在评审报告上签字，对自己的评审意见承担法律责任。</w:t>
      </w:r>
      <w:r>
        <w:rPr>
          <w:rFonts w:ascii="Arial" w:hAnsi="Arial" w:cs="Arial"/>
          <w:color w:val="000000" w:themeColor="text1"/>
          <w14:textFill>
            <w14:solidFill>
              <w14:schemeClr w14:val="tx1"/>
            </w14:solidFill>
          </w14:textFill>
        </w:rPr>
        <w:t>评审报告签署前，经复核发现存在以下情形之一的，评审委员会应当当场修改评审结果，并在评审报告中记载；评审报告签署后，采购人或者采购代理机构发现存在以下情形之一的，应当组织原评审委员会进行重新评审。</w:t>
      </w:r>
    </w:p>
    <w:p w14:paraId="41881FF4">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分值汇总计算错误的；分项评分超出评分标准范围的；评审委员会成员对客观评审因素评分不一致的；经评审委员会认定评分畸高、畸低的。</w:t>
      </w:r>
    </w:p>
    <w:p w14:paraId="34448E6C">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6.4确定中标人</w:t>
      </w:r>
    </w:p>
    <w:p w14:paraId="6369482E">
      <w:pPr>
        <w:spacing w:before="120" w:line="276"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6.4.1采购代理机构在评审结束后2个工作日内将评审报告送采购人，采购人在5个工作日内按照评审报告中推荐的中标候选人顺序确定中标人。中标候选人并列的，由采购人或者采购人委托评标委员会按照招标文件规定的方式确定中标人；招标文件未规定的，采取随机抽取的方式确定。</w:t>
      </w:r>
    </w:p>
    <w:p w14:paraId="659054F2">
      <w:pPr>
        <w:spacing w:before="120" w:line="276"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6.4.2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39042DC0">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6.5结果公告</w:t>
      </w:r>
    </w:p>
    <w:p w14:paraId="1D318615">
      <w:pPr>
        <w:spacing w:before="120" w:line="320" w:lineRule="atLeast"/>
        <w:ind w:firstLine="420" w:firstLineChars="200"/>
        <w:rPr>
          <w:rFonts w:hint="eastAsia" w:ascii="Arial" w:hAnsi="Arial" w:eastAsia="宋体" w:cs="Arial"/>
          <w:color w:val="000000" w:themeColor="text1"/>
          <w:szCs w:val="21"/>
          <w:lang w:eastAsia="zh-CN"/>
          <w14:textFill>
            <w14:solidFill>
              <w14:schemeClr w14:val="tx1"/>
            </w14:solidFill>
          </w14:textFill>
        </w:rPr>
      </w:pPr>
      <w:r>
        <w:rPr>
          <w:rFonts w:ascii="Arial" w:hAnsi="Arial" w:cs="Arial"/>
          <w:color w:val="000000" w:themeColor="text1"/>
          <w:szCs w:val="21"/>
          <w14:textFill>
            <w14:solidFill>
              <w14:schemeClr w14:val="tx1"/>
            </w14:solidFill>
          </w14:textFill>
        </w:rPr>
        <w:t>6.5.1自中标人确定后2个工作日内，采购代理机构按照供应商须知</w:t>
      </w:r>
      <w:r>
        <w:rPr>
          <w:rFonts w:ascii="Arial" w:hAnsi="Arial" w:cs="Arial"/>
          <w:color w:val="000000" w:themeColor="text1"/>
          <w:kern w:val="0"/>
          <w:szCs w:val="21"/>
          <w14:textFill>
            <w14:solidFill>
              <w14:schemeClr w14:val="tx1"/>
            </w14:solidFill>
          </w14:textFill>
        </w:rPr>
        <w:t>前附表的规定公告</w:t>
      </w:r>
      <w:r>
        <w:rPr>
          <w:rFonts w:ascii="Arial" w:hAnsi="Arial" w:cs="Arial"/>
          <w:color w:val="000000" w:themeColor="text1"/>
          <w:szCs w:val="21"/>
          <w14:textFill>
            <w14:solidFill>
              <w14:schemeClr w14:val="tx1"/>
            </w14:solidFill>
          </w14:textFill>
        </w:rPr>
        <w:t>中标结果</w:t>
      </w:r>
      <w:r>
        <w:rPr>
          <w:rFonts w:hint="eastAsia" w:ascii="Arial" w:hAnsi="Arial" w:cs="Arial"/>
          <w:color w:val="000000" w:themeColor="text1"/>
          <w:szCs w:val="21"/>
          <w:lang w:eastAsia="zh-CN"/>
          <w14:textFill>
            <w14:solidFill>
              <w14:schemeClr w14:val="tx1"/>
            </w14:solidFill>
          </w14:textFill>
        </w:rPr>
        <w:t>，</w:t>
      </w:r>
      <w:r>
        <w:rPr>
          <w:rFonts w:hint="eastAsia"/>
          <w:szCs w:val="21"/>
        </w:rPr>
        <w:t>中标结果公告期限为1个工作日</w:t>
      </w:r>
      <w:r>
        <w:rPr>
          <w:rFonts w:hint="eastAsia"/>
          <w:szCs w:val="21"/>
          <w:lang w:eastAsia="zh-CN"/>
        </w:rPr>
        <w:t>，</w:t>
      </w:r>
      <w:r>
        <w:rPr>
          <w:rFonts w:hint="eastAsia"/>
          <w:szCs w:val="21"/>
        </w:rPr>
        <w:t>发布中标结果公告的同时向中标</w:t>
      </w:r>
      <w:r>
        <w:rPr>
          <w:rFonts w:hint="eastAsia"/>
          <w:szCs w:val="21"/>
          <w:lang w:val="en-US" w:eastAsia="zh-CN"/>
        </w:rPr>
        <w:t>人</w:t>
      </w:r>
      <w:r>
        <w:rPr>
          <w:rFonts w:hint="eastAsia"/>
          <w:szCs w:val="21"/>
        </w:rPr>
        <w:t>发出中标通知书。采购代理机构发出中标通知书前，应当对中标人信用进行核实，对列入失信被执行人、重大税收违法案件当事人名 单、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w:t>
      </w:r>
      <w:r>
        <w:rPr>
          <w:rFonts w:hint="eastAsia"/>
          <w:szCs w:val="21"/>
          <w:lang w:val="en-US" w:eastAsia="zh-CN"/>
        </w:rPr>
        <w:t>采购人</w:t>
      </w:r>
      <w:r>
        <w:rPr>
          <w:rFonts w:hint="eastAsia"/>
          <w:szCs w:val="21"/>
        </w:rPr>
        <w:t>可以确定排名第三的中标候选人为中标人，以此类推。以上信息查询记录及相关证据与采购文件一并保存。</w:t>
      </w:r>
    </w:p>
    <w:p w14:paraId="6AE0171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6.5.2在发布结果公告的同时，采购代理机构以供应商须知前附表规定的形式向中标人发出中标通知书。中标通知书发出后，采购人改变中标结果，或者中标人放弃中标，应当承担相应的法律责任。</w:t>
      </w:r>
    </w:p>
    <w:p w14:paraId="78CB38CF">
      <w:pPr>
        <w:spacing w:before="120" w:line="320" w:lineRule="atLeast"/>
        <w:ind w:firstLine="420" w:firstLineChars="200"/>
        <w:rPr>
          <w:rFonts w:ascii="Arial" w:hAnsi="Arial" w:cs="Arial"/>
          <w:b/>
          <w:bCs/>
          <w:color w:val="000000" w:themeColor="text1"/>
          <w:kern w:val="0"/>
          <w:szCs w:val="21"/>
          <w14:textFill>
            <w14:solidFill>
              <w14:schemeClr w14:val="tx1"/>
            </w14:solidFill>
          </w14:textFill>
        </w:rPr>
      </w:pPr>
      <w:r>
        <w:rPr>
          <w:rFonts w:ascii="Arial" w:hAnsi="Arial" w:cs="Arial"/>
          <w:color w:val="000000" w:themeColor="text1"/>
          <w:szCs w:val="21"/>
          <w14:textFill>
            <w14:solidFill>
              <w14:schemeClr w14:val="tx1"/>
            </w14:solidFill>
          </w14:textFill>
        </w:rPr>
        <w:t>6.5.3在发布结果公告的同时，采购代理机构以供应商须知前附表规定的形式向未中标人发出招标结果通知书，供应商自行承担未及时查收的后果。</w:t>
      </w:r>
    </w:p>
    <w:p w14:paraId="02705128">
      <w:pPr>
        <w:suppressAutoHyphens/>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6.6废标</w:t>
      </w:r>
    </w:p>
    <w:p w14:paraId="32F5BB52">
      <w:pPr>
        <w:spacing w:before="120" w:line="320" w:lineRule="atLeast"/>
        <w:ind w:firstLine="420" w:firstLineChars="200"/>
        <w:rPr>
          <w:rFonts w:ascii="Arial" w:hAnsi="Arial" w:cs="Arial"/>
          <w:color w:val="000000" w:themeColor="text1"/>
          <w:kern w:val="1"/>
          <w:szCs w:val="21"/>
          <w14:textFill>
            <w14:solidFill>
              <w14:schemeClr w14:val="tx1"/>
            </w14:solidFill>
          </w14:textFill>
        </w:rPr>
      </w:pPr>
      <w:r>
        <w:rPr>
          <w:rFonts w:ascii="Arial" w:hAnsi="Arial" w:cs="Arial"/>
          <w:color w:val="000000" w:themeColor="text1"/>
          <w:kern w:val="1"/>
          <w:szCs w:val="21"/>
          <w14:textFill>
            <w14:solidFill>
              <w14:schemeClr w14:val="tx1"/>
            </w14:solidFill>
          </w14:textFill>
        </w:rPr>
        <w:t xml:space="preserve">6.6.1出现下列情形之一，将导致项目废标： </w:t>
      </w:r>
    </w:p>
    <w:p w14:paraId="4D215B28">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kern w:val="1"/>
          <w:szCs w:val="21"/>
          <w14:textFill>
            <w14:solidFill>
              <w14:schemeClr w14:val="tx1"/>
            </w14:solidFill>
          </w14:textFill>
        </w:rPr>
        <w:t>（1</w:t>
      </w:r>
      <w:r>
        <w:rPr>
          <w:rFonts w:ascii="Arial" w:hAnsi="Arial" w:cs="Arial"/>
          <w:color w:val="000000" w:themeColor="text1"/>
          <w:szCs w:val="21"/>
          <w14:textFill>
            <w14:solidFill>
              <w14:schemeClr w14:val="tx1"/>
            </w14:solidFill>
          </w14:textFill>
        </w:rPr>
        <w:t>）符合专业条件的供应商或者对招标文件做实质性响应的供应商不足三家；</w:t>
      </w:r>
    </w:p>
    <w:p w14:paraId="04C5FEA2">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（2）出现影响采购公正的违法、违规行为的；</w:t>
      </w:r>
    </w:p>
    <w:p w14:paraId="6397FDC8">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（3）供应商的报价均超过了采购预算，采购人不能支付的；</w:t>
      </w:r>
    </w:p>
    <w:p w14:paraId="3BCF289D">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（4）</w:t>
      </w:r>
      <w:r>
        <w:rPr>
          <w:rFonts w:ascii="Arial" w:hAnsi="Arial" w:cs="Arial"/>
          <w:color w:val="000000" w:themeColor="text1"/>
          <w14:textFill>
            <w14:solidFill>
              <w14:schemeClr w14:val="tx1"/>
            </w14:solidFill>
          </w14:textFill>
        </w:rPr>
        <w:t>因发生重大变故或采购任务取消的。</w:t>
      </w:r>
    </w:p>
    <w:p w14:paraId="0D6C47B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kern w:val="1"/>
          <w:szCs w:val="21"/>
          <w14:textFill>
            <w14:solidFill>
              <w14:schemeClr w14:val="tx1"/>
            </w14:solidFill>
          </w14:textFill>
        </w:rPr>
        <w:t>6.6.2废标后</w:t>
      </w:r>
      <w:r>
        <w:rPr>
          <w:rFonts w:ascii="Arial" w:hAnsi="Arial" w:cs="Arial"/>
          <w:color w:val="000000" w:themeColor="text1"/>
          <w:szCs w:val="21"/>
          <w14:textFill>
            <w14:solidFill>
              <w14:schemeClr w14:val="tx1"/>
            </w14:solidFill>
          </w14:textFill>
        </w:rPr>
        <w:t>采购</w:t>
      </w:r>
      <w:r>
        <w:rPr>
          <w:rFonts w:ascii="Arial" w:hAnsi="Arial" w:cs="Arial"/>
          <w:color w:val="000000" w:themeColor="text1"/>
          <w:kern w:val="1"/>
          <w:szCs w:val="21"/>
          <w14:textFill>
            <w14:solidFill>
              <w14:schemeClr w14:val="tx1"/>
            </w14:solidFill>
          </w14:textFill>
        </w:rPr>
        <w:t>代理机构将发布废标公告通知供应商。</w:t>
      </w:r>
      <w:bookmarkEnd w:id="58"/>
    </w:p>
    <w:bookmarkEnd w:id="55"/>
    <w:p w14:paraId="1CCBE0DA">
      <w:pPr>
        <w:spacing w:before="120" w:line="320" w:lineRule="atLeast"/>
        <w:ind w:left="2" w:leftChars="1" w:firstLine="422" w:firstLineChars="200"/>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7．合同</w:t>
      </w:r>
    </w:p>
    <w:p w14:paraId="2DF8DFCA">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7.1合同授予标准</w:t>
      </w:r>
    </w:p>
    <w:p w14:paraId="0EE1FF2D">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合同将授予被确定实质上响应招标文件要求，具备履行合同能力，综合评分排名第一的供应商。在中标通知书发出前或签订合同前，如果中标人的组织机构、经营、财务状况发生较大变化，可能造成不能履行合同、无法按照招标文件要求提交履约保证金等情形，不符合中标条件或不满足供应商资格条件要求 ，应在中标通知书发出前或签订合同前及时书面告知采购人，未主动告知，给采购人造成损失的，采购人有权取消其中标资格并没收投标保证金。</w:t>
      </w:r>
    </w:p>
    <w:p w14:paraId="10660105">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7.2签订合同</w:t>
      </w:r>
    </w:p>
    <w:p w14:paraId="7F3FBFCC">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62" w:name="_Hlk93421039"/>
      <w:r>
        <w:rPr>
          <w:rFonts w:ascii="Arial" w:hAnsi="Arial" w:cs="Arial"/>
          <w:color w:val="000000" w:themeColor="text1"/>
          <w:szCs w:val="21"/>
          <w14:textFill>
            <w14:solidFill>
              <w14:schemeClr w14:val="tx1"/>
            </w14:solidFill>
          </w14:textFill>
        </w:rPr>
        <w:t>7.2.1如招标文件无特别规定，中标人按招标文件确定的事项签订政府采购合同。</w:t>
      </w:r>
    </w:p>
    <w:p w14:paraId="52E36DA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7.2.2政府采购合同应当包括采购人与中标人的名称和住所、标的、数量、质量、价款或者报酬、履行期限及地点和方式、验收要求、违约责任、解决争议的方法等内容。招标文件、中标人的投标文件及澄清文件等，均为签订政府采购合同的依据。</w:t>
      </w:r>
    </w:p>
    <w:p w14:paraId="47615EE8">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7.2.3如中标人不按中标通知书的规定签订合同，其投标保证金将不予退还，并报由同级政府采购监督管理部门处理。</w:t>
      </w:r>
    </w:p>
    <w:p w14:paraId="2B47EC29">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7.2.4中标人拒绝与采购人签订合同的，采购人可以按照评审报告推荐的中标候选人名单排序，确定下一候选人为中标人，也可以重新开展政府采购活动。</w:t>
      </w:r>
    </w:p>
    <w:p w14:paraId="5CC50618">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63" w:name="_Hlk155170999"/>
      <w:r>
        <w:rPr>
          <w:rFonts w:ascii="Arial" w:hAnsi="Arial" w:cs="Arial"/>
          <w:color w:val="000000" w:themeColor="text1"/>
          <w:szCs w:val="21"/>
          <w14:textFill>
            <w14:solidFill>
              <w14:schemeClr w14:val="tx1"/>
            </w14:solidFill>
          </w14:textFill>
        </w:rPr>
        <w:t>7.2.5采购人因不可抗力原因迟延签订合同的，应当自不可抗力事由消除之日起7日内完成合同签订事宜。</w:t>
      </w:r>
    </w:p>
    <w:bookmarkEnd w:id="62"/>
    <w:bookmarkEnd w:id="63"/>
    <w:p w14:paraId="4AB9B3B0">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7.3合同公告</w:t>
      </w:r>
    </w:p>
    <w:p w14:paraId="43CAF8B7">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64" w:name="_Hlk93421052"/>
      <w:r>
        <w:rPr>
          <w:rFonts w:ascii="Arial" w:hAnsi="Arial" w:cs="Arial"/>
          <w:color w:val="000000" w:themeColor="text1"/>
          <w:szCs w:val="21"/>
          <w14:textFill>
            <w14:solidFill>
              <w14:schemeClr w14:val="tx1"/>
            </w14:solidFill>
          </w14:textFill>
        </w:rPr>
        <w:t>7.3.1如招标文件无特殊规定，中标人应在签订合同后1个工作日内，将政府采购合同副本送采购代理机构存档。</w:t>
      </w:r>
    </w:p>
    <w:p w14:paraId="5F6447C8">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7.3.2采购人应当自政府采购合同签订之日起2个工作日内，将政府采购合同在省级以上人民政府财政部门指定的媒体上公告，但政府采购合同中涉及国家秘密、商业秘密的内容除外。</w:t>
      </w:r>
    </w:p>
    <w:p w14:paraId="533FFECC">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65" w:name="_Hlk155171014"/>
      <w:r>
        <w:rPr>
          <w:rFonts w:ascii="Arial" w:hAnsi="Arial" w:cs="Arial"/>
          <w:color w:val="000000" w:themeColor="text1"/>
          <w:szCs w:val="21"/>
          <w14:textFill>
            <w14:solidFill>
              <w14:schemeClr w14:val="tx1"/>
            </w14:solidFill>
          </w14:textFill>
        </w:rPr>
        <w:t>7.3.3 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p>
    <w:bookmarkEnd w:id="64"/>
    <w:bookmarkEnd w:id="65"/>
    <w:p w14:paraId="654C99E1">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7.4 履行合同</w:t>
      </w:r>
    </w:p>
    <w:p w14:paraId="1058A651">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66" w:name="_Hlk93421061"/>
      <w:r>
        <w:rPr>
          <w:rFonts w:ascii="Arial" w:hAnsi="Arial" w:cs="Arial"/>
          <w:color w:val="000000" w:themeColor="text1"/>
          <w:szCs w:val="21"/>
          <w14:textFill>
            <w14:solidFill>
              <w14:schemeClr w14:val="tx1"/>
            </w14:solidFill>
          </w14:textFill>
        </w:rPr>
        <w:t>7.4.1</w:t>
      </w:r>
      <w:bookmarkStart w:id="67" w:name="_Toc308164814"/>
      <w:bookmarkStart w:id="68" w:name="_Toc217446070"/>
      <w:r>
        <w:rPr>
          <w:rFonts w:ascii="Arial" w:hAnsi="Arial" w:cs="Arial"/>
          <w:color w:val="000000" w:themeColor="text1"/>
          <w:szCs w:val="21"/>
          <w14:textFill>
            <w14:solidFill>
              <w14:schemeClr w14:val="tx1"/>
            </w14:solidFill>
          </w14:textFill>
        </w:rPr>
        <w:t>采购人与中标人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bookmarkEnd w:id="66"/>
    <w:p w14:paraId="45DA9878">
      <w:pPr>
        <w:spacing w:before="120" w:line="320" w:lineRule="atLeast"/>
        <w:ind w:firstLine="422" w:firstLineChars="200"/>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7.5履约验收</w:t>
      </w:r>
      <w:bookmarkEnd w:id="67"/>
      <w:bookmarkEnd w:id="68"/>
    </w:p>
    <w:p w14:paraId="0BF1D3F1">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69" w:name="_Hlk93421069"/>
      <w:r>
        <w:rPr>
          <w:rFonts w:ascii="Arial" w:hAnsi="Arial" w:cs="Arial"/>
          <w:color w:val="000000" w:themeColor="text1"/>
          <w:szCs w:val="21"/>
          <w14:textFill>
            <w14:solidFill>
              <w14:schemeClr w14:val="tx1"/>
            </w14:solidFill>
          </w14:textFill>
        </w:rPr>
        <w:t>7.5.1采购人可以根据政府采购项目具体情况自行组织验收，或者委托政府采购代理机构、国家认可的质量检测机构开展采购项目履约验收工作。</w:t>
      </w:r>
    </w:p>
    <w:p w14:paraId="7465426D">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7.5.2验收结果合格的，中标人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25CD560F">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7.5.3采购合同项目完成验收后，采购人应当将验收原始记录、验收书等资料作为该采购项目档案妥善保管，不得伪造、变造、隐匿或者销毁，验收资料保存期为采购结束之日起至少保存15年。</w:t>
      </w:r>
    </w:p>
    <w:p w14:paraId="2E0102FC">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7.5.4本项目将严格按照本招标文件及合同有关规定进行合同履约验收。招标文件或合同未规定的按财政部关于进一步加强政府采购需求和履约验收管理的指导意见（财库〔2016〕205号）以及《广西壮族自治区政府采购项目履约验收管理办法》（桂财采〔2015〕22号）的规定执行。</w:t>
      </w:r>
    </w:p>
    <w:bookmarkEnd w:id="69"/>
    <w:p w14:paraId="4A015EFD">
      <w:pPr>
        <w:spacing w:before="120" w:line="320" w:lineRule="atLeast"/>
        <w:ind w:left="2" w:leftChars="1" w:firstLine="422" w:firstLineChars="200"/>
        <w:outlineLvl w:val="1"/>
        <w:rPr>
          <w:rFonts w:ascii="Arial" w:hAnsi="Arial" w:cs="Arial"/>
          <w:b/>
          <w:bCs/>
          <w:color w:val="000000" w:themeColor="text1"/>
          <w:kern w:val="0"/>
          <w:szCs w:val="21"/>
          <w14:textFill>
            <w14:solidFill>
              <w14:schemeClr w14:val="tx1"/>
            </w14:solidFill>
          </w14:textFill>
        </w:rPr>
      </w:pPr>
      <w:bookmarkStart w:id="70" w:name="_Toc254970674"/>
      <w:bookmarkStart w:id="71" w:name="_Toc254970533"/>
      <w:r>
        <w:rPr>
          <w:rFonts w:ascii="Arial" w:hAnsi="Arial" w:cs="Arial"/>
          <w:b/>
          <w:bCs/>
          <w:color w:val="000000" w:themeColor="text1"/>
          <w:kern w:val="0"/>
          <w:szCs w:val="21"/>
          <w14:textFill>
            <w14:solidFill>
              <w14:schemeClr w14:val="tx1"/>
            </w14:solidFill>
          </w14:textFill>
        </w:rPr>
        <w:t>8．质疑和投诉</w:t>
      </w:r>
      <w:bookmarkEnd w:id="70"/>
      <w:bookmarkEnd w:id="71"/>
    </w:p>
    <w:p w14:paraId="1DAFA86F">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8.1质疑</w:t>
      </w:r>
    </w:p>
    <w:p w14:paraId="092288D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8.1.1质疑内容、时限</w:t>
      </w:r>
    </w:p>
    <w:p w14:paraId="16CEE74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（1）供应商对政府采购活动有疑问的，可以向采购人或采购代理机构提出询问。采购人或者采购代理机构应当在3个工作日内对供应商依法提出的询问作出答复。</w:t>
      </w:r>
    </w:p>
    <w:p w14:paraId="3F657967">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供应商为认为招标文件、采购过程、中标或者成交结果使自己的权益受到损害的，可以在知道或者应知其权益受到损害之日起7个工作日内向采购人或采购代理机构提出质疑。采购人或采购代理机构在收到供应商书面质疑后7个工作日内，对质疑内容作出答复。</w:t>
      </w:r>
    </w:p>
    <w:p w14:paraId="4D149722">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8.1.2质疑形式</w:t>
      </w:r>
    </w:p>
    <w:p w14:paraId="6F0F5B5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质疑应当采用供应商须知前附表所规定的形式，质疑书应明确阐述招标文件、采购过程或中标结果中使自己合法权益受到损害的实质性内容，提供相关事实、依据和证据及其来源或线索，便于有关单位调查、答复和处理。</w:t>
      </w:r>
    </w:p>
    <w:p w14:paraId="1CA853DC">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8.1.3</w:t>
      </w:r>
      <w:r>
        <w:rPr>
          <w:rFonts w:ascii="Arial" w:hAnsi="Arial" w:cs="Arial"/>
          <w:color w:val="000000" w:themeColor="text1"/>
          <w14:textFill>
            <w14:solidFill>
              <w14:schemeClr w14:val="tx1"/>
            </w14:solidFill>
          </w14:textFill>
        </w:rPr>
        <w:t xml:space="preserve"> </w:t>
      </w:r>
      <w:r>
        <w:rPr>
          <w:rFonts w:ascii="Arial" w:hAnsi="Arial" w:cs="Arial"/>
          <w:color w:val="000000" w:themeColor="text1"/>
          <w:szCs w:val="21"/>
          <w14:textFill>
            <w14:solidFill>
              <w14:schemeClr w14:val="tx1"/>
            </w14:solidFill>
          </w14:textFill>
        </w:rPr>
        <w:t>供应商提出质疑应当提交质疑函和必要的证明材料。质疑函应当包括下列内容：</w:t>
      </w:r>
    </w:p>
    <w:p w14:paraId="6E1FAE50">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w:t>
      </w:r>
      <w:r>
        <w:rPr>
          <w:rFonts w:ascii="Arial" w:hAnsi="Arial" w:cs="Arial"/>
          <w:color w:val="000000" w:themeColor="text1"/>
          <w:szCs w:val="21"/>
          <w14:textFill>
            <w14:solidFill>
              <w14:schemeClr w14:val="tx1"/>
            </w14:solidFill>
          </w14:textFill>
        </w:rPr>
        <w:tab/>
      </w:r>
      <w:r>
        <w:rPr>
          <w:rFonts w:ascii="Arial" w:hAnsi="Arial" w:cs="Arial"/>
          <w:color w:val="000000" w:themeColor="text1"/>
          <w:szCs w:val="21"/>
          <w14:textFill>
            <w14:solidFill>
              <w14:schemeClr w14:val="tx1"/>
            </w14:solidFill>
          </w14:textFill>
        </w:rPr>
        <w:t>供应商的姓名或者名称、地址、邮编、联系人及联系电话；</w:t>
      </w:r>
    </w:p>
    <w:p w14:paraId="66E5E93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w:t>
      </w:r>
      <w:r>
        <w:rPr>
          <w:rFonts w:ascii="Arial" w:hAnsi="Arial" w:cs="Arial"/>
          <w:color w:val="000000" w:themeColor="text1"/>
          <w:szCs w:val="21"/>
          <w14:textFill>
            <w14:solidFill>
              <w14:schemeClr w14:val="tx1"/>
            </w14:solidFill>
          </w14:textFill>
        </w:rPr>
        <w:tab/>
      </w:r>
      <w:r>
        <w:rPr>
          <w:rFonts w:ascii="Arial" w:hAnsi="Arial" w:cs="Arial"/>
          <w:color w:val="000000" w:themeColor="text1"/>
          <w:szCs w:val="21"/>
          <w14:textFill>
            <w14:solidFill>
              <w14:schemeClr w14:val="tx1"/>
            </w14:solidFill>
          </w14:textFill>
        </w:rPr>
        <w:t>质疑项目的名称、编号；</w:t>
      </w:r>
    </w:p>
    <w:p w14:paraId="599FC21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w:t>
      </w:r>
      <w:r>
        <w:rPr>
          <w:rFonts w:ascii="Arial" w:hAnsi="Arial" w:cs="Arial"/>
          <w:color w:val="000000" w:themeColor="text1"/>
          <w:szCs w:val="21"/>
          <w14:textFill>
            <w14:solidFill>
              <w14:schemeClr w14:val="tx1"/>
            </w14:solidFill>
          </w14:textFill>
        </w:rPr>
        <w:tab/>
      </w:r>
      <w:r>
        <w:rPr>
          <w:rFonts w:ascii="Arial" w:hAnsi="Arial" w:cs="Arial"/>
          <w:color w:val="000000" w:themeColor="text1"/>
          <w:szCs w:val="21"/>
          <w14:textFill>
            <w14:solidFill>
              <w14:schemeClr w14:val="tx1"/>
            </w14:solidFill>
          </w14:textFill>
        </w:rPr>
        <w:t>具体、明确的质疑事项和与质疑事项相关的请求；</w:t>
      </w:r>
    </w:p>
    <w:p w14:paraId="741AA2F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w:t>
      </w:r>
      <w:r>
        <w:rPr>
          <w:rFonts w:ascii="Arial" w:hAnsi="Arial" w:cs="Arial"/>
          <w:color w:val="000000" w:themeColor="text1"/>
          <w:szCs w:val="21"/>
          <w14:textFill>
            <w14:solidFill>
              <w14:schemeClr w14:val="tx1"/>
            </w14:solidFill>
          </w14:textFill>
        </w:rPr>
        <w:tab/>
      </w:r>
      <w:r>
        <w:rPr>
          <w:rFonts w:ascii="Arial" w:hAnsi="Arial" w:cs="Arial"/>
          <w:color w:val="000000" w:themeColor="text1"/>
          <w:szCs w:val="21"/>
          <w14:textFill>
            <w14:solidFill>
              <w14:schemeClr w14:val="tx1"/>
            </w14:solidFill>
          </w14:textFill>
        </w:rPr>
        <w:t>事实依据；</w:t>
      </w:r>
    </w:p>
    <w:p w14:paraId="448FEC25">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w:t>
      </w:r>
      <w:r>
        <w:rPr>
          <w:rFonts w:ascii="Arial" w:hAnsi="Arial" w:cs="Arial"/>
          <w:color w:val="000000" w:themeColor="text1"/>
          <w:szCs w:val="21"/>
          <w14:textFill>
            <w14:solidFill>
              <w14:schemeClr w14:val="tx1"/>
            </w14:solidFill>
          </w14:textFill>
        </w:rPr>
        <w:tab/>
      </w:r>
      <w:r>
        <w:rPr>
          <w:rFonts w:ascii="Arial" w:hAnsi="Arial" w:cs="Arial"/>
          <w:color w:val="000000" w:themeColor="text1"/>
          <w:szCs w:val="21"/>
          <w14:textFill>
            <w14:solidFill>
              <w14:schemeClr w14:val="tx1"/>
            </w14:solidFill>
          </w14:textFill>
        </w:rPr>
        <w:t>必要的法律依据；</w:t>
      </w:r>
    </w:p>
    <w:p w14:paraId="6C2C8D3F">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w:t>
      </w:r>
      <w:r>
        <w:rPr>
          <w:rFonts w:ascii="Arial" w:hAnsi="Arial" w:cs="Arial"/>
          <w:color w:val="000000" w:themeColor="text1"/>
          <w:szCs w:val="21"/>
          <w14:textFill>
            <w14:solidFill>
              <w14:schemeClr w14:val="tx1"/>
            </w14:solidFill>
          </w14:textFill>
        </w:rPr>
        <w:tab/>
      </w:r>
      <w:r>
        <w:rPr>
          <w:rFonts w:ascii="Arial" w:hAnsi="Arial" w:cs="Arial"/>
          <w:color w:val="000000" w:themeColor="text1"/>
          <w:szCs w:val="21"/>
          <w14:textFill>
            <w14:solidFill>
              <w14:schemeClr w14:val="tx1"/>
            </w14:solidFill>
          </w14:textFill>
        </w:rPr>
        <w:t>提出质疑的日期。</w:t>
      </w:r>
    </w:p>
    <w:p w14:paraId="7D6DEC77">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供应商为自然人的，应当由本人签字；供应商为法人或者其他组织的，应当由法定代表人、主要负责人，或者其授权代表签字或者盖章，并加盖公章。 </w:t>
      </w:r>
    </w:p>
    <w:p w14:paraId="286EE1B4">
      <w:pPr>
        <w:spacing w:before="120" w:line="320" w:lineRule="atLeast"/>
        <w:ind w:firstLine="422" w:firstLineChars="200"/>
        <w:outlineLvl w:val="2"/>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8.2投诉</w:t>
      </w:r>
    </w:p>
    <w:p w14:paraId="04300C5B">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8.2.1供应商对采购人、采购代理机构的答复不满意，或者采购人、采购代理机构未在规定时间内答复的，可在答复期满后15个工作日内按有关规定，向同级财政部门投诉。</w:t>
      </w:r>
    </w:p>
    <w:p w14:paraId="36AD5A72">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8.2.2投诉书应使用财政部发布的政府采购供应投诉书范本，并应按照“投诉书制作说明”进行编写。</w:t>
      </w:r>
    </w:p>
    <w:p w14:paraId="3014DCEA">
      <w:pPr>
        <w:spacing w:before="120" w:line="320" w:lineRule="atLeast"/>
        <w:ind w:left="2" w:leftChars="1" w:firstLine="422" w:firstLineChars="200"/>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9．其他事项</w:t>
      </w:r>
    </w:p>
    <w:p w14:paraId="779D1E78">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9.1代理服务收费由采购代理机构向中标人收取。签订合同前，中标人应向采购代理机构一次付清代理服务费。</w:t>
      </w:r>
    </w:p>
    <w:p w14:paraId="6458A587">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9.2电子交易活动的中止。采购过程中出现以下情形，导致电子交易平台无法正常运行，或者无法保证电子交易的公平、公正和安全时，采购机构可中止电子交易活动：</w:t>
      </w:r>
    </w:p>
    <w:p w14:paraId="29F9C4CD">
      <w:pPr>
        <w:spacing w:before="120" w:line="276"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（1）电子交易平台发生故障而无法登录访问的； </w:t>
      </w:r>
    </w:p>
    <w:p w14:paraId="6DCB4A97">
      <w:pPr>
        <w:spacing w:before="120" w:line="276"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（2）电子交易平台应用或数据库出现错误，不能进行正常操作的；</w:t>
      </w:r>
    </w:p>
    <w:p w14:paraId="2C8FEF93">
      <w:pPr>
        <w:spacing w:before="120" w:line="276"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（3）电子交易平台发现严重安全漏洞，有潜在泄密危险的；</w:t>
      </w:r>
    </w:p>
    <w:p w14:paraId="4CD19E05">
      <w:pPr>
        <w:spacing w:before="120" w:line="276"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（4）病毒发作导致不能进行正常操作的； </w:t>
      </w:r>
    </w:p>
    <w:p w14:paraId="569BDCED">
      <w:pPr>
        <w:spacing w:before="120" w:line="276"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（5）其他无法保证电子交易的公平、公正和安全的情况。</w:t>
      </w:r>
    </w:p>
    <w:p w14:paraId="5AE2C766">
      <w:pPr>
        <w:tabs>
          <w:tab w:val="left" w:pos="4820"/>
        </w:tabs>
        <w:spacing w:before="120" w:line="360"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 </w:t>
      </w:r>
    </w:p>
    <w:p w14:paraId="1A5AE606">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9.3本项目的附件及图纸详见供应商须知前附表。</w:t>
      </w:r>
    </w:p>
    <w:p w14:paraId="36F1A13F">
      <w:pPr>
        <w:spacing w:before="120" w:line="320" w:lineRule="atLeast"/>
        <w:ind w:left="2" w:leftChars="1"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9.4本项目的其他事项详见供应商须知前附表。</w:t>
      </w:r>
    </w:p>
    <w:p w14:paraId="4951C377">
      <w:pPr>
        <w:spacing w:before="120" w:line="320" w:lineRule="atLeast"/>
        <w:ind w:left="2" w:leftChars="1" w:firstLine="422" w:firstLineChars="200"/>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10．其他说明</w:t>
      </w:r>
    </w:p>
    <w:p w14:paraId="32083D32">
      <w:pPr>
        <w:spacing w:before="120" w:line="320" w:lineRule="atLeast"/>
        <w:ind w:left="2" w:leftChars="1" w:firstLine="420" w:firstLineChars="200"/>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10.1其余未尽事宜按《中华人民共和国政府采购法》、《中华人民共和国政府采购法实施条例》的相关规定执行。</w:t>
      </w:r>
    </w:p>
    <w:p w14:paraId="7F9EA760">
      <w:pPr>
        <w:spacing w:before="120" w:line="320" w:lineRule="atLeast"/>
        <w:ind w:left="2" w:leftChars="1"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kern w:val="0"/>
          <w:szCs w:val="21"/>
          <w14:textFill>
            <w14:solidFill>
              <w14:schemeClr w14:val="tx1"/>
            </w14:solidFill>
          </w14:textFill>
        </w:rPr>
        <w:t>10.2</w:t>
      </w:r>
      <w:r>
        <w:rPr>
          <w:rFonts w:ascii="Arial" w:hAnsi="Arial" w:cs="Arial"/>
          <w:color w:val="000000" w:themeColor="text1"/>
          <w14:textFill>
            <w14:solidFill>
              <w14:schemeClr w14:val="tx1"/>
            </w14:solidFill>
          </w14:textFill>
        </w:rPr>
        <w:t>本招标文件是根据国家有关法律及有关政策、法规和参照国际惯例编制，解释权属采购代理机构。</w:t>
      </w:r>
    </w:p>
    <w:p w14:paraId="710F5AD7">
      <w:pPr>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br w:type="page"/>
      </w:r>
    </w:p>
    <w:bookmarkEnd w:id="18"/>
    <w:p w14:paraId="14DB71F5">
      <w:pPr>
        <w:rPr>
          <w:rFonts w:ascii="Arial" w:hAnsi="Arial" w:cs="Arial"/>
          <w:color w:val="000000" w:themeColor="text1"/>
          <w:szCs w:val="21"/>
          <w14:textFill>
            <w14:solidFill>
              <w14:schemeClr w14:val="tx1"/>
            </w14:solidFill>
          </w14:textFill>
        </w:rPr>
      </w:pPr>
    </w:p>
    <w:p w14:paraId="10552C15">
      <w:pPr>
        <w:pStyle w:val="30"/>
        <w:snapToGrid w:val="0"/>
        <w:spacing w:before="120" w:after="120" w:line="320" w:lineRule="exact"/>
        <w:jc w:val="center"/>
        <w:outlineLvl w:val="0"/>
        <w:rPr>
          <w:rFonts w:ascii="Arial" w:hAnsi="Arial" w:cs="Arial"/>
          <w:color w:val="000000" w:themeColor="text1"/>
          <w:sz w:val="32"/>
          <w:szCs w:val="32"/>
          <w14:textFill>
            <w14:solidFill>
              <w14:schemeClr w14:val="tx1"/>
            </w14:solidFill>
          </w14:textFill>
        </w:rPr>
      </w:pPr>
      <w:bookmarkStart w:id="72" w:name="_Toc3087"/>
      <w:bookmarkStart w:id="73" w:name="_Toc254970690"/>
      <w:bookmarkStart w:id="74" w:name="_Toc254970549"/>
      <w:r>
        <w:rPr>
          <w:rFonts w:ascii="Arial" w:hAnsi="Arial" w:cs="Arial"/>
          <w:color w:val="000000" w:themeColor="text1"/>
          <w:sz w:val="32"/>
          <w:szCs w:val="32"/>
          <w14:textFill>
            <w14:solidFill>
              <w14:schemeClr w14:val="tx1"/>
            </w14:solidFill>
          </w14:textFill>
        </w:rPr>
        <w:t>第四章  评标方法及评标标准</w:t>
      </w:r>
      <w:bookmarkEnd w:id="72"/>
    </w:p>
    <w:p w14:paraId="0E853AE3">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一、评标方法</w:t>
      </w:r>
    </w:p>
    <w:p w14:paraId="3F00C609">
      <w:pPr>
        <w:spacing w:before="120" w:line="320" w:lineRule="atLeast"/>
        <w:ind w:firstLine="411" w:firstLineChars="196"/>
        <w:outlineLvl w:val="1"/>
        <w:rPr>
          <w:rFonts w:ascii="Arial" w:hAnsi="Arial" w:cs="Arial"/>
          <w:bCs/>
          <w:color w:val="000000" w:themeColor="text1"/>
          <w:kern w:val="0"/>
          <w:szCs w:val="21"/>
          <w14:textFill>
            <w14:solidFill>
              <w14:schemeClr w14:val="tx1"/>
            </w14:solidFill>
          </w14:textFill>
        </w:rPr>
      </w:pPr>
      <w:r>
        <w:rPr>
          <w:rFonts w:ascii="Arial" w:hAnsi="Arial" w:cs="Arial"/>
          <w:bCs/>
          <w:color w:val="000000" w:themeColor="text1"/>
          <w:kern w:val="0"/>
          <w:szCs w:val="21"/>
          <w14:textFill>
            <w14:solidFill>
              <w14:schemeClr w14:val="tx1"/>
            </w14:solidFill>
          </w14:textFill>
        </w:rPr>
        <w:t>1、评标方法</w:t>
      </w:r>
    </w:p>
    <w:p w14:paraId="3787BBE6">
      <w:pPr>
        <w:suppressAutoHyphens/>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本项目采用综合评分法进行评标。综合评分法，是指投标文件满足招标文件全部实质性要求且按照评标因素的量化指标评标得分最高的供应商为中标候选人的评标方法。</w:t>
      </w:r>
    </w:p>
    <w:p w14:paraId="0B41E99E">
      <w:pPr>
        <w:spacing w:before="120" w:line="320" w:lineRule="atLeast"/>
        <w:ind w:firstLine="411" w:firstLineChars="196"/>
        <w:outlineLvl w:val="1"/>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2、评标依据</w:t>
      </w:r>
    </w:p>
    <w:p w14:paraId="43275E6D">
      <w:pPr>
        <w:suppressAutoHyphens/>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评标委员会以招标文件、补充文件、投标文件、澄清及答复为评标依据。</w:t>
      </w:r>
    </w:p>
    <w:p w14:paraId="71145AD4">
      <w:pPr>
        <w:spacing w:before="120" w:line="320" w:lineRule="atLeast"/>
        <w:ind w:firstLine="411" w:firstLineChars="196"/>
        <w:outlineLvl w:val="1"/>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3、评标委员会</w:t>
      </w:r>
      <w:bookmarkStart w:id="75" w:name="_Hlk19051932"/>
    </w:p>
    <w:p w14:paraId="02926189">
      <w:pPr>
        <w:suppressAutoHyphens/>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本项目评标委员会由政府采购评审专家和采购人代表组成。</w:t>
      </w:r>
      <w:bookmarkEnd w:id="75"/>
      <w:bookmarkStart w:id="76" w:name="_Hlk19051968"/>
      <w:r>
        <w:rPr>
          <w:rFonts w:ascii="Arial" w:hAnsi="Arial" w:cs="Arial"/>
          <w:color w:val="000000" w:themeColor="text1"/>
          <w14:textFill>
            <w14:solidFill>
              <w14:schemeClr w14:val="tx1"/>
            </w14:solidFill>
          </w14:textFill>
        </w:rPr>
        <w:t>评标委员会必须公平、公正、客观，不带任何倾向性和启发性；不得向外界透露任何与评审有关的内容；任何单位和个人不得干扰、影响评审的正常进行；评标委员会及有关工作人员不得私下与供应商接触。评审专家发现本人与参加采购活动的供应商有利害关系的，应当主动提出回避。</w:t>
      </w:r>
      <w:bookmarkEnd w:id="76"/>
    </w:p>
    <w:p w14:paraId="46678B04">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二、评标程序</w:t>
      </w:r>
    </w:p>
    <w:p w14:paraId="11C0FABB">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w:t>
      </w:r>
      <w:bookmarkStart w:id="77" w:name="_Hlk19175507"/>
      <w:r>
        <w:rPr>
          <w:rFonts w:ascii="Arial" w:hAnsi="Arial" w:cs="Arial"/>
          <w:color w:val="000000" w:themeColor="text1"/>
          <w:szCs w:val="21"/>
          <w14:textFill>
            <w14:solidFill>
              <w14:schemeClr w14:val="tx1"/>
            </w14:solidFill>
          </w14:textFill>
        </w:rPr>
        <w:t>初步评审：初步评审包括资格检查及符合性检查。</w:t>
      </w:r>
      <w:bookmarkEnd w:id="77"/>
    </w:p>
    <w:p w14:paraId="114E5AAB">
      <w:pPr>
        <w:suppressAutoHyphens/>
        <w:spacing w:before="120" w:line="320" w:lineRule="atLeast"/>
        <w:ind w:firstLine="420" w:firstLineChars="200"/>
        <w:rPr>
          <w:rFonts w:ascii="Arial" w:hAnsi="Arial" w:cs="Arial"/>
          <w:bCs/>
          <w:color w:val="000000" w:themeColor="text1"/>
          <w:kern w:val="1"/>
          <w:szCs w:val="21"/>
          <w14:textFill>
            <w14:solidFill>
              <w14:schemeClr w14:val="tx1"/>
            </w14:solidFill>
          </w14:textFill>
        </w:rPr>
      </w:pPr>
      <w:r>
        <w:rPr>
          <w:rFonts w:ascii="Arial" w:hAnsi="Arial" w:cs="Arial"/>
          <w:bCs/>
          <w:color w:val="000000" w:themeColor="text1"/>
          <w:kern w:val="1"/>
          <w:szCs w:val="21"/>
          <w14:textFill>
            <w14:solidFill>
              <w14:schemeClr w14:val="tx1"/>
            </w14:solidFill>
          </w14:textFill>
        </w:rPr>
        <w:t>2、澄清（如需要）。</w:t>
      </w:r>
    </w:p>
    <w:p w14:paraId="475065F2">
      <w:pPr>
        <w:suppressAutoHyphens/>
        <w:spacing w:before="120" w:line="320" w:lineRule="atLeast"/>
        <w:ind w:firstLine="420" w:firstLineChars="200"/>
        <w:rPr>
          <w:rFonts w:ascii="Arial" w:hAnsi="Arial" w:cs="Arial"/>
          <w:bCs/>
          <w:color w:val="000000" w:themeColor="text1"/>
          <w:kern w:val="1"/>
          <w:szCs w:val="21"/>
          <w14:textFill>
            <w14:solidFill>
              <w14:schemeClr w14:val="tx1"/>
            </w14:solidFill>
          </w14:textFill>
        </w:rPr>
      </w:pPr>
      <w:r>
        <w:rPr>
          <w:rFonts w:ascii="Arial" w:hAnsi="Arial" w:cs="Arial"/>
          <w:bCs/>
          <w:color w:val="000000" w:themeColor="text1"/>
          <w:kern w:val="1"/>
          <w:szCs w:val="21"/>
          <w14:textFill>
            <w14:solidFill>
              <w14:schemeClr w14:val="tx1"/>
            </w14:solidFill>
          </w14:textFill>
        </w:rPr>
        <w:t>3、详细评审。</w:t>
      </w:r>
    </w:p>
    <w:p w14:paraId="145A8ED6">
      <w:pPr>
        <w:suppressAutoHyphens/>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bCs/>
          <w:color w:val="000000" w:themeColor="text1"/>
          <w:kern w:val="1"/>
          <w:szCs w:val="21"/>
          <w14:textFill>
            <w14:solidFill>
              <w14:schemeClr w14:val="tx1"/>
            </w14:solidFill>
          </w14:textFill>
        </w:rPr>
        <w:t>4、推荐中标候选人。</w:t>
      </w:r>
    </w:p>
    <w:p w14:paraId="26FF7FD9">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三、特别说明：</w:t>
      </w:r>
    </w:p>
    <w:p w14:paraId="44583026">
      <w:pPr>
        <w:tabs>
          <w:tab w:val="left" w:pos="2190"/>
        </w:tabs>
        <w:spacing w:line="370" w:lineRule="exact"/>
        <w:ind w:firstLine="435"/>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1、注意事项：本项目实行电子投标，供应商应准备电子投标文件。</w:t>
      </w:r>
    </w:p>
    <w:p w14:paraId="7E5B15DE">
      <w:pPr>
        <w:tabs>
          <w:tab w:val="left" w:pos="2190"/>
        </w:tabs>
        <w:spacing w:line="370" w:lineRule="exact"/>
        <w:ind w:firstLine="435"/>
        <w:rPr>
          <w:rFonts w:ascii="Arial" w:hAnsi="Arial" w:cs="Arial"/>
          <w:b/>
          <w:bCs/>
          <w:color w:val="000000" w:themeColor="text1"/>
          <w:kern w:val="0"/>
          <w:szCs w:val="21"/>
          <w14:textFill>
            <w14:solidFill>
              <w14:schemeClr w14:val="tx1"/>
            </w14:solidFill>
          </w14:textFill>
        </w:rPr>
      </w:pPr>
      <w:r>
        <w:rPr>
          <w:rFonts w:ascii="Arial" w:hAnsi="Arial" w:cs="Arial"/>
          <w:b/>
          <w:color w:val="000000" w:themeColor="text1"/>
          <w:szCs w:val="21"/>
          <w14:textFill>
            <w14:solidFill>
              <w14:schemeClr w14:val="tx1"/>
            </w14:solidFill>
          </w14:textFill>
        </w:rPr>
        <w:t>2、电子投标文件按广西政府采购云平台要求及本招标文件要求制作、加密并递交。具体操作流程可参考《政府采购项目电子交易管理操作指南-供应商》，指南可在 “http://www.ccgp-guangxi.gov.cn/PurchaseAdvisory/ImportantNotice/2866753.html”下载。</w:t>
      </w:r>
    </w:p>
    <w:p w14:paraId="5E566411">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3、供应商提供的以下相关证明材料属于“必须提供”的</w:t>
      </w:r>
      <w:r>
        <w:rPr>
          <w:rFonts w:ascii="Arial" w:hAnsi="Arial" w:cs="Arial"/>
          <w:b/>
          <w:color w:val="000000" w:themeColor="text1"/>
          <w:sz w:val="24"/>
          <w14:textFill>
            <w14:solidFill>
              <w14:schemeClr w14:val="tx1"/>
            </w14:solidFill>
          </w14:textFill>
        </w:rPr>
        <w:t>文件</w:t>
      </w:r>
      <w:r>
        <w:rPr>
          <w:rFonts w:ascii="Arial" w:hAnsi="Arial" w:cs="Arial"/>
          <w:b/>
          <w:bCs/>
          <w:color w:val="000000" w:themeColor="text1"/>
          <w:kern w:val="0"/>
          <w:szCs w:val="21"/>
          <w14:textFill>
            <w14:solidFill>
              <w14:schemeClr w14:val="tx1"/>
            </w14:solidFill>
          </w14:textFill>
        </w:rPr>
        <w:t>应加盖供应商公章（CA签章）/自然人签字或加盖个人CA签章，否则投标无效。</w:t>
      </w:r>
    </w:p>
    <w:p w14:paraId="2788AC77">
      <w:pPr>
        <w:pStyle w:val="30"/>
        <w:spacing w:line="370" w:lineRule="exact"/>
        <w:ind w:firstLine="420"/>
        <w:rPr>
          <w:rFonts w:ascii="Arial" w:hAnsi="Arial" w:cs="Arial"/>
          <w:b/>
          <w:bCs/>
          <w:color w:val="000000" w:themeColor="text1"/>
          <w14:textFill>
            <w14:solidFill>
              <w14:schemeClr w14:val="tx1"/>
            </w14:solidFill>
          </w14:textFill>
        </w:rPr>
      </w:pPr>
      <w:r>
        <w:rPr>
          <w:rFonts w:ascii="Arial" w:hAnsi="Arial" w:cs="Arial"/>
          <w:b/>
          <w:bCs/>
          <w:color w:val="000000" w:themeColor="text1"/>
          <w:kern w:val="0"/>
          <w14:textFill>
            <w14:solidFill>
              <w14:schemeClr w14:val="tx1"/>
            </w14:solidFill>
          </w14:textFill>
        </w:rPr>
        <w:t>4、</w:t>
      </w:r>
      <w:r>
        <w:rPr>
          <w:rFonts w:ascii="Arial" w:hAnsi="Arial" w:cs="Arial"/>
          <w:b/>
          <w:bCs/>
          <w:color w:val="000000" w:themeColor="text1"/>
          <w14:textFill>
            <w14:solidFill>
              <w14:schemeClr w14:val="tx1"/>
            </w14:solidFill>
          </w14:textFill>
        </w:rPr>
        <w:t>投标文件（电子响应文件），其中电子投标文件中所须加盖公章部分均采用CA签章。若招标文件中有专门标注的某关联点，并要求供应商在电子投标系统中作出响应的，如供应商未对关联点进行响应或者在投标文件其它内容进行描述，造成电子评审不能查询的责任由供应商自行承担。</w:t>
      </w:r>
    </w:p>
    <w:p w14:paraId="3FAEEEA2">
      <w:pPr>
        <w:pStyle w:val="30"/>
        <w:spacing w:line="370" w:lineRule="exact"/>
        <w:ind w:firstLine="420"/>
        <w:rPr>
          <w:rFonts w:ascii="Arial" w:hAnsi="Arial" w:cs="Arial"/>
          <w:b/>
          <w:bCs/>
          <w:color w:val="000000" w:themeColor="text1"/>
          <w14:textFill>
            <w14:solidFill>
              <w14:schemeClr w14:val="tx1"/>
            </w14:solidFill>
          </w14:textFill>
        </w:rPr>
      </w:pPr>
      <w:r>
        <w:rPr>
          <w:rFonts w:ascii="Arial" w:hAnsi="Arial" w:cs="Arial"/>
          <w:b/>
          <w:bCs/>
          <w:color w:val="000000" w:themeColor="text1"/>
          <w14:textFill>
            <w14:solidFill>
              <w14:schemeClr w14:val="tx1"/>
            </w14:solidFill>
          </w14:textFill>
        </w:rPr>
        <w:t>5、招标文件要求法定代表人（负责人）或委托代理人签字的部分必须签字然后扫描或者拍照做成 pdf 格式上传（或加盖个人CA签章），无签字的视为投标无效。</w:t>
      </w:r>
    </w:p>
    <w:p w14:paraId="01D54204">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6、电子投标文件中须加盖供应商公章部分均采用 CA 签章，并根据“政府采购项目电子交易管理操作指南-供应商” 及本招标文件规定的格式和顺序编制电子投标文件并进行关联定位，以便评审小组在评审时，点击评分项可直接定位到该评分项内容。如对招标文件的某项要求，供应商的电子投标文件未能关联定位提供相应的内容与其对应，则评审小组在评审时如做出对供应商不利的评审由供应商自行承担。电子投标文件如内容不完整、编排混乱导致投标文件被误读、 漏读，或者在按招标文件规定的部位查找不到相关内容的，由供应商自行承担。</w:t>
      </w:r>
    </w:p>
    <w:p w14:paraId="36620DFC">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7、供应商法人（负责人）或授权代表持有政采云个人CA签章的，应在投标文件中涉及到签字的位置使用个人CA签章，没有办理政采云个人CA签章的可在投标文件中涉及到签字的位置手写签字后扫描或者拍照做成 PDF 的格式上传即可。</w:t>
      </w:r>
    </w:p>
    <w:p w14:paraId="2D2D18AF">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8、投标文件不得涂改，若有修改错漏处，须法定代表人（负责人）或授权委托人签字（或个人CA签章）。投标文件因字迹潦草或表达不清所引起的后果由供应商负责。</w:t>
      </w:r>
    </w:p>
    <w:p w14:paraId="7C225F8D">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9、本项目实行网上评审，采用电子投标文件；若供应商参与投标，自行承担投标一切费用。各供应商在截标前应确保成为广西政府采购云平台正式注册入库供应商，并完成 CA 数字证书申领。因未注册入库、未办理 CA 数字证书等原因造成无法投标或投标失败等后果由供应商自行承担。供应商将政采云电子交易客户端下载、安装完成后，可通过账号密码或 CA 登录客户端进行投标文件制作。客户端请至网站下载专区查看，如有问题可拨打政采云客户服务热线95763 进行咨询。</w:t>
      </w:r>
    </w:p>
    <w:p w14:paraId="013BAE30">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10、供应商进行电子投标应安装客户端软件，并按照采购文件和电子交易平台的要求编制并加密投标文件。供应商未按规定加密的投标文件，电子交易平台将拒收。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如有特殊情况，采购代理机构延长截止时间和开标时间，采购代理机构和供应商的权利和义务将受到新的截止时间和开标时间的约束。</w:t>
      </w:r>
    </w:p>
    <w:p w14:paraId="635AB447">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四、评标内容</w:t>
      </w:r>
    </w:p>
    <w:p w14:paraId="77CD267C">
      <w:pPr>
        <w:spacing w:before="120" w:line="320" w:lineRule="atLeast"/>
        <w:ind w:firstLine="551" w:firstLineChars="196"/>
        <w:jc w:val="center"/>
        <w:outlineLvl w:val="1"/>
        <w:rPr>
          <w:rFonts w:ascii="Arial" w:hAnsi="Arial" w:cs="Arial"/>
          <w:b/>
          <w:bCs/>
          <w:color w:val="000000" w:themeColor="text1"/>
          <w:kern w:val="0"/>
          <w:sz w:val="28"/>
          <w:szCs w:val="28"/>
          <w14:textFill>
            <w14:solidFill>
              <w14:schemeClr w14:val="tx1"/>
            </w14:solidFill>
          </w14:textFill>
        </w:rPr>
      </w:pPr>
      <w:bookmarkStart w:id="78" w:name="_Hlk19052412"/>
      <w:r>
        <w:rPr>
          <w:rFonts w:ascii="Arial" w:hAnsi="Arial" w:cs="Arial"/>
          <w:b/>
          <w:bCs/>
          <w:color w:val="000000" w:themeColor="text1"/>
          <w:kern w:val="0"/>
          <w:sz w:val="28"/>
          <w:szCs w:val="28"/>
          <w14:textFill>
            <w14:solidFill>
              <w14:schemeClr w14:val="tx1"/>
            </w14:solidFill>
          </w14:textFill>
        </w:rPr>
        <w:t>1、资格审查</w:t>
      </w:r>
    </w:p>
    <w:p w14:paraId="7A090CB9">
      <w:pPr>
        <w:suppressAutoHyphens/>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14:textFill>
            <w14:solidFill>
              <w14:schemeClr w14:val="tx1"/>
            </w14:solidFill>
          </w14:textFill>
        </w:rPr>
        <w:t>采购人代表对所有供应商的投标文件进行资格审查。</w:t>
      </w:r>
      <w:r>
        <w:rPr>
          <w:rFonts w:ascii="Arial" w:hAnsi="Arial" w:cs="Arial"/>
          <w:color w:val="000000" w:themeColor="text1"/>
          <w:szCs w:val="21"/>
          <w14:textFill>
            <w14:solidFill>
              <w14:schemeClr w14:val="tx1"/>
            </w14:solidFill>
          </w14:textFill>
        </w:rPr>
        <w:t>以确定供应商是否具备投标资格。资格审查表如下，缺少任何一项或有任何一项不合格者，其资格审查视为不合格。</w:t>
      </w:r>
    </w:p>
    <w:p w14:paraId="50A45B79">
      <w:pPr>
        <w:suppressAutoHyphens/>
        <w:spacing w:before="120" w:line="288" w:lineRule="auto"/>
        <w:ind w:firstLine="440" w:firstLineChars="200"/>
        <w:rPr>
          <w:rFonts w:ascii="Arial" w:hAnsi="Arial" w:cs="Arial"/>
          <w:color w:val="000000" w:themeColor="text1"/>
          <w14:textFill>
            <w14:solidFill>
              <w14:schemeClr w14:val="tx1"/>
            </w14:solidFill>
          </w14:textFill>
        </w:rPr>
      </w:pPr>
      <w:r>
        <w:rPr>
          <w:rFonts w:ascii="Arial" w:hAnsi="Arial" w:cs="Arial"/>
          <w:color w:val="000000" w:themeColor="text1"/>
          <w:sz w:val="22"/>
          <w:szCs w:val="22"/>
          <w14:textFill>
            <w14:solidFill>
              <w14:schemeClr w14:val="tx1"/>
            </w14:solidFill>
          </w14:textFill>
        </w:rPr>
        <w:t>1.1</w:t>
      </w:r>
      <w:r>
        <w:rPr>
          <w:rFonts w:ascii="Arial" w:hAnsi="Arial" w:cs="Arial"/>
          <w:b/>
          <w:bCs/>
          <w:color w:val="000000" w:themeColor="text1"/>
          <w:sz w:val="22"/>
          <w:szCs w:val="22"/>
          <w14:textFill>
            <w14:solidFill>
              <w14:schemeClr w14:val="tx1"/>
            </w14:solidFill>
          </w14:textFill>
        </w:rPr>
        <w:t>供应商具备有效的“营业执照”或“事业单位法人证书”或“自然人的身份证明”副本复印件。</w:t>
      </w:r>
    </w:p>
    <w:p w14:paraId="5806C722">
      <w:pPr>
        <w:suppressAutoHyphens/>
        <w:spacing w:before="120" w:line="288" w:lineRule="auto"/>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供应商是企业则审查营业执照（副本）复印件；供应商是事业单位，则审查事业单位法人证书（副本）复印件；供应商是非企业专业服务机构的，则审查执业许可证等证明文件复印件；供应商是个体工商户，则审查个体工商户营业执照复印件；供应商是自然人，则审查自然人身份证明复印件；如供应商不是以上所列的法人、组织、自然人的，则提供国家规定的相关证明材料。</w:t>
      </w:r>
    </w:p>
    <w:p w14:paraId="57089A89">
      <w:pPr>
        <w:suppressAutoHyphens/>
        <w:spacing w:before="120" w:line="288" w:lineRule="auto"/>
        <w:ind w:firstLine="442" w:firstLineChars="200"/>
        <w:rPr>
          <w:rFonts w:ascii="Arial" w:hAnsi="Arial" w:cs="Arial"/>
          <w:b/>
          <w:bCs/>
          <w:color w:val="000000" w:themeColor="text1"/>
          <w:sz w:val="22"/>
          <w:szCs w:val="22"/>
          <w:highlight w:val="none"/>
          <w14:textFill>
            <w14:solidFill>
              <w14:schemeClr w14:val="tx1"/>
            </w14:solidFill>
          </w14:textFill>
        </w:rPr>
      </w:pPr>
      <w:r>
        <w:rPr>
          <w:rFonts w:hint="eastAsia" w:ascii="Arial" w:hAnsi="Arial" w:cs="Arial"/>
          <w:b/>
          <w:bCs/>
          <w:color w:val="000000" w:themeColor="text1"/>
          <w:sz w:val="22"/>
          <w:szCs w:val="22"/>
          <w:highlight w:val="none"/>
          <w14:textFill>
            <w14:solidFill>
              <w14:schemeClr w14:val="tx1"/>
            </w14:solidFill>
          </w14:textFill>
        </w:rPr>
        <w:t>1.2供应商具有药品监督管理的部门颁发有效的医疗器械经营许可或者备案（按《医疗器械监督管理条例》免于经营备案和无需办理医疗器械经营许可或者备案的情形除外）</w:t>
      </w:r>
      <w:r>
        <w:rPr>
          <w:rFonts w:hint="eastAsia" w:ascii="Arial" w:hAnsi="Arial" w:cs="Arial"/>
          <w:b/>
          <w:bCs/>
          <w:color w:val="000000" w:themeColor="text1"/>
          <w:sz w:val="22"/>
          <w:szCs w:val="22"/>
          <w:highlight w:val="none"/>
          <w:lang w:eastAsia="zh-CN"/>
          <w14:textFill>
            <w14:solidFill>
              <w14:schemeClr w14:val="tx1"/>
            </w14:solidFill>
          </w14:textFill>
        </w:rPr>
        <w:t>。</w:t>
      </w:r>
    </w:p>
    <w:p w14:paraId="66AB3A23">
      <w:pPr>
        <w:suppressAutoHyphens/>
        <w:spacing w:before="120" w:line="288" w:lineRule="auto"/>
        <w:ind w:firstLine="44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 w:val="22"/>
          <w:szCs w:val="22"/>
          <w:highlight w:val="none"/>
          <w14:textFill>
            <w14:solidFill>
              <w14:schemeClr w14:val="tx1"/>
            </w14:solidFill>
          </w14:textFill>
        </w:rPr>
        <w:t>1.</w:t>
      </w:r>
      <w:r>
        <w:rPr>
          <w:rFonts w:hint="eastAsia" w:ascii="Arial" w:hAnsi="Arial" w:cs="Arial"/>
          <w:color w:val="000000" w:themeColor="text1"/>
          <w:sz w:val="22"/>
          <w:szCs w:val="22"/>
          <w:highlight w:val="none"/>
          <w:lang w:val="en-US" w:eastAsia="zh-CN"/>
          <w14:textFill>
            <w14:solidFill>
              <w14:schemeClr w14:val="tx1"/>
            </w14:solidFill>
          </w14:textFill>
        </w:rPr>
        <w:t>3</w:t>
      </w:r>
      <w:r>
        <w:rPr>
          <w:rFonts w:ascii="Arial" w:hAnsi="Arial" w:cs="Arial"/>
          <w:color w:val="000000" w:themeColor="text1"/>
          <w:sz w:val="22"/>
          <w:szCs w:val="22"/>
          <w:highlight w:val="none"/>
          <w14:textFill>
            <w14:solidFill>
              <w14:schemeClr w14:val="tx1"/>
            </w14:solidFill>
          </w14:textFill>
        </w:rPr>
        <w:t xml:space="preserve"> </w:t>
      </w:r>
      <w:r>
        <w:rPr>
          <w:rFonts w:ascii="Arial" w:hAnsi="Arial" w:cs="Arial"/>
          <w:b/>
          <w:bCs/>
          <w:color w:val="000000" w:themeColor="text1"/>
          <w:sz w:val="22"/>
          <w:szCs w:val="22"/>
          <w:highlight w:val="none"/>
          <w14:textFill>
            <w14:solidFill>
              <w14:schemeClr w14:val="tx1"/>
            </w14:solidFill>
          </w14:textFill>
        </w:rPr>
        <w:t>供应商202</w:t>
      </w:r>
      <w:r>
        <w:rPr>
          <w:rFonts w:hint="eastAsia" w:ascii="Arial" w:hAnsi="Arial" w:cs="Arial"/>
          <w:b/>
          <w:bCs/>
          <w:color w:val="000000" w:themeColor="text1"/>
          <w:sz w:val="22"/>
          <w:szCs w:val="22"/>
          <w:highlight w:val="none"/>
          <w:lang w:val="en-US" w:eastAsia="zh-CN"/>
          <w14:textFill>
            <w14:solidFill>
              <w14:schemeClr w14:val="tx1"/>
            </w14:solidFill>
          </w14:textFill>
        </w:rPr>
        <w:t>5</w:t>
      </w:r>
      <w:r>
        <w:rPr>
          <w:rFonts w:ascii="Arial" w:hAnsi="Arial" w:cs="Arial"/>
          <w:b/>
          <w:bCs/>
          <w:color w:val="000000" w:themeColor="text1"/>
          <w:sz w:val="22"/>
          <w:szCs w:val="22"/>
          <w:highlight w:val="none"/>
          <w14:textFill>
            <w14:solidFill>
              <w14:schemeClr w14:val="tx1"/>
            </w14:solidFill>
          </w14:textFill>
        </w:rPr>
        <w:t>年财务状况报告（表）复印件或202</w:t>
      </w:r>
      <w:r>
        <w:rPr>
          <w:rFonts w:hint="eastAsia" w:ascii="Arial" w:hAnsi="Arial" w:cs="Arial"/>
          <w:b/>
          <w:bCs/>
          <w:color w:val="000000" w:themeColor="text1"/>
          <w:sz w:val="22"/>
          <w:szCs w:val="22"/>
          <w:highlight w:val="none"/>
          <w:lang w:val="en-US" w:eastAsia="zh-CN"/>
          <w14:textFill>
            <w14:solidFill>
              <w14:schemeClr w14:val="tx1"/>
            </w14:solidFill>
          </w14:textFill>
        </w:rPr>
        <w:t>6</w:t>
      </w:r>
      <w:r>
        <w:rPr>
          <w:rFonts w:ascii="Arial" w:hAnsi="Arial" w:cs="Arial"/>
          <w:b/>
          <w:bCs/>
          <w:color w:val="000000" w:themeColor="text1"/>
          <w:sz w:val="22"/>
          <w:szCs w:val="22"/>
          <w:highlight w:val="none"/>
          <w14:textFill>
            <w14:solidFill>
              <w14:schemeClr w14:val="tx1"/>
            </w14:solidFill>
          </w14:textFill>
        </w:rPr>
        <w:t>年以来银行出具的资信证明复印件。</w:t>
      </w:r>
      <w:r>
        <w:rPr>
          <w:rFonts w:ascii="Arial" w:hAnsi="Arial" w:cs="Arial"/>
          <w:color w:val="000000" w:themeColor="text1"/>
          <w:szCs w:val="21"/>
          <w:highlight w:val="none"/>
          <w14:textFill>
            <w14:solidFill>
              <w14:schemeClr w14:val="tx1"/>
            </w14:solidFill>
          </w14:textFill>
        </w:rPr>
        <w:t>对</w:t>
      </w:r>
      <w:r>
        <w:rPr>
          <w:rFonts w:ascii="Arial" w:hAnsi="Arial" w:cs="Arial"/>
          <w:color w:val="000000" w:themeColor="text1"/>
          <w:szCs w:val="21"/>
          <w14:textFill>
            <w14:solidFill>
              <w14:schemeClr w14:val="tx1"/>
            </w14:solidFill>
          </w14:textFill>
        </w:rPr>
        <w:t>于从取得营业执照时间起到投标文件递交截止时间为止不足1年的供应商，只需提交投标文件递交截止时间前一个月的财务状况报告（表）复印件。</w:t>
      </w:r>
    </w:p>
    <w:p w14:paraId="3F52A944">
      <w:pPr>
        <w:suppressAutoHyphens/>
        <w:spacing w:before="120" w:line="288" w:lineRule="auto"/>
        <w:ind w:firstLine="440" w:firstLineChars="200"/>
        <w:rPr>
          <w:rFonts w:ascii="Arial" w:hAnsi="Arial" w:cs="Arial"/>
          <w:color w:val="000000" w:themeColor="text1"/>
          <w:szCs w:val="21"/>
          <w:lang w:val="zh-CN"/>
          <w14:textFill>
            <w14:solidFill>
              <w14:schemeClr w14:val="tx1"/>
            </w14:solidFill>
          </w14:textFill>
        </w:rPr>
      </w:pPr>
      <w:r>
        <w:rPr>
          <w:rFonts w:ascii="Arial" w:hAnsi="Arial" w:cs="Arial"/>
          <w:color w:val="000000" w:themeColor="text1"/>
          <w:sz w:val="22"/>
          <w:szCs w:val="22"/>
          <w14:textFill>
            <w14:solidFill>
              <w14:schemeClr w14:val="tx1"/>
            </w14:solidFill>
          </w14:textFill>
        </w:rPr>
        <w:t>1.</w:t>
      </w:r>
      <w:r>
        <w:rPr>
          <w:rFonts w:hint="eastAsia" w:ascii="Arial" w:hAnsi="Arial" w:cs="Arial"/>
          <w:color w:val="000000" w:themeColor="text1"/>
          <w:sz w:val="22"/>
          <w:szCs w:val="22"/>
          <w:lang w:val="en-US" w:eastAsia="zh-CN"/>
          <w14:textFill>
            <w14:solidFill>
              <w14:schemeClr w14:val="tx1"/>
            </w14:solidFill>
          </w14:textFill>
        </w:rPr>
        <w:t>4</w:t>
      </w:r>
      <w:r>
        <w:rPr>
          <w:rFonts w:ascii="Arial" w:hAnsi="Arial" w:cs="Arial"/>
          <w:b/>
          <w:bCs/>
          <w:color w:val="000000" w:themeColor="text1"/>
          <w:sz w:val="22"/>
          <w:szCs w:val="22"/>
          <w:lang w:val="zh-CN"/>
          <w14:textFill>
            <w14:solidFill>
              <w14:schemeClr w14:val="tx1"/>
            </w14:solidFill>
          </w14:textFill>
        </w:rPr>
        <w:t>①投标截止时间前6个月内，供应商任意1个月依法缴纳税费证明复印件。②投标截止时间前6个月内，供应商任意1个月的社保缴费证明记录复印件。</w:t>
      </w:r>
      <w:r>
        <w:rPr>
          <w:rFonts w:ascii="Arial" w:hAnsi="Arial" w:cs="Arial"/>
          <w:color w:val="000000" w:themeColor="text1"/>
          <w:szCs w:val="21"/>
          <w:lang w:val="zh-CN"/>
          <w14:textFill>
            <w14:solidFill>
              <w14:schemeClr w14:val="tx1"/>
            </w14:solidFill>
          </w14:textFill>
        </w:rPr>
        <w:t>供应商成立不足1个月的，无须提供缴纳税费证明及社保缴费证明。依法免税或不需要缴纳社会保障资金的供应商，须提供相应文件证明其依法免税或不需要缴纳社会保障资金。</w:t>
      </w:r>
    </w:p>
    <w:p w14:paraId="7F80A64C">
      <w:pPr>
        <w:suppressAutoHyphens/>
        <w:spacing w:before="120" w:line="288" w:lineRule="auto"/>
        <w:ind w:firstLine="442" w:firstLineChars="200"/>
        <w:rPr>
          <w:rFonts w:ascii="Arial" w:hAnsi="Arial" w:cs="Arial"/>
          <w:color w:val="000000" w:themeColor="text1"/>
          <w:szCs w:val="21"/>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w:t>
      </w:r>
      <w:r>
        <w:rPr>
          <w:rFonts w:hint="eastAsia" w:ascii="Arial" w:hAnsi="Arial" w:cs="Arial"/>
          <w:b/>
          <w:bCs/>
          <w:color w:val="000000" w:themeColor="text1"/>
          <w:sz w:val="22"/>
          <w:szCs w:val="22"/>
          <w:lang w:val="en-US" w:eastAsia="zh-CN"/>
          <w14:textFill>
            <w14:solidFill>
              <w14:schemeClr w14:val="tx1"/>
            </w14:solidFill>
          </w14:textFill>
        </w:rPr>
        <w:t>5</w:t>
      </w:r>
      <w:r>
        <w:rPr>
          <w:rFonts w:ascii="Arial" w:hAnsi="Arial" w:cs="Arial"/>
          <w:b/>
          <w:bCs/>
          <w:color w:val="000000" w:themeColor="text1"/>
          <w:sz w:val="22"/>
          <w:szCs w:val="22"/>
          <w14:textFill>
            <w14:solidFill>
              <w14:schemeClr w14:val="tx1"/>
            </w14:solidFill>
          </w14:textFill>
        </w:rPr>
        <w:t>审查无重大违法记录声明。须提供，格式见第六章投标文件格式“投标声明书”。</w:t>
      </w:r>
      <w:r>
        <w:rPr>
          <w:rFonts w:ascii="Arial" w:hAnsi="Arial" w:cs="Arial"/>
          <w:color w:val="000000" w:themeColor="text1"/>
          <w:szCs w:val="21"/>
          <w14:textFill>
            <w14:solidFill>
              <w14:schemeClr w14:val="tx1"/>
            </w14:solidFill>
          </w14:textFill>
        </w:rPr>
        <w:t>一旦发现供应商提供的投标声明书不实时，则按照《政府采购法》有关提供虚假材料的规定给予处罚。</w:t>
      </w:r>
    </w:p>
    <w:p w14:paraId="3CC8E3CC">
      <w:pPr>
        <w:suppressAutoHyphens/>
        <w:spacing w:before="120" w:line="288" w:lineRule="auto"/>
        <w:ind w:firstLine="442" w:firstLineChars="200"/>
        <w:rPr>
          <w:rFonts w:ascii="Arial" w:hAnsi="Arial" w:cs="Arial"/>
          <w:color w:val="000000" w:themeColor="text1"/>
          <w:szCs w:val="21"/>
          <w:lang w:val="zh-CN"/>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w:t>
      </w:r>
      <w:r>
        <w:rPr>
          <w:rFonts w:hint="eastAsia" w:ascii="Arial" w:hAnsi="Arial" w:cs="Arial"/>
          <w:b/>
          <w:bCs/>
          <w:color w:val="000000" w:themeColor="text1"/>
          <w:sz w:val="22"/>
          <w:szCs w:val="22"/>
          <w:lang w:val="en-US" w:eastAsia="zh-CN"/>
          <w14:textFill>
            <w14:solidFill>
              <w14:schemeClr w14:val="tx1"/>
            </w14:solidFill>
          </w14:textFill>
        </w:rPr>
        <w:t>6</w:t>
      </w:r>
      <w:r>
        <w:rPr>
          <w:rFonts w:ascii="Arial" w:hAnsi="Arial" w:cs="Arial"/>
          <w:b/>
          <w:bCs/>
          <w:color w:val="000000" w:themeColor="text1"/>
          <w:sz w:val="22"/>
          <w:szCs w:val="22"/>
          <w:lang w:val="zh-CN"/>
          <w14:textFill>
            <w14:solidFill>
              <w14:schemeClr w14:val="tx1"/>
            </w14:solidFill>
          </w14:textFill>
        </w:rPr>
        <w:t>诚信要求：</w:t>
      </w:r>
      <w:r>
        <w:rPr>
          <w:rFonts w:ascii="Arial" w:hAnsi="Arial" w:cs="Arial"/>
          <w:color w:val="000000" w:themeColor="text1"/>
          <w:szCs w:val="21"/>
          <w:lang w:val="zh-CN"/>
          <w14:textFill>
            <w14:solidFill>
              <w14:schemeClr w14:val="tx1"/>
            </w14:solidFill>
          </w14:textFill>
        </w:rPr>
        <w:t>①</w:t>
      </w:r>
      <w:r>
        <w:rPr>
          <w:rFonts w:ascii="Arial" w:hAnsi="Arial" w:cs="Arial"/>
          <w:color w:val="000000" w:themeColor="text1"/>
          <w:szCs w:val="21"/>
          <w14:textFill>
            <w14:solidFill>
              <w14:schemeClr w14:val="tx1"/>
            </w14:solidFill>
          </w14:textFill>
        </w:rPr>
        <w:t>审核标准：供应商如被列入失信被执行人、重大税收违法失信主体、政府采购严重违法失信行为记录名单，则资格审查不予通过，其投标被否决</w:t>
      </w:r>
      <w:r>
        <w:rPr>
          <w:rFonts w:ascii="Arial" w:hAnsi="Arial" w:cs="Arial"/>
          <w:color w:val="000000" w:themeColor="text1"/>
          <w:szCs w:val="21"/>
          <w:lang w:val="zh-CN"/>
          <w14:textFill>
            <w14:solidFill>
              <w14:schemeClr w14:val="tx1"/>
            </w14:solidFill>
          </w14:textFill>
        </w:rPr>
        <w:t>。</w:t>
      </w:r>
    </w:p>
    <w:p w14:paraId="4574F24C">
      <w:pPr>
        <w:suppressAutoHyphens/>
        <w:spacing w:before="120" w:line="288"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②信用信息查询渠道：中国政府采购网 “政府采购严重违法失信行为记录名单” 信用中国网：“失信被执行人”、“重大税收违法失信主体”  </w:t>
      </w:r>
    </w:p>
    <w:p w14:paraId="38688C81">
      <w:pPr>
        <w:suppressAutoHyphens/>
        <w:spacing w:before="120" w:line="288" w:lineRule="auto"/>
        <w:ind w:firstLine="420" w:firstLineChars="200"/>
        <w:rPr>
          <w:rFonts w:ascii="Arial" w:hAnsi="Arial" w:cs="Arial"/>
          <w:color w:val="000000" w:themeColor="text1"/>
          <w:szCs w:val="21"/>
          <w:lang w:val="zh-CN"/>
          <w14:textFill>
            <w14:solidFill>
              <w14:schemeClr w14:val="tx1"/>
            </w14:solidFill>
          </w14:textFill>
        </w:rPr>
      </w:pPr>
      <w:r>
        <w:rPr>
          <w:rFonts w:ascii="Arial" w:hAnsi="Arial" w:cs="Arial"/>
          <w:color w:val="000000" w:themeColor="text1"/>
          <w:szCs w:val="21"/>
          <w14:textFill>
            <w14:solidFill>
              <w14:schemeClr w14:val="tx1"/>
            </w14:solidFill>
          </w14:textFill>
        </w:rPr>
        <w:t>③查询方式：广西政府采购云平台已与“信用中国”平台做接口，可直接在线查询。</w:t>
      </w:r>
    </w:p>
    <w:p w14:paraId="2DF63E80">
      <w:pPr>
        <w:suppressAutoHyphens/>
        <w:spacing w:before="120" w:line="288" w:lineRule="auto"/>
        <w:ind w:firstLine="442" w:firstLineChars="200"/>
        <w:rPr>
          <w:rFonts w:ascii="Arial" w:hAnsi="Arial" w:cs="Arial"/>
          <w:color w:val="000000" w:themeColor="text1"/>
          <w:kern w:val="0"/>
          <w:szCs w:val="21"/>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w:t>
      </w:r>
      <w:r>
        <w:rPr>
          <w:rFonts w:hint="eastAsia" w:ascii="Arial" w:hAnsi="Arial" w:cs="Arial"/>
          <w:b/>
          <w:bCs/>
          <w:color w:val="000000" w:themeColor="text1"/>
          <w:sz w:val="22"/>
          <w:szCs w:val="22"/>
          <w:lang w:val="en-US" w:eastAsia="zh-CN"/>
          <w14:textFill>
            <w14:solidFill>
              <w14:schemeClr w14:val="tx1"/>
            </w14:solidFill>
          </w14:textFill>
        </w:rPr>
        <w:t>7</w:t>
      </w:r>
      <w:r>
        <w:rPr>
          <w:rFonts w:ascii="Arial" w:hAnsi="Arial" w:cs="Arial"/>
          <w:b/>
          <w:bCs/>
          <w:color w:val="000000" w:themeColor="text1"/>
          <w:kern w:val="0"/>
          <w:sz w:val="22"/>
          <w:szCs w:val="22"/>
          <w14:textFill>
            <w14:solidFill>
              <w14:schemeClr w14:val="tx1"/>
            </w14:solidFill>
          </w14:textFill>
        </w:rPr>
        <w:t>供应商不得参加资格性审查的情形：</w:t>
      </w:r>
      <w:r>
        <w:rPr>
          <w:rFonts w:ascii="Arial" w:hAnsi="Arial" w:cs="Arial"/>
          <w:color w:val="000000" w:themeColor="text1"/>
          <w:kern w:val="0"/>
          <w:szCs w:val="21"/>
          <w14:textFill>
            <w14:solidFill>
              <w14:schemeClr w14:val="tx1"/>
            </w14:solidFill>
          </w14:textFill>
        </w:rPr>
        <w:t>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5CA41DC8">
      <w:pPr>
        <w:spacing w:before="120" w:line="320" w:lineRule="atLeast"/>
        <w:ind w:firstLine="551" w:firstLineChars="196"/>
        <w:jc w:val="center"/>
        <w:outlineLvl w:val="1"/>
        <w:rPr>
          <w:rFonts w:ascii="Arial" w:hAnsi="Arial" w:cs="Arial"/>
          <w:b/>
          <w:bCs/>
          <w:color w:val="000000" w:themeColor="text1"/>
          <w:kern w:val="0"/>
          <w:sz w:val="28"/>
          <w:szCs w:val="28"/>
          <w14:textFill>
            <w14:solidFill>
              <w14:schemeClr w14:val="tx1"/>
            </w14:solidFill>
          </w14:textFill>
        </w:rPr>
      </w:pPr>
      <w:r>
        <w:rPr>
          <w:rFonts w:ascii="Arial" w:hAnsi="Arial" w:cs="Arial"/>
          <w:b/>
          <w:bCs/>
          <w:color w:val="000000" w:themeColor="text1"/>
          <w:kern w:val="0"/>
          <w:sz w:val="28"/>
          <w:szCs w:val="28"/>
          <w14:textFill>
            <w14:solidFill>
              <w14:schemeClr w14:val="tx1"/>
            </w14:solidFill>
          </w14:textFill>
        </w:rPr>
        <w:t>2、符合性检查</w:t>
      </w:r>
    </w:p>
    <w:p w14:paraId="5B35DECD">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bCs/>
          <w:color w:val="000000" w:themeColor="text1"/>
          <w:kern w:val="1"/>
          <w:szCs w:val="21"/>
          <w14:textFill>
            <w14:solidFill>
              <w14:schemeClr w14:val="tx1"/>
            </w14:solidFill>
          </w14:textFill>
        </w:rPr>
        <w:t>资格审查结束后，由评标委员会对</w:t>
      </w:r>
      <w:r>
        <w:rPr>
          <w:rFonts w:ascii="Arial" w:hAnsi="Arial" w:cs="Arial"/>
          <w:color w:val="000000" w:themeColor="text1"/>
          <w14:textFill>
            <w14:solidFill>
              <w14:schemeClr w14:val="tx1"/>
            </w14:solidFill>
          </w14:textFill>
        </w:rPr>
        <w:t>通过资格审查的供应商的投标文件进行符合性审查，以确定其是否满足招标文件的实质性要求。</w:t>
      </w:r>
      <w:r>
        <w:rPr>
          <w:rFonts w:ascii="Arial" w:hAnsi="Arial" w:cs="Arial"/>
          <w:color w:val="000000" w:themeColor="text1"/>
          <w:szCs w:val="21"/>
          <w14:textFill>
            <w14:solidFill>
              <w14:schemeClr w14:val="tx1"/>
            </w14:solidFill>
          </w14:textFill>
        </w:rPr>
        <w:t>符合性检查表如下，缺少任何一项或有任何一项不合格者，其符合性检查视为不合格。</w:t>
      </w:r>
    </w:p>
    <w:p w14:paraId="7444FE62">
      <w:pPr>
        <w:spacing w:before="120" w:line="288" w:lineRule="auto"/>
        <w:ind w:firstLine="482" w:firstLineChars="200"/>
        <w:rPr>
          <w:rFonts w:ascii="Arial" w:hAnsi="Arial" w:cs="Arial"/>
          <w:b/>
          <w:bCs/>
          <w:color w:val="000000" w:themeColor="text1"/>
          <w:kern w:val="0"/>
          <w:sz w:val="24"/>
          <w14:textFill>
            <w14:solidFill>
              <w14:schemeClr w14:val="tx1"/>
            </w14:solidFill>
          </w14:textFill>
        </w:rPr>
      </w:pPr>
      <w:r>
        <w:rPr>
          <w:rFonts w:ascii="Arial" w:hAnsi="Arial" w:cs="Arial"/>
          <w:b/>
          <w:bCs/>
          <w:color w:val="000000" w:themeColor="text1"/>
          <w:sz w:val="24"/>
          <w14:textFill>
            <w14:solidFill>
              <w14:schemeClr w14:val="tx1"/>
            </w14:solidFill>
          </w14:textFill>
        </w:rPr>
        <w:t>2.1</w:t>
      </w:r>
      <w:r>
        <w:rPr>
          <w:rFonts w:ascii="Arial" w:hAnsi="Arial" w:cs="Arial"/>
          <w:b/>
          <w:bCs/>
          <w:color w:val="000000" w:themeColor="text1"/>
          <w:kern w:val="0"/>
          <w:sz w:val="24"/>
          <w14:textFill>
            <w14:solidFill>
              <w14:schemeClr w14:val="tx1"/>
            </w14:solidFill>
          </w14:textFill>
        </w:rPr>
        <w:t>有效性审查</w:t>
      </w:r>
    </w:p>
    <w:p w14:paraId="3EE1B615">
      <w:pPr>
        <w:spacing w:before="120" w:line="288" w:lineRule="auto"/>
        <w:ind w:firstLine="442" w:firstLineChars="200"/>
        <w:rPr>
          <w:rFonts w:ascii="Arial" w:hAnsi="Arial" w:cs="Arial"/>
          <w:color w:val="000000" w:themeColor="text1"/>
          <w:szCs w:val="21"/>
          <w14:textFill>
            <w14:solidFill>
              <w14:schemeClr w14:val="tx1"/>
            </w14:solidFill>
          </w14:textFill>
        </w:rPr>
      </w:pPr>
      <w:r>
        <w:rPr>
          <w:rFonts w:ascii="Arial" w:hAnsi="Arial" w:cs="Arial"/>
          <w:b/>
          <w:bCs/>
          <w:color w:val="000000" w:themeColor="text1"/>
          <w:kern w:val="0"/>
          <w:sz w:val="22"/>
          <w:szCs w:val="22"/>
          <w14:textFill>
            <w14:solidFill>
              <w14:schemeClr w14:val="tx1"/>
            </w14:solidFill>
          </w14:textFill>
        </w:rPr>
        <w:t>2.1.1</w:t>
      </w:r>
      <w:r>
        <w:rPr>
          <w:rFonts w:ascii="Arial" w:hAnsi="Arial" w:cs="Arial"/>
          <w:b/>
          <w:bCs/>
          <w:color w:val="000000" w:themeColor="text1"/>
          <w:sz w:val="22"/>
          <w:szCs w:val="22"/>
          <w14:textFill>
            <w14:solidFill>
              <w14:schemeClr w14:val="tx1"/>
            </w14:solidFill>
          </w14:textFill>
        </w:rPr>
        <w:t>投标文件签署</w:t>
      </w:r>
      <w:r>
        <w:rPr>
          <w:rFonts w:ascii="Arial" w:hAnsi="Arial" w:cs="Arial"/>
          <w:color w:val="000000" w:themeColor="text1"/>
          <w:sz w:val="22"/>
          <w:szCs w:val="22"/>
          <w14:textFill>
            <w14:solidFill>
              <w14:schemeClr w14:val="tx1"/>
            </w14:solidFill>
          </w14:textFill>
        </w:rPr>
        <w:t>：</w:t>
      </w:r>
      <w:r>
        <w:rPr>
          <w:rFonts w:ascii="Arial" w:hAnsi="Arial" w:cs="Arial"/>
          <w:color w:val="000000" w:themeColor="text1"/>
          <w:szCs w:val="21"/>
          <w14:textFill>
            <w14:solidFill>
              <w14:schemeClr w14:val="tx1"/>
            </w14:solidFill>
          </w14:textFill>
        </w:rPr>
        <w:t>投标文件上法定代表人或其授权代表人已按要求签字盖章。</w:t>
      </w:r>
    </w:p>
    <w:p w14:paraId="36A5DFB3">
      <w:pPr>
        <w:spacing w:before="120" w:line="288" w:lineRule="auto"/>
        <w:ind w:firstLine="442" w:firstLineChars="200"/>
        <w:rPr>
          <w:rFonts w:ascii="Arial" w:hAnsi="Arial" w:cs="Arial"/>
          <w:color w:val="000000" w:themeColor="text1"/>
          <w:szCs w:val="21"/>
          <w14:textFill>
            <w14:solidFill>
              <w14:schemeClr w14:val="tx1"/>
            </w14:solidFill>
          </w14:textFill>
        </w:rPr>
      </w:pPr>
      <w:r>
        <w:rPr>
          <w:rFonts w:ascii="Arial" w:hAnsi="Arial" w:cs="Arial"/>
          <w:b/>
          <w:bCs/>
          <w:color w:val="000000" w:themeColor="text1"/>
          <w:kern w:val="0"/>
          <w:sz w:val="22"/>
          <w:szCs w:val="22"/>
          <w14:textFill>
            <w14:solidFill>
              <w14:schemeClr w14:val="tx1"/>
            </w14:solidFill>
          </w14:textFill>
        </w:rPr>
        <w:t>2.1.2法定代表人身份证明及授权委托书：</w:t>
      </w:r>
      <w:r>
        <w:rPr>
          <w:rFonts w:ascii="Arial" w:hAnsi="Arial" w:cs="Arial"/>
          <w:color w:val="000000" w:themeColor="text1"/>
          <w:szCs w:val="21"/>
          <w14:textFill>
            <w14:solidFill>
              <w14:schemeClr w14:val="tx1"/>
            </w14:solidFill>
          </w14:textFill>
        </w:rPr>
        <w:t>供应商无授权代表时审查：法定代表人身份证明及附件，格式及附件见第六章投标文件格式要求；供应商有授权代表时审查：法定代表人授权委托书及附件，格式及附件见第六章投标文件格式要求；法定代表人身份证明及授权委托书须有效，符合招标文件规定的格式，签字或盖章齐全。</w:t>
      </w:r>
    </w:p>
    <w:p w14:paraId="2283A383">
      <w:pPr>
        <w:spacing w:before="120" w:line="288" w:lineRule="auto"/>
        <w:ind w:firstLine="442" w:firstLineChars="200"/>
        <w:rPr>
          <w:rFonts w:ascii="Arial" w:hAnsi="Arial" w:cs="Arial"/>
          <w:color w:val="000000" w:themeColor="text1"/>
          <w:szCs w:val="21"/>
          <w14:textFill>
            <w14:solidFill>
              <w14:schemeClr w14:val="tx1"/>
            </w14:solidFill>
          </w14:textFill>
        </w:rPr>
      </w:pPr>
      <w:r>
        <w:rPr>
          <w:rFonts w:ascii="Arial" w:hAnsi="Arial" w:cs="Arial"/>
          <w:b/>
          <w:bCs/>
          <w:color w:val="000000" w:themeColor="text1"/>
          <w:kern w:val="0"/>
          <w:sz w:val="22"/>
          <w:szCs w:val="22"/>
          <w14:textFill>
            <w14:solidFill>
              <w14:schemeClr w14:val="tx1"/>
            </w14:solidFill>
          </w14:textFill>
        </w:rPr>
        <w:t>2.1.3投标文件或者投标报价唯一性：</w:t>
      </w:r>
      <w:r>
        <w:rPr>
          <w:rFonts w:ascii="Arial" w:hAnsi="Arial" w:cs="Arial"/>
          <w:color w:val="000000" w:themeColor="text1"/>
          <w14:textFill>
            <w14:solidFill>
              <w14:schemeClr w14:val="tx1"/>
            </w14:solidFill>
          </w14:textFill>
        </w:rPr>
        <w:t>同</w:t>
      </w:r>
      <w:r>
        <w:rPr>
          <w:rFonts w:ascii="Arial" w:hAnsi="Arial" w:cs="Arial"/>
          <w:color w:val="000000" w:themeColor="text1"/>
          <w:szCs w:val="21"/>
          <w14:textFill>
            <w14:solidFill>
              <w14:schemeClr w14:val="tx1"/>
            </w14:solidFill>
          </w14:textFill>
        </w:rPr>
        <w:t>一供应商不得提交两个以上不同的投标文件或者投标报价，但招标文件要求提交备选投标的除外。</w:t>
      </w:r>
    </w:p>
    <w:p w14:paraId="62D9E493">
      <w:pPr>
        <w:spacing w:before="120" w:line="288" w:lineRule="auto"/>
        <w:ind w:firstLine="442" w:firstLineChars="200"/>
        <w:rPr>
          <w:rFonts w:ascii="Arial" w:hAnsi="Arial" w:cs="Arial"/>
          <w:color w:val="000000" w:themeColor="text1"/>
          <w:szCs w:val="21"/>
          <w14:textFill>
            <w14:solidFill>
              <w14:schemeClr w14:val="tx1"/>
            </w14:solidFill>
          </w14:textFill>
        </w:rPr>
      </w:pPr>
      <w:r>
        <w:rPr>
          <w:rFonts w:ascii="Arial" w:hAnsi="Arial" w:cs="Arial"/>
          <w:b/>
          <w:bCs/>
          <w:color w:val="000000" w:themeColor="text1"/>
          <w:kern w:val="0"/>
          <w:sz w:val="22"/>
          <w:szCs w:val="22"/>
          <w14:textFill>
            <w14:solidFill>
              <w14:schemeClr w14:val="tx1"/>
            </w14:solidFill>
          </w14:textFill>
        </w:rPr>
        <w:t>2.1.4投标报价：</w:t>
      </w:r>
      <w:r>
        <w:rPr>
          <w:rFonts w:ascii="Arial" w:hAnsi="Arial" w:cs="Arial"/>
          <w:color w:val="000000" w:themeColor="text1"/>
          <w:szCs w:val="21"/>
          <w14:textFill>
            <w14:solidFill>
              <w14:schemeClr w14:val="tx1"/>
            </w14:solidFill>
          </w14:textFill>
        </w:rPr>
        <w:t>报价超出采购预算金额或最高限价（如有）或控制单价（如有）的，否决其投标</w:t>
      </w:r>
      <w:r>
        <w:rPr>
          <w:rFonts w:ascii="Arial" w:hAnsi="Arial" w:cs="Arial"/>
          <w:color w:val="000000" w:themeColor="text1"/>
          <w14:textFill>
            <w14:solidFill>
              <w14:schemeClr w14:val="tx1"/>
            </w14:solidFill>
          </w14:textFill>
        </w:rPr>
        <w:t>。</w:t>
      </w:r>
      <w:r>
        <w:rPr>
          <w:rFonts w:ascii="Arial" w:hAnsi="Arial" w:cs="Arial"/>
          <w:color w:val="000000" w:themeColor="text1"/>
          <w:szCs w:val="21"/>
          <w14:textFill>
            <w14:solidFill>
              <w14:schemeClr w14:val="tx1"/>
            </w14:solidFill>
          </w14:textFill>
        </w:rPr>
        <w:t>提交选择性报价的，否决其投标。</w:t>
      </w:r>
    </w:p>
    <w:p w14:paraId="2436B644">
      <w:pPr>
        <w:spacing w:before="120" w:line="288" w:lineRule="auto"/>
        <w:ind w:firstLine="442" w:firstLineChars="200"/>
        <w:rPr>
          <w:rFonts w:ascii="Arial" w:hAnsi="Arial" w:cs="Arial"/>
          <w:b/>
          <w:bCs/>
          <w:color w:val="000000" w:themeColor="text1"/>
          <w:kern w:val="0"/>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2.2</w:t>
      </w:r>
      <w:r>
        <w:rPr>
          <w:rFonts w:ascii="Arial" w:hAnsi="Arial" w:cs="Arial"/>
          <w:b/>
          <w:bCs/>
          <w:color w:val="000000" w:themeColor="text1"/>
          <w:kern w:val="0"/>
          <w:sz w:val="22"/>
          <w:szCs w:val="22"/>
          <w14:textFill>
            <w14:solidFill>
              <w14:schemeClr w14:val="tx1"/>
            </w14:solidFill>
          </w14:textFill>
        </w:rPr>
        <w:t>完整性审查</w:t>
      </w:r>
    </w:p>
    <w:p w14:paraId="669EBE77">
      <w:pPr>
        <w:spacing w:before="120" w:line="320" w:lineRule="atLeast"/>
        <w:ind w:firstLine="43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 w:val="22"/>
          <w:szCs w:val="22"/>
          <w14:textFill>
            <w14:solidFill>
              <w14:schemeClr w14:val="tx1"/>
            </w14:solidFill>
          </w14:textFill>
        </w:rPr>
        <w:t>对招标文件的响应程度审查：</w:t>
      </w:r>
      <w:r>
        <w:rPr>
          <w:rFonts w:ascii="Arial" w:hAnsi="Arial" w:cs="Arial"/>
          <w:color w:val="000000" w:themeColor="text1"/>
          <w:kern w:val="0"/>
          <w:szCs w:val="21"/>
          <w14:textFill>
            <w14:solidFill>
              <w14:schemeClr w14:val="tx1"/>
            </w14:solidFill>
          </w14:textFill>
        </w:rPr>
        <w:t>（1）</w:t>
      </w:r>
      <w:r>
        <w:rPr>
          <w:rFonts w:ascii="Arial" w:hAnsi="Arial" w:cs="Arial"/>
          <w:color w:val="000000" w:themeColor="text1"/>
          <w:szCs w:val="21"/>
          <w:lang w:val="zh-CN"/>
          <w14:textFill>
            <w14:solidFill>
              <w14:schemeClr w14:val="tx1"/>
            </w14:solidFill>
          </w14:textFill>
        </w:rPr>
        <w:t>实质性条款响应：对招标文件中所有标注▲号的实质性条款要求响应均无负偏离。（</w:t>
      </w:r>
      <w:r>
        <w:rPr>
          <w:rFonts w:ascii="Arial" w:hAnsi="Arial" w:cs="Arial"/>
          <w:color w:val="000000" w:themeColor="text1"/>
          <w:szCs w:val="21"/>
          <w14:textFill>
            <w14:solidFill>
              <w14:schemeClr w14:val="tx1"/>
            </w14:solidFill>
          </w14:textFill>
        </w:rPr>
        <w:t>2</w:t>
      </w:r>
      <w:r>
        <w:rPr>
          <w:rFonts w:ascii="Arial" w:hAnsi="Arial" w:cs="Arial"/>
          <w:color w:val="000000" w:themeColor="text1"/>
          <w:szCs w:val="21"/>
          <w:lang w:val="zh-CN"/>
          <w14:textFill>
            <w14:solidFill>
              <w14:schemeClr w14:val="tx1"/>
            </w14:solidFill>
          </w14:textFill>
        </w:rPr>
        <w:t>）</w:t>
      </w:r>
      <w:r>
        <w:rPr>
          <w:rFonts w:ascii="Arial" w:hAnsi="Arial" w:cs="Arial"/>
          <w:color w:val="000000" w:themeColor="text1"/>
          <w:szCs w:val="21"/>
          <w14:textFill>
            <w14:solidFill>
              <w14:schemeClr w14:val="tx1"/>
            </w14:solidFill>
          </w14:textFill>
        </w:rPr>
        <w:t>投标有效期：满足招标文件规定。</w:t>
      </w:r>
    </w:p>
    <w:p w14:paraId="305B6E79">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3、强制性采购要求（仅适用于货物采购项目）</w:t>
      </w:r>
    </w:p>
    <w:p w14:paraId="0F8493F0">
      <w:pPr>
        <w:spacing w:before="120" w:line="276" w:lineRule="auto"/>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（1）根据《财政部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投标货物必须使用政府强制采购的节能产品，否则投标文件作无效处理；属于品目清单内非标注“★”的产品时，应优先采购。</w:t>
      </w:r>
    </w:p>
    <w:p w14:paraId="1D29B882">
      <w:pPr>
        <w:spacing w:before="120" w:line="276" w:lineRule="auto"/>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投标人在投标文件中应主动列明供货范围中属于网络安全专用产品的投标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402FC53C">
      <w:pPr>
        <w:spacing w:before="120" w:line="276" w:lineRule="auto"/>
        <w:ind w:firstLine="420" w:firstLineChars="200"/>
        <w:rPr>
          <w:rFonts w:ascii="Arial" w:hAnsi="Arial" w:cs="Arial"/>
          <w:color w:val="000000" w:themeColor="text1"/>
          <w14:textFill>
            <w14:solidFill>
              <w14:schemeClr w14:val="tx1"/>
            </w14:solidFill>
          </w14:textFill>
        </w:rPr>
      </w:pPr>
    </w:p>
    <w:p w14:paraId="3AFF11E6">
      <w:pPr>
        <w:spacing w:before="120" w:line="276" w:lineRule="auto"/>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注：网络安全专用产品在中共中央网络安全和信息化委员会办公室网站上发布的《网络关键设备和网络安全专用产品目录》中查询。 “网络安全专用产品”内“产品类别”共34类：数据备份与恢复产品、防火墙、入侵检测系统（IDS）、入侵防御系统（IPS）、网络和终端隔离产品、反垃圾邮件产品、网络综合审计产品、网络脆弱性扫描产品、安全数据库系统、网站恢复产品、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4A4704AA">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4、相同品牌投标有效性认定</w:t>
      </w:r>
    </w:p>
    <w:p w14:paraId="103F3996">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不同供应商提供的投标产品品牌相同时，评标委员会须根据以下规定评审</w:t>
      </w:r>
      <w:r>
        <w:rPr>
          <w:rFonts w:ascii="Arial" w:hAnsi="Arial" w:cs="Arial"/>
          <w:bCs/>
          <w:color w:val="000000" w:themeColor="text1"/>
          <w:kern w:val="0"/>
          <w:szCs w:val="21"/>
          <w14:textFill>
            <w14:solidFill>
              <w14:schemeClr w14:val="tx1"/>
            </w14:solidFill>
          </w14:textFill>
        </w:rPr>
        <w:t>相同品牌的投标有效性</w:t>
      </w:r>
      <w:r>
        <w:rPr>
          <w:rFonts w:ascii="Arial" w:hAnsi="Arial" w:cs="Arial"/>
          <w:color w:val="000000" w:themeColor="text1"/>
          <w14:textFill>
            <w14:solidFill>
              <w14:schemeClr w14:val="tx1"/>
            </w14:solidFill>
          </w14:textFill>
        </w:rPr>
        <w:t>。</w:t>
      </w:r>
    </w:p>
    <w:p w14:paraId="30367843">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（1）如若提供相同品牌产品且通过资格审查、符合性审查的不同供应商参加同一合同项下投标的，按一家供应商计算，评审后得分最高的同品牌供应商获得中标供应商推荐资格；评审得分相同的，</w:t>
      </w:r>
      <w:r>
        <w:rPr>
          <w:rFonts w:ascii="Arial" w:hAnsi="Arial" w:cs="Arial"/>
          <w:color w:val="000000" w:themeColor="text1"/>
          <w14:textFill>
            <w14:solidFill>
              <w14:schemeClr w14:val="tx1"/>
            </w14:solidFill>
          </w14:textFill>
        </w:rPr>
        <w:t>由（</w:t>
      </w:r>
      <w:r>
        <w:rPr>
          <w:rFonts w:ascii="Arial" w:hAnsi="Arial" w:cs="Arial"/>
          <w:color w:val="000000" w:themeColor="text1"/>
          <w:szCs w:val="21"/>
          <w14:textFill>
            <w14:solidFill>
              <w14:schemeClr w14:val="tx1"/>
            </w14:solidFill>
          </w14:textFill>
        </w:rPr>
        <w:sym w:font="Wingdings 2" w:char="F052"/>
      </w:r>
      <w:r>
        <w:rPr>
          <w:rFonts w:ascii="Arial" w:hAnsi="Arial" w:cs="Arial"/>
          <w:color w:val="000000" w:themeColor="text1"/>
          <w14:textFill>
            <w14:solidFill>
              <w14:schemeClr w14:val="tx1"/>
            </w14:solidFill>
          </w14:textFill>
        </w:rPr>
        <w:t>采购人</w:t>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sym w:font="Wingdings 2" w:char="F0A3"/>
      </w:r>
      <w:r>
        <w:rPr>
          <w:rFonts w:ascii="Arial" w:hAnsi="Arial" w:cs="Arial"/>
          <w:color w:val="000000" w:themeColor="text1"/>
          <w14:textFill>
            <w14:solidFill>
              <w14:schemeClr w14:val="tx1"/>
            </w14:solidFill>
          </w14:textFill>
        </w:rPr>
        <w:t>采购人委托评标委员会）按照报价低者推荐</w:t>
      </w:r>
      <w:r>
        <w:rPr>
          <w:rFonts w:ascii="Arial" w:hAnsi="Arial" w:cs="Arial"/>
          <w:color w:val="000000" w:themeColor="text1"/>
          <w:szCs w:val="21"/>
          <w14:textFill>
            <w14:solidFill>
              <w14:schemeClr w14:val="tx1"/>
            </w14:solidFill>
          </w14:textFill>
        </w:rPr>
        <w:t>中标供应商资格</w:t>
      </w:r>
      <w:r>
        <w:rPr>
          <w:rFonts w:ascii="Arial" w:hAnsi="Arial" w:cs="Arial"/>
          <w:color w:val="000000" w:themeColor="text1"/>
          <w14:textFill>
            <w14:solidFill>
              <w14:schemeClr w14:val="tx1"/>
            </w14:solidFill>
          </w14:textFill>
        </w:rPr>
        <w:t>，如报价仍相同，则按技术部分得分高者推荐</w:t>
      </w:r>
      <w:r>
        <w:rPr>
          <w:rFonts w:ascii="Arial" w:hAnsi="Arial" w:cs="Arial"/>
          <w:color w:val="000000" w:themeColor="text1"/>
          <w:szCs w:val="21"/>
          <w14:textFill>
            <w14:solidFill>
              <w14:schemeClr w14:val="tx1"/>
            </w14:solidFill>
          </w14:textFill>
        </w:rPr>
        <w:t>中标供应商资格</w:t>
      </w:r>
      <w:r>
        <w:rPr>
          <w:rFonts w:ascii="Arial" w:hAnsi="Arial" w:cs="Arial"/>
          <w:color w:val="000000" w:themeColor="text1"/>
          <w14:textFill>
            <w14:solidFill>
              <w14:schemeClr w14:val="tx1"/>
            </w14:solidFill>
          </w14:textFill>
        </w:rPr>
        <w:t>，仍相同的，则按商务部分得分高者推荐</w:t>
      </w:r>
      <w:r>
        <w:rPr>
          <w:rFonts w:ascii="Arial" w:hAnsi="Arial" w:cs="Arial"/>
          <w:color w:val="000000" w:themeColor="text1"/>
          <w:szCs w:val="21"/>
          <w14:textFill>
            <w14:solidFill>
              <w14:schemeClr w14:val="tx1"/>
            </w14:solidFill>
          </w14:textFill>
        </w:rPr>
        <w:t>中标供应商资格</w:t>
      </w:r>
      <w:r>
        <w:rPr>
          <w:rFonts w:ascii="Arial" w:hAnsi="Arial" w:cs="Arial"/>
          <w:color w:val="000000" w:themeColor="text1"/>
          <w14:textFill>
            <w14:solidFill>
              <w14:schemeClr w14:val="tx1"/>
            </w14:solidFill>
          </w14:textFill>
        </w:rPr>
        <w:t>，若仍相同，则按业绩得分高者推荐中标供应商资格，其他同品牌供应商不作为中标候选人。</w:t>
      </w:r>
    </w:p>
    <w:p w14:paraId="01001702">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（2）非单一产品采购项目，采购人应当确定核心产品，并在招标文件中载明。多家供应商提供的核心产品品牌相同的，按上述规定处理。核心产品的定义见“项目采购需求”规定。</w:t>
      </w:r>
    </w:p>
    <w:p w14:paraId="64A6A5EF">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5、串通投标的认定</w:t>
      </w:r>
    </w:p>
    <w:p w14:paraId="4A32B135">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评标委员会须根据以下规定评审</w:t>
      </w:r>
      <w:r>
        <w:rPr>
          <w:rFonts w:ascii="Arial" w:hAnsi="Arial" w:cs="Arial"/>
          <w:bCs/>
          <w:color w:val="000000" w:themeColor="text1"/>
          <w:kern w:val="0"/>
          <w:szCs w:val="21"/>
          <w14:textFill>
            <w14:solidFill>
              <w14:schemeClr w14:val="tx1"/>
            </w14:solidFill>
          </w14:textFill>
        </w:rPr>
        <w:t>供应商是否有串通投标的行为，并按规定判定投标是否有效</w:t>
      </w:r>
      <w:r>
        <w:rPr>
          <w:rFonts w:ascii="Arial" w:hAnsi="Arial" w:cs="Arial"/>
          <w:color w:val="000000" w:themeColor="text1"/>
          <w14:textFill>
            <w14:solidFill>
              <w14:schemeClr w14:val="tx1"/>
            </w14:solidFill>
          </w14:textFill>
        </w:rPr>
        <w:t>。</w:t>
      </w:r>
    </w:p>
    <w:p w14:paraId="7C2967FB">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79" w:name="_Hlk19122026"/>
      <w:r>
        <w:rPr>
          <w:rFonts w:ascii="Arial" w:hAnsi="Arial" w:cs="Arial"/>
          <w:color w:val="000000" w:themeColor="text1"/>
          <w:szCs w:val="21"/>
          <w14:textFill>
            <w14:solidFill>
              <w14:schemeClr w14:val="tx1"/>
            </w14:solidFill>
          </w14:textFill>
        </w:rPr>
        <w:t>（1）</w:t>
      </w:r>
      <w:bookmarkEnd w:id="79"/>
      <w:r>
        <w:rPr>
          <w:rFonts w:ascii="Arial" w:hAnsi="Arial" w:cs="Arial"/>
          <w:color w:val="000000" w:themeColor="text1"/>
          <w:szCs w:val="21"/>
          <w14:textFill>
            <w14:solidFill>
              <w14:schemeClr w14:val="tx1"/>
            </w14:solidFill>
          </w14:textFill>
        </w:rPr>
        <w:t>根据桂财采[2016]42号《关于防治政府采购招标中串通投标行为的通知》规定，出现下述情况的，相关供应商的投标作无效投标处理。</w:t>
      </w:r>
    </w:p>
    <w:p w14:paraId="4A2B6975">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80" w:name="_Hlk19122039"/>
      <w:r>
        <w:rPr>
          <w:rFonts w:ascii="Arial" w:hAnsi="Arial" w:cs="Arial"/>
          <w:color w:val="000000" w:themeColor="text1"/>
          <w:szCs w:val="21"/>
          <w14:textFill>
            <w14:solidFill>
              <w14:schemeClr w14:val="tx1"/>
            </w14:solidFill>
          </w14:textFill>
        </w:rPr>
        <w:t>①单位负责人为同一人或者存在直接控股、管理关系，参加同一合同项下政府采购活动的不同供应商。</w:t>
      </w:r>
    </w:p>
    <w:p w14:paraId="102DD01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②授权给供应商后参加同一合同项（分标、分包）投标的生产厂商。</w:t>
      </w:r>
    </w:p>
    <w:p w14:paraId="4AE3B9C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③视为或被认定为串通投标的相关供应商。</w:t>
      </w:r>
    </w:p>
    <w:bookmarkEnd w:id="80"/>
    <w:p w14:paraId="094A296D">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81" w:name="_Hlk19122058"/>
      <w:r>
        <w:rPr>
          <w:rFonts w:ascii="Arial" w:hAnsi="Arial" w:cs="Arial"/>
          <w:color w:val="000000" w:themeColor="text1"/>
          <w:szCs w:val="21"/>
          <w14:textFill>
            <w14:solidFill>
              <w14:schemeClr w14:val="tx1"/>
            </w14:solidFill>
          </w14:textFill>
        </w:rPr>
        <w:t>（2）</w:t>
      </w:r>
      <w:bookmarkEnd w:id="81"/>
      <w:r>
        <w:rPr>
          <w:rFonts w:ascii="Arial" w:hAnsi="Arial" w:cs="Arial"/>
          <w:color w:val="000000" w:themeColor="text1"/>
          <w:szCs w:val="21"/>
          <w14:textFill>
            <w14:solidFill>
              <w14:schemeClr w14:val="tx1"/>
            </w14:solidFill>
          </w14:textFill>
        </w:rPr>
        <w:t>根据桂财采[2016]42号《关于防治政府采购招标中串通投标行为的通知》规定，有下列情形之一的视为供应商相互串通投标，投标文件将被视为无效。</w:t>
      </w:r>
    </w:p>
    <w:p w14:paraId="2010454E">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82" w:name="_Hlk19122048"/>
      <w:r>
        <w:rPr>
          <w:rFonts w:ascii="Arial" w:hAnsi="Arial" w:cs="Arial"/>
          <w:color w:val="000000" w:themeColor="text1"/>
          <w:szCs w:val="21"/>
          <w14:textFill>
            <w14:solidFill>
              <w14:schemeClr w14:val="tx1"/>
            </w14:solidFill>
          </w14:textFill>
        </w:rPr>
        <w:t>①不同供应商的投标文件由同一单位或者个人编制；</w:t>
      </w:r>
    </w:p>
    <w:p w14:paraId="6F4FA94B">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②不同供应商委托同一单位或者个人办理投标事宜；</w:t>
      </w:r>
    </w:p>
    <w:p w14:paraId="57853E5B">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③不同的供应商的投标文件载明的项目管理员为同一个人；</w:t>
      </w:r>
    </w:p>
    <w:p w14:paraId="5ACF7F09">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④不同供应商的投标文件异常一致或投标报价呈规律性差异；</w:t>
      </w:r>
    </w:p>
    <w:p w14:paraId="59D06D4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⑤不同供应商的投标文件相互混装；</w:t>
      </w:r>
    </w:p>
    <w:bookmarkEnd w:id="82"/>
    <w:p w14:paraId="3DFB6E29">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83" w:name="_Hlk19122102"/>
      <w:r>
        <w:rPr>
          <w:rFonts w:ascii="Arial" w:hAnsi="Arial" w:cs="Arial"/>
          <w:color w:val="000000" w:themeColor="text1"/>
          <w:szCs w:val="21"/>
          <w14:textFill>
            <w14:solidFill>
              <w14:schemeClr w14:val="tx1"/>
            </w14:solidFill>
          </w14:textFill>
        </w:rPr>
        <w:t>（3）</w:t>
      </w:r>
      <w:bookmarkEnd w:id="83"/>
      <w:r>
        <w:rPr>
          <w:rFonts w:ascii="Arial" w:hAnsi="Arial" w:cs="Arial"/>
          <w:color w:val="000000" w:themeColor="text1"/>
          <w:szCs w:val="21"/>
          <w14:textFill>
            <w14:solidFill>
              <w14:schemeClr w14:val="tx1"/>
            </w14:solidFill>
          </w14:textFill>
        </w:rPr>
        <w:t>根据桂财采[2016]42号《关于防治政府采购招标中串通投标行为的通知》规定，供应商有下列情形之一的，属于恶意串通行为，投标文件将被视为无效。</w:t>
      </w:r>
    </w:p>
    <w:p w14:paraId="52F41B12">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84" w:name="_Hlk19122095"/>
      <w:r>
        <w:rPr>
          <w:rFonts w:ascii="Arial" w:hAnsi="Arial" w:cs="Arial"/>
          <w:color w:val="000000" w:themeColor="text1"/>
          <w:szCs w:val="21"/>
          <w14:textFill>
            <w14:solidFill>
              <w14:schemeClr w14:val="tx1"/>
            </w14:solidFill>
          </w14:textFill>
        </w:rPr>
        <w:t>①供应商直接或者间接从采购人或者采购代理机构处获得其他供应商的相关信息并修改其投标文件或者响应文件；</w:t>
      </w:r>
    </w:p>
    <w:p w14:paraId="7A0C4F1B">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②供应商按照采购人或者采购代理机构的授意撤换、修改投标文件或者响应文件;；</w:t>
      </w:r>
    </w:p>
    <w:p w14:paraId="4DF6577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③供应商之间协商报价、技术方案等投标文件或者响应文件的实质性内容；</w:t>
      </w:r>
    </w:p>
    <w:p w14:paraId="4D8EAF7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④属于同一集团、协会、商会等组织成员的供应商按照该组织要求协同参加政府采购活动；</w:t>
      </w:r>
    </w:p>
    <w:p w14:paraId="3DD25388">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⑤供应商之间事先约定一致抬高或者压低投标报价，或者在招标项目中事先约定轮流以高价位或者低价位中标，或者事先约定由某一特定供应商中标，然后再参加投标；</w:t>
      </w:r>
    </w:p>
    <w:p w14:paraId="10916810">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⑥供应商之间商定部分供应商放弃参加政府采购活动或者放弃中标；</w:t>
      </w:r>
    </w:p>
    <w:p w14:paraId="5D938C0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⑦供应商与采购人或者采购代理机构之间、供应商相互之间，为谋求特定供应商中标或者排斥其他供应商的其他串通行为。</w:t>
      </w:r>
    </w:p>
    <w:bookmarkEnd w:id="84"/>
    <w:p w14:paraId="2222D3CB">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6、投标有效性的认定</w:t>
      </w:r>
    </w:p>
    <w:p w14:paraId="42B1DD61">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85" w:name="_Hlk19113301"/>
      <w:r>
        <w:rPr>
          <w:rFonts w:ascii="Arial" w:hAnsi="Arial" w:cs="Arial"/>
          <w:color w:val="000000" w:themeColor="text1"/>
          <w:szCs w:val="21"/>
          <w14:textFill>
            <w14:solidFill>
              <w14:schemeClr w14:val="tx1"/>
            </w14:solidFill>
          </w14:textFill>
        </w:rPr>
        <w:t>（1）资格审查时，如发现下列情形之一的，投标文件将被视为无效：</w:t>
      </w:r>
    </w:p>
    <w:p w14:paraId="0AC47925">
      <w:pPr>
        <w:spacing w:before="120" w:line="320" w:lineRule="atLeast"/>
        <w:ind w:firstLine="420" w:firstLineChars="200"/>
        <w:rPr>
          <w:rStyle w:val="155"/>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①</w:t>
      </w:r>
      <w:r>
        <w:rPr>
          <w:rFonts w:ascii="Arial" w:hAnsi="Arial" w:cs="Arial"/>
          <w:color w:val="000000" w:themeColor="text1"/>
          <w14:textFill>
            <w14:solidFill>
              <w14:schemeClr w14:val="tx1"/>
            </w14:solidFill>
          </w14:textFill>
        </w:rPr>
        <w:t>不具备招标文件中规定的资格要求的；</w:t>
      </w:r>
    </w:p>
    <w:p w14:paraId="27D708B1">
      <w:pPr>
        <w:spacing w:before="120" w:line="320" w:lineRule="atLeast"/>
        <w:ind w:firstLine="420" w:firstLineChars="200"/>
        <w:rPr>
          <w:rStyle w:val="155"/>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②投标文件签署（签名）、盖章不符合招标文件要求的</w:t>
      </w:r>
      <w:r>
        <w:rPr>
          <w:rFonts w:ascii="Arial" w:hAnsi="Arial" w:cs="Arial"/>
          <w:color w:val="000000" w:themeColor="text1"/>
          <w14:textFill>
            <w14:solidFill>
              <w14:schemeClr w14:val="tx1"/>
            </w14:solidFill>
          </w14:textFill>
        </w:rPr>
        <w:t>；</w:t>
      </w:r>
    </w:p>
    <w:p w14:paraId="4051871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（2）在符合性审查、商务和技术评估时，如发现下列情形之一的，投标文件将被视为无效：</w:t>
      </w:r>
    </w:p>
    <w:p w14:paraId="30754B26">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①</w:t>
      </w:r>
      <w:r>
        <w:rPr>
          <w:rFonts w:ascii="Arial" w:hAnsi="Arial" w:cs="Arial"/>
          <w:color w:val="000000" w:themeColor="text1"/>
          <w14:textFill>
            <w14:solidFill>
              <w14:schemeClr w14:val="tx1"/>
            </w14:solidFill>
          </w14:textFill>
        </w:rPr>
        <w:t>投标文件未按招标文件要求签署、盖章的；</w:t>
      </w:r>
    </w:p>
    <w:p w14:paraId="598C16DA">
      <w:pPr>
        <w:spacing w:before="120" w:line="320" w:lineRule="atLeast"/>
        <w:ind w:firstLine="420" w:firstLineChars="200"/>
        <w:rPr>
          <w:rStyle w:val="155"/>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②</w:t>
      </w:r>
      <w:r>
        <w:rPr>
          <w:rFonts w:ascii="Arial" w:hAnsi="Arial" w:cs="Arial"/>
          <w:color w:val="000000" w:themeColor="text1"/>
          <w14:textFill>
            <w14:solidFill>
              <w14:schemeClr w14:val="tx1"/>
            </w14:solidFill>
          </w14:textFill>
        </w:rPr>
        <w:t>投标文件未按招标文件要求提供第六章要求“必须提供”的内容的；</w:t>
      </w:r>
    </w:p>
    <w:p w14:paraId="65936419">
      <w:pPr>
        <w:spacing w:before="120" w:line="320" w:lineRule="atLeast"/>
        <w:ind w:firstLine="420" w:firstLineChars="200"/>
        <w:rPr>
          <w:rStyle w:val="155"/>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③</w:t>
      </w:r>
      <w:r>
        <w:rPr>
          <w:rFonts w:ascii="Arial" w:hAnsi="Arial" w:cs="Arial"/>
          <w:color w:val="000000" w:themeColor="text1"/>
          <w14:textFill>
            <w14:solidFill>
              <w14:schemeClr w14:val="tx1"/>
            </w14:solidFill>
          </w14:textFill>
        </w:rPr>
        <w:t>报价超过招标文件中规定的预算金额或者最高限价的；</w:t>
      </w:r>
    </w:p>
    <w:p w14:paraId="5FC265F5">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④</w:t>
      </w:r>
      <w:r>
        <w:rPr>
          <w:rFonts w:ascii="Arial" w:hAnsi="Arial" w:cs="Arial"/>
          <w:color w:val="000000" w:themeColor="text1"/>
          <w14:textFill>
            <w14:solidFill>
              <w14:schemeClr w14:val="tx1"/>
            </w14:solidFill>
          </w14:textFill>
        </w:rPr>
        <w:t>投标文件含有采购人不能接受的附加条件的；</w:t>
      </w:r>
    </w:p>
    <w:p w14:paraId="6B6AE65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⑤评审过程中发现投标文件中提供虚假材料的；</w:t>
      </w:r>
    </w:p>
    <w:p w14:paraId="2C905D09">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⑥法律、法规和招标文件规定的其他无效情形。</w:t>
      </w:r>
    </w:p>
    <w:bookmarkEnd w:id="85"/>
    <w:p w14:paraId="2588478F">
      <w:pPr>
        <w:spacing w:before="120" w:line="320" w:lineRule="atLeast"/>
        <w:ind w:firstLine="422" w:firstLineChars="200"/>
        <w:rPr>
          <w:rFonts w:ascii="Arial" w:hAnsi="Arial" w:cs="Arial"/>
          <w:b/>
          <w:bCs/>
          <w:color w:val="000000" w:themeColor="text1"/>
          <w:szCs w:val="21"/>
          <w14:textFill>
            <w14:solidFill>
              <w14:schemeClr w14:val="tx1"/>
            </w14:solidFill>
          </w14:textFill>
        </w:rPr>
      </w:pPr>
      <w:bookmarkStart w:id="86" w:name="_Hlk19113313"/>
      <w:r>
        <w:rPr>
          <w:rFonts w:ascii="Arial" w:hAnsi="Arial" w:cs="Arial"/>
          <w:b/>
          <w:bCs/>
          <w:color w:val="000000" w:themeColor="text1"/>
          <w:szCs w:val="21"/>
          <w14:textFill>
            <w14:solidFill>
              <w14:schemeClr w14:val="tx1"/>
            </w14:solidFill>
          </w14:textFill>
        </w:rPr>
        <w:t>（3）根据财库〔2019〕38号《关于促进政府采购公平竞争优化营商环境的通知》以及桂财采〔2019〕41号 《广西壮族自治区财政厅转发财政部关于促进政府采购公平竞争优化营商环境的通知》规定，评标委员会认定投标有效性时不得因装订、纸张、文件排序等非实质性的格式、形式问题否决投标，从而限制和影响供应商投标（响应）。</w:t>
      </w:r>
    </w:p>
    <w:bookmarkEnd w:id="86"/>
    <w:p w14:paraId="3AF75040">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bookmarkStart w:id="87" w:name="_Hlk19176155"/>
      <w:r>
        <w:rPr>
          <w:rFonts w:ascii="Arial" w:hAnsi="Arial" w:cs="Arial"/>
          <w:b/>
          <w:bCs/>
          <w:color w:val="000000" w:themeColor="text1"/>
          <w:kern w:val="0"/>
          <w:szCs w:val="21"/>
          <w14:textFill>
            <w14:solidFill>
              <w14:schemeClr w14:val="tx1"/>
            </w14:solidFill>
          </w14:textFill>
        </w:rPr>
        <w:t>7、澄清、说明或补正</w:t>
      </w:r>
    </w:p>
    <w:p w14:paraId="6A44AC0A">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88" w:name="_Hlk19113333"/>
      <w:r>
        <w:rPr>
          <w:rFonts w:ascii="Arial" w:hAnsi="Arial" w:cs="Arial"/>
          <w:color w:val="000000" w:themeColor="text1"/>
          <w:szCs w:val="21"/>
          <w14:textFill>
            <w14:solidFill>
              <w14:schemeClr w14:val="tx1"/>
            </w14:solidFill>
          </w14:textFill>
        </w:rPr>
        <w:t>对投标文件中含义不明确、同类问题表述不一致或者有明显文字和计算错误的内容，评标委员会可要求供应商在合理时间内通过在线询标、电话、电子邮件或传真等不见面、不接触的方式作出必要的澄清、说明或者纠正。内容不得超出投标文件的范围或者改变投标文件的实质性内容。逾期未做澄清、说明或者纠正的，经电话催告仍不澄清的，视为放弃。</w:t>
      </w:r>
    </w:p>
    <w:bookmarkEnd w:id="88"/>
    <w:p w14:paraId="6399E05B">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bookmarkStart w:id="89" w:name="_Hlk19113363"/>
      <w:r>
        <w:rPr>
          <w:rFonts w:ascii="Arial" w:hAnsi="Arial" w:cs="Arial"/>
          <w:b/>
          <w:bCs/>
          <w:color w:val="000000" w:themeColor="text1"/>
          <w:kern w:val="0"/>
          <w:szCs w:val="21"/>
          <w14:textFill>
            <w14:solidFill>
              <w14:schemeClr w14:val="tx1"/>
            </w14:solidFill>
          </w14:textFill>
        </w:rPr>
        <w:t>8、报价修正</w:t>
      </w:r>
    </w:p>
    <w:p w14:paraId="6CAAB5D9">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投标文件报价如果出现计算或表达上的错误，修正错误的原则如下：</w:t>
      </w:r>
    </w:p>
    <w:p w14:paraId="48A28507">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（1）投标文件中开标一览表（报价表）内容与投标文件中相应内容不一致的，以开标一览表（报价表）为准；</w:t>
      </w:r>
    </w:p>
    <w:p w14:paraId="33EB8A71">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（2）大写金额和小写金额不一致的，以大写金额为准；</w:t>
      </w:r>
    </w:p>
    <w:p w14:paraId="73C3636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（3）单价金额小数点或者百分比有明显错位的，以开标一览表的总价为准，并修改单价；</w:t>
      </w:r>
    </w:p>
    <w:p w14:paraId="32EEB44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（4）总价金额与按单价汇总金额不一致的，以单价金额计算结果为准。</w:t>
      </w:r>
    </w:p>
    <w:p w14:paraId="76DE4D0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同时出现两种以上不一致的，按照上述顺序修正。修正后的报价按照上述“7、澄清、说明或补正”的规定经供应商确认后产生约束力，供应商不确认的，其投标无效。</w:t>
      </w:r>
    </w:p>
    <w:bookmarkEnd w:id="87"/>
    <w:p w14:paraId="0F887E5C">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9、过低报价合理性的审查</w:t>
      </w:r>
    </w:p>
    <w:p w14:paraId="253D2670">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highlight w:val="none"/>
          <w14:textFill>
            <w14:solidFill>
              <w14:schemeClr w14:val="tx1"/>
            </w14:solidFill>
          </w14:textFill>
        </w:rPr>
        <w:t>评标委员会认为</w:t>
      </w:r>
      <w:r>
        <w:rPr>
          <w:rFonts w:hint="eastAsia"/>
          <w:color w:val="000000" w:themeColor="text1"/>
          <w:highlight w:val="none"/>
          <w14:textFill>
            <w14:solidFill>
              <w14:schemeClr w14:val="tx1"/>
            </w14:solidFill>
          </w14:textFill>
        </w:rPr>
        <w:t>投标人的</w:t>
      </w:r>
      <w:r>
        <w:rPr>
          <w:rFonts w:hint="eastAsia"/>
          <w:color w:val="000000" w:themeColor="text1"/>
          <w:highlight w:val="none"/>
          <w:lang w:val="en-US" w:eastAsia="zh-CN"/>
          <w14:textFill>
            <w14:solidFill>
              <w14:schemeClr w14:val="tx1"/>
            </w14:solidFill>
          </w14:textFill>
        </w:rPr>
        <w:t>报价</w:t>
      </w:r>
      <w:r>
        <w:rPr>
          <w:rFonts w:hint="eastAsia"/>
          <w:color w:val="000000" w:themeColor="text1"/>
          <w:highlight w:val="none"/>
          <w14:textFill>
            <w14:solidFill>
              <w14:schemeClr w14:val="tx1"/>
            </w14:solidFill>
          </w14:textFill>
        </w:rPr>
        <w:t>存在异常低价问题</w:t>
      </w:r>
      <w:r>
        <w:rPr>
          <w:rFonts w:hint="eastAsia"/>
          <w:color w:val="000000" w:themeColor="text1"/>
          <w:highlight w:val="none"/>
          <w:lang w:eastAsia="zh-CN"/>
          <w14:textFill>
            <w14:solidFill>
              <w14:schemeClr w14:val="tx1"/>
            </w14:solidFill>
          </w14:textFill>
        </w:rPr>
        <w:t>的</w:t>
      </w:r>
      <w:r>
        <w:rPr>
          <w:rFonts w:hint="eastAsia"/>
          <w:color w:val="000000" w:themeColor="text1"/>
          <w:highlight w:val="none"/>
          <w:lang w:val="en-US" w:eastAsia="zh-CN"/>
          <w14:textFill>
            <w14:solidFill>
              <w14:schemeClr w14:val="tx1"/>
            </w14:solidFill>
          </w14:textFill>
        </w:rPr>
        <w:t>情形，评审委员会</w:t>
      </w:r>
      <w:r>
        <w:rPr>
          <w:rFonts w:hint="eastAsia"/>
          <w:color w:val="000000" w:themeColor="text1"/>
          <w:szCs w:val="21"/>
          <w:highlight w:val="none"/>
          <w14:textFill>
            <w14:solidFill>
              <w14:schemeClr w14:val="tx1"/>
            </w14:solidFill>
          </w14:textFill>
        </w:rPr>
        <w:t>应当要求其在评标现场合理的时间内</w:t>
      </w:r>
      <w:r>
        <w:rPr>
          <w:rFonts w:hint="eastAsia"/>
          <w:color w:val="000000" w:themeColor="text1"/>
          <w:szCs w:val="21"/>
          <w:highlight w:val="none"/>
          <w:lang w:val="en-US" w:eastAsia="zh-CN"/>
          <w14:textFill>
            <w14:solidFill>
              <w14:schemeClr w14:val="tx1"/>
            </w14:solidFill>
          </w14:textFill>
        </w:rPr>
        <w:t>提供</w:t>
      </w:r>
      <w:r>
        <w:rPr>
          <w:rFonts w:hint="eastAsia"/>
          <w:color w:val="000000" w:themeColor="text1"/>
          <w:szCs w:val="21"/>
          <w:highlight w:val="none"/>
          <w14:textFill>
            <w14:solidFill>
              <w14:schemeClr w14:val="tx1"/>
            </w14:solidFill>
          </w14:textFill>
        </w:rPr>
        <w:t>报价合理性相关的书面说明及必要的证明材料。</w:t>
      </w:r>
      <w:r>
        <w:rPr>
          <w:rFonts w:ascii="Arial" w:hAnsi="Arial" w:cs="Arial"/>
          <w:color w:val="000000" w:themeColor="text1"/>
          <w:highlight w:val="none"/>
          <w14:textFill>
            <w14:solidFill>
              <w14:schemeClr w14:val="tx1"/>
            </w14:solidFill>
          </w14:textFill>
        </w:rPr>
        <w:t>评标委员会可以要求供应商就提供货物的主要成本、销售费用、管理费用、财务费用、履约费用、计划利润、</w:t>
      </w:r>
      <w:r>
        <w:rPr>
          <w:rFonts w:ascii="Arial" w:hAnsi="Arial" w:cs="Arial"/>
          <w:color w:val="000000" w:themeColor="text1"/>
          <w14:textFill>
            <w14:solidFill>
              <w14:schemeClr w14:val="tx1"/>
            </w14:solidFill>
          </w14:textFill>
        </w:rPr>
        <w:t>税金及附加等成本构成事项进行详细陈述。书面说明应当</w:t>
      </w:r>
      <w:r>
        <w:rPr>
          <w:rFonts w:ascii="Arial" w:hAnsi="Arial" w:cs="Arial"/>
          <w:color w:val="000000" w:themeColor="text1"/>
          <w:szCs w:val="21"/>
          <w14:textFill>
            <w14:solidFill>
              <w14:schemeClr w14:val="tx1"/>
            </w14:solidFill>
          </w14:textFill>
        </w:rPr>
        <w:t>按照上述“7、澄清、说明或补正”的规定经供应商确认后提交给评标委员会。</w:t>
      </w:r>
      <w:r>
        <w:rPr>
          <w:rFonts w:ascii="Arial" w:hAnsi="Arial" w:cs="Arial"/>
          <w:color w:val="000000" w:themeColor="text1"/>
          <w14:textFill>
            <w14:solidFill>
              <w14:schemeClr w14:val="tx1"/>
            </w14:solidFill>
          </w14:textFill>
        </w:rPr>
        <w:t>供应商未按规定提供说明或不能证明其报价合理性的，评标委员会应当将其作为无效投标处理。</w:t>
      </w:r>
    </w:p>
    <w:p w14:paraId="46E19D6E">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报价合理性书面说明应当有签字或盖章确认，供应商为法人的，由其法定代表人或者授权代表签名或盖章确认；供应商为其他组织的，由其主要负责人或者授权代表签名或盖章确认；供应商为自然人的，由其本人或者授权代表签名或盖章确认。</w:t>
      </w:r>
    </w:p>
    <w:p w14:paraId="03589D17">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10、商务和技术评估、综合比较与评价</w:t>
      </w:r>
    </w:p>
    <w:p w14:paraId="5F00D29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评标委员会按招标文件中规定的评标方法和标准，对资格审查和符合性审查合格的投标文件进行商务和技术评估，综合比较与评价。</w:t>
      </w:r>
      <w:r>
        <w:rPr>
          <w:rStyle w:val="155"/>
          <w:rFonts w:ascii="Arial" w:hAnsi="Arial" w:cs="Arial"/>
          <w:color w:val="000000" w:themeColor="text1"/>
          <w14:textFill>
            <w14:solidFill>
              <w14:schemeClr w14:val="tx1"/>
            </w14:solidFill>
          </w14:textFill>
        </w:rPr>
        <w:t>具体评标标准见《</w:t>
      </w:r>
      <w:r>
        <w:rPr>
          <w:rFonts w:ascii="Arial" w:hAnsi="Arial" w:cs="Arial"/>
          <w:bCs/>
          <w:color w:val="000000" w:themeColor="text1"/>
          <w:kern w:val="0"/>
          <w:szCs w:val="21"/>
          <w14:textFill>
            <w14:solidFill>
              <w14:schemeClr w14:val="tx1"/>
            </w14:solidFill>
          </w14:textFill>
        </w:rPr>
        <w:t>评分表</w:t>
      </w:r>
      <w:r>
        <w:rPr>
          <w:rStyle w:val="155"/>
          <w:rFonts w:ascii="Arial" w:hAnsi="Arial" w:cs="Arial"/>
          <w:color w:val="000000" w:themeColor="text1"/>
          <w14:textFill>
            <w14:solidFill>
              <w14:schemeClr w14:val="tx1"/>
            </w14:solidFill>
          </w14:textFill>
        </w:rPr>
        <w:t>》。</w:t>
      </w:r>
    </w:p>
    <w:p w14:paraId="6CD7B649">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评标委员会各成员独立对每个有效供应商的投标文件进行评价、打分，然后由评标组长组织评标委员会对各成员打分情况进行核查及复核，评分有误的，应及时进行修正。评标标准如有主客观分定义，评标委员会所有成员的客观分打分分数应当一致。</w:t>
      </w:r>
    </w:p>
    <w:p w14:paraId="41783414">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复核后，评标委员会汇总每个供应商每项评分因素的得分。</w:t>
      </w:r>
      <w:r>
        <w:rPr>
          <w:rFonts w:ascii="Arial" w:hAnsi="Arial" w:cs="Arial"/>
          <w:color w:val="000000" w:themeColor="text1"/>
          <w14:textFill>
            <w14:solidFill>
              <w14:schemeClr w14:val="tx1"/>
            </w14:solidFill>
          </w14:textFill>
        </w:rPr>
        <w:t>评标结果汇总完成后，除下列情形外，任何人不得修改评标结果：（1）分值汇总计算错误的；（2）分项评分超出评分标准范围的；（3）评标委员会成员对客观评审因素评分不一致的；（4）经评标委员会认定评分畸高、畸低的。评标报告签署前，经复核发现存在以上情形之一的，评标委员会应当当场修改评标结果，并在评标报告中记载；评标报告签署后，采购人或者采购代理机构发现存在以上情形之一的，应当组织原评标委员会进行重新评审。</w:t>
      </w:r>
    </w:p>
    <w:p w14:paraId="47EC8CC8">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11、中标候选人推荐原则</w:t>
      </w:r>
    </w:p>
    <w:p w14:paraId="3872D2E8">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按评标后得分由高到低的排列顺序推荐综合得分排名第一的为第一中标候选人。若中标候选人综合得分相同的，按投标报价由低到高顺序排列；综合得分且投标报价相同的</w:t>
      </w:r>
      <w:r>
        <w:rPr>
          <w:rFonts w:ascii="Arial" w:hAnsi="Arial" w:cs="Arial"/>
          <w:color w:val="000000" w:themeColor="text1"/>
          <w14:textFill>
            <w14:solidFill>
              <w14:schemeClr w14:val="tx1"/>
            </w14:solidFill>
          </w14:textFill>
        </w:rPr>
        <w:t>并列</w:t>
      </w:r>
      <w:r>
        <w:rPr>
          <w:rFonts w:ascii="Arial" w:hAnsi="Arial" w:cs="Arial"/>
          <w:color w:val="000000" w:themeColor="text1"/>
          <w:szCs w:val="21"/>
          <w14:textFill>
            <w14:solidFill>
              <w14:schemeClr w14:val="tx1"/>
            </w14:solidFill>
          </w14:textFill>
        </w:rPr>
        <w:t>；中标候选人并列的，</w:t>
      </w:r>
      <w:r>
        <w:rPr>
          <w:rFonts w:ascii="Arial" w:hAnsi="Arial" w:cs="Arial"/>
          <w:color w:val="000000" w:themeColor="text1"/>
          <w14:textFill>
            <w14:solidFill>
              <w14:schemeClr w14:val="tx1"/>
            </w14:solidFill>
          </w14:textFill>
        </w:rPr>
        <w:t>由采购人</w:t>
      </w:r>
      <w:r>
        <w:rPr>
          <w:rFonts w:ascii="Arial" w:hAnsi="Arial" w:cs="Arial"/>
          <w:color w:val="000000" w:themeColor="text1"/>
          <w:szCs w:val="21"/>
          <w14:textFill>
            <w14:solidFill>
              <w14:schemeClr w14:val="tx1"/>
            </w14:solidFill>
          </w14:textFill>
        </w:rPr>
        <w:t>按综合信誉及履约能力分得分由高到低顺序排列，若综合得分、投标报价、综合信誉及履约能力分均相同的，按技术方案分得分由高到低顺序排列。</w:t>
      </w:r>
    </w:p>
    <w:p w14:paraId="16B31E96">
      <w:pPr>
        <w:spacing w:before="120" w:line="320" w:lineRule="atLeast"/>
        <w:ind w:firstLine="413" w:firstLineChars="196"/>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12、评标争议处理</w:t>
      </w:r>
    </w:p>
    <w:p w14:paraId="07DCABF1">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评标委员会成员对需要共同认定的事项存在争议的，应当按照少数服从多数的原则作出结论。持不同意见的评标委员会成员应当在评标报告上签署不同意见及理由，否则视为同意评标报告。</w:t>
      </w:r>
    </w:p>
    <w:bookmarkEnd w:id="89"/>
    <w:p w14:paraId="7A20FB75">
      <w:pPr>
        <w:spacing w:before="120" w:line="320" w:lineRule="atLeast"/>
        <w:outlineLvl w:val="1"/>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14:textFill>
            <w14:solidFill>
              <w14:schemeClr w14:val="tx1"/>
            </w14:solidFill>
          </w14:textFill>
        </w:rPr>
        <w:br w:type="page"/>
      </w:r>
      <w:bookmarkStart w:id="90" w:name="_Hlk19113393"/>
      <w:r>
        <w:rPr>
          <w:rFonts w:ascii="Arial" w:hAnsi="Arial" w:cs="Arial"/>
          <w:b/>
          <w:bCs/>
          <w:color w:val="000000" w:themeColor="text1"/>
          <w:kern w:val="0"/>
          <w:szCs w:val="21"/>
          <w14:textFill>
            <w14:solidFill>
              <w14:schemeClr w14:val="tx1"/>
            </w14:solidFill>
          </w14:textFill>
        </w:rPr>
        <w:t>五、评标标准</w:t>
      </w:r>
    </w:p>
    <w:bookmarkEnd w:id="90"/>
    <w:p w14:paraId="3DC1D37C">
      <w:pPr>
        <w:pStyle w:val="224"/>
        <w:snapToGrid w:val="0"/>
        <w:spacing w:line="288" w:lineRule="auto"/>
        <w:ind w:firstLine="0" w:firstLineChars="0"/>
        <w:rPr>
          <w:rFonts w:ascii="Arial" w:hAnsi="Arial" w:cs="Arial"/>
          <w:b/>
          <w:color w:val="000000" w:themeColor="text1"/>
          <w:kern w:val="0"/>
          <w:szCs w:val="21"/>
          <w14:textFill>
            <w14:solidFill>
              <w14:schemeClr w14:val="tx1"/>
            </w14:solidFill>
          </w14:textFill>
        </w:rPr>
      </w:pPr>
      <w:r>
        <w:rPr>
          <w:rFonts w:ascii="Arial" w:hAnsi="Arial" w:cs="Arial"/>
          <w:b/>
          <w:color w:val="000000" w:themeColor="text1"/>
          <w:kern w:val="0"/>
          <w:szCs w:val="21"/>
          <w14:textFill>
            <w14:solidFill>
              <w14:schemeClr w14:val="tx1"/>
            </w14:solidFill>
          </w14:textFill>
        </w:rPr>
        <w:t>（一）评分细则</w:t>
      </w:r>
      <w:bookmarkEnd w:id="73"/>
      <w:bookmarkEnd w:id="74"/>
    </w:p>
    <w:p w14:paraId="499D391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sz w:val="24"/>
          <w:szCs w:val="24"/>
          <w:highlight w:val="none"/>
        </w:rPr>
      </w:pPr>
      <w:r>
        <w:rPr>
          <w:rFonts w:hint="eastAsia" w:ascii="宋体" w:hAnsi="宋体" w:cs="宋体"/>
          <w:b/>
          <w:bCs/>
          <w:color w:val="000000"/>
          <w:sz w:val="24"/>
          <w:szCs w:val="24"/>
          <w:highlight w:val="none"/>
          <w:lang w:val="en-US" w:eastAsia="zh-CN"/>
        </w:rPr>
        <w:t>适用分标一、分标二</w:t>
      </w:r>
    </w:p>
    <w:tbl>
      <w:tblPr>
        <w:tblStyle w:val="54"/>
        <w:tblW w:w="941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37"/>
        <w:gridCol w:w="1456"/>
        <w:gridCol w:w="7323"/>
      </w:tblGrid>
      <w:tr w14:paraId="02212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637" w:type="dxa"/>
            <w:tcBorders>
              <w:top w:val="single" w:color="000000" w:sz="4" w:space="0"/>
              <w:left w:val="single" w:color="000000" w:sz="4" w:space="0"/>
              <w:bottom w:val="single" w:color="000000" w:sz="4" w:space="0"/>
              <w:right w:val="single" w:color="000000" w:sz="4" w:space="0"/>
              <w:tl2br w:val="nil"/>
            </w:tcBorders>
            <w:shd w:val="clear" w:color="auto" w:fill="FFFFFF"/>
            <w:noWrap w:val="0"/>
            <w:vAlign w:val="center"/>
          </w:tcPr>
          <w:p w14:paraId="103E3826">
            <w:pPr>
              <w:pStyle w:val="257"/>
              <w:keepNext w:val="0"/>
              <w:keepLines w:val="0"/>
              <w:pageBreakBefore w:val="0"/>
              <w:kinsoku/>
              <w:wordWrap w:val="0"/>
              <w:overflowPunct/>
              <w:topLinePunct w:val="0"/>
              <w:bidi w:val="0"/>
              <w:adjustRightInd/>
              <w:snapToGrid/>
              <w:spacing w:line="400" w:lineRule="exact"/>
              <w:ind w:left="0" w:leftChars="0" w:right="0" w:right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pacing w:val="6"/>
                <w:sz w:val="21"/>
                <w:szCs w:val="21"/>
                <w:highlight w:val="none"/>
              </w:rPr>
              <w:t>序号</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C8ABB1">
            <w:pPr>
              <w:pStyle w:val="257"/>
              <w:keepNext w:val="0"/>
              <w:keepLines w:val="0"/>
              <w:pageBreakBefore w:val="0"/>
              <w:kinsoku/>
              <w:wordWrap w:val="0"/>
              <w:overflowPunct/>
              <w:topLinePunct w:val="0"/>
              <w:bidi w:val="0"/>
              <w:adjustRightInd/>
              <w:snapToGrid/>
              <w:spacing w:line="400" w:lineRule="exact"/>
              <w:ind w:left="0" w:leftChars="0" w:right="0" w:rightChars="0"/>
              <w:jc w:val="center"/>
              <w:rPr>
                <w:rFonts w:hint="eastAsia" w:ascii="宋体" w:hAnsi="宋体" w:eastAsia="宋体" w:cs="宋体"/>
                <w:b/>
                <w:bCs/>
                <w:color w:val="000000"/>
                <w:spacing w:val="8"/>
                <w:sz w:val="21"/>
                <w:szCs w:val="21"/>
                <w:highlight w:val="none"/>
                <w:lang w:eastAsia="zh-CN"/>
              </w:rPr>
            </w:pPr>
            <w:r>
              <w:rPr>
                <w:rFonts w:hint="eastAsia" w:ascii="宋体" w:hAnsi="宋体" w:eastAsia="宋体" w:cs="宋体"/>
                <w:b/>
                <w:bCs/>
                <w:color w:val="000000"/>
                <w:spacing w:val="8"/>
                <w:sz w:val="21"/>
                <w:szCs w:val="21"/>
                <w:highlight w:val="none"/>
              </w:rPr>
              <w:t>评审</w:t>
            </w:r>
            <w:r>
              <w:rPr>
                <w:rFonts w:hint="eastAsia" w:ascii="宋体" w:hAnsi="宋体" w:eastAsia="宋体" w:cs="宋体"/>
                <w:b/>
                <w:bCs/>
                <w:color w:val="000000"/>
                <w:spacing w:val="8"/>
                <w:sz w:val="21"/>
                <w:szCs w:val="21"/>
                <w:highlight w:val="none"/>
                <w:lang w:eastAsia="zh-CN"/>
              </w:rPr>
              <w:t>内容</w:t>
            </w:r>
          </w:p>
        </w:tc>
        <w:tc>
          <w:tcPr>
            <w:tcW w:w="73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67DC71">
            <w:pPr>
              <w:keepNext w:val="0"/>
              <w:keepLines w:val="0"/>
              <w:pageBreakBefore w:val="0"/>
              <w:kinsoku/>
              <w:wordWrap w:val="0"/>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color w:val="000000"/>
                <w:sz w:val="21"/>
                <w:szCs w:val="21"/>
                <w:highlight w:val="none"/>
                <w:lang w:eastAsia="zh-CN"/>
              </w:rPr>
            </w:pPr>
            <w:r>
              <w:rPr>
                <w:rFonts w:hint="eastAsia" w:ascii="宋体" w:hAnsi="宋体" w:eastAsia="宋体" w:cs="宋体"/>
                <w:b/>
                <w:bCs/>
                <w:color w:val="000000"/>
                <w:sz w:val="21"/>
                <w:szCs w:val="21"/>
                <w:highlight w:val="none"/>
                <w:lang w:eastAsia="zh-CN"/>
              </w:rPr>
              <w:t>评标标准</w:t>
            </w:r>
          </w:p>
        </w:tc>
      </w:tr>
      <w:tr w14:paraId="5415A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DDABE4">
            <w:pPr>
              <w:pStyle w:val="257"/>
              <w:keepNext w:val="0"/>
              <w:keepLines w:val="0"/>
              <w:pageBreakBefore w:val="0"/>
              <w:kinsoku/>
              <w:wordWrap w:val="0"/>
              <w:overflowPunct/>
              <w:topLinePunct w:val="0"/>
              <w:bidi w:val="0"/>
              <w:adjustRightInd/>
              <w:snapToGrid/>
              <w:spacing w:line="400" w:lineRule="exact"/>
              <w:ind w:left="0" w:leftChars="0" w:right="0" w:rightChars="0"/>
              <w:jc w:val="center"/>
              <w:rPr>
                <w:rFonts w:hint="eastAsia" w:ascii="宋体" w:hAnsi="宋体" w:eastAsia="宋体" w:cs="宋体"/>
                <w:b w:val="0"/>
                <w:bCs/>
                <w:color w:val="000000"/>
                <w:spacing w:val="6"/>
                <w:sz w:val="21"/>
                <w:szCs w:val="21"/>
                <w:highlight w:val="none"/>
              </w:rPr>
            </w:pPr>
            <w:r>
              <w:rPr>
                <w:rFonts w:hint="eastAsia" w:ascii="宋体" w:hAnsi="宋体" w:eastAsia="宋体" w:cs="宋体"/>
                <w:b w:val="0"/>
                <w:bCs/>
                <w:color w:val="000000"/>
                <w:sz w:val="21"/>
                <w:szCs w:val="21"/>
                <w:highlight w:val="none"/>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F44783">
            <w:pPr>
              <w:pStyle w:val="257"/>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jc w:val="center"/>
              <w:textAlignment w:val="auto"/>
              <w:rPr>
                <w:rFonts w:hint="eastAsia" w:ascii="宋体" w:hAnsi="宋体" w:eastAsia="宋体" w:cs="宋体"/>
                <w:b w:val="0"/>
                <w:bCs/>
                <w:color w:val="000000"/>
                <w:spacing w:val="-3"/>
                <w:sz w:val="21"/>
                <w:szCs w:val="21"/>
                <w:highlight w:val="none"/>
                <w:lang w:eastAsia="zh-CN"/>
              </w:rPr>
            </w:pPr>
            <w:r>
              <w:rPr>
                <w:rFonts w:hint="eastAsia" w:ascii="宋体" w:hAnsi="宋体" w:eastAsia="宋体" w:cs="宋体"/>
                <w:b w:val="0"/>
                <w:bCs/>
                <w:color w:val="000000"/>
                <w:spacing w:val="-3"/>
                <w:sz w:val="21"/>
                <w:szCs w:val="21"/>
                <w:highlight w:val="none"/>
                <w:lang w:eastAsia="zh-CN"/>
              </w:rPr>
              <w:t>投标报价</w:t>
            </w:r>
          </w:p>
          <w:p w14:paraId="185C1A29">
            <w:pPr>
              <w:pStyle w:val="257"/>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jc w:val="center"/>
              <w:textAlignment w:val="auto"/>
              <w:rPr>
                <w:rFonts w:hint="eastAsia" w:ascii="宋体" w:hAnsi="宋体" w:eastAsia="宋体" w:cs="宋体"/>
                <w:b w:val="0"/>
                <w:bCs/>
                <w:color w:val="000000"/>
                <w:spacing w:val="8"/>
                <w:sz w:val="21"/>
                <w:szCs w:val="21"/>
                <w:highlight w:val="none"/>
              </w:rPr>
            </w:pPr>
            <w:r>
              <w:rPr>
                <w:rFonts w:hint="eastAsia" w:ascii="宋体" w:hAnsi="宋体" w:eastAsia="宋体" w:cs="宋体"/>
                <w:b w:val="0"/>
                <w:bCs/>
                <w:color w:val="000000"/>
                <w:spacing w:val="-3"/>
                <w:sz w:val="21"/>
                <w:szCs w:val="21"/>
                <w:highlight w:val="none"/>
                <w:lang w:eastAsia="zh-CN"/>
              </w:rPr>
              <w:t>（</w:t>
            </w:r>
            <w:r>
              <w:rPr>
                <w:rFonts w:hint="eastAsia" w:ascii="宋体" w:hAnsi="宋体" w:eastAsia="宋体" w:cs="宋体"/>
                <w:b w:val="0"/>
                <w:bCs/>
                <w:color w:val="000000"/>
                <w:spacing w:val="-3"/>
                <w:sz w:val="21"/>
                <w:szCs w:val="21"/>
                <w:highlight w:val="none"/>
                <w:lang w:val="en-US" w:eastAsia="zh-CN"/>
              </w:rPr>
              <w:t>满分30分）</w:t>
            </w:r>
          </w:p>
        </w:tc>
        <w:tc>
          <w:tcPr>
            <w:tcW w:w="73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0C7C6">
            <w:pPr>
              <w:pStyle w:val="30"/>
              <w:keepNext w:val="0"/>
              <w:keepLines w:val="0"/>
              <w:pageBreakBefore w:val="0"/>
              <w:widowControl w:val="0"/>
              <w:kinsoku/>
              <w:wordWrap w:val="0"/>
              <w:overflowPunct/>
              <w:topLinePunct w:val="0"/>
              <w:autoSpaceDE w:val="0"/>
              <w:autoSpaceDN w:val="0"/>
              <w:bidi w:val="0"/>
              <w:adjustRightInd/>
              <w:snapToGrid/>
              <w:spacing w:before="63" w:beforeLines="20" w:after="63" w:afterLines="20" w:line="400" w:lineRule="exact"/>
              <w:ind w:left="105" w:leftChars="50" w:right="21" w:rightChars="10" w:firstLine="231" w:firstLineChars="110"/>
              <w:textAlignment w:val="baseline"/>
              <w:rPr>
                <w:rFonts w:hint="eastAsia" w:ascii="宋体" w:hAnsi="宋体" w:eastAsia="宋体" w:cs="宋体"/>
                <w:b w:val="0"/>
                <w:color w:val="000000"/>
                <w:sz w:val="21"/>
                <w:szCs w:val="21"/>
                <w:highlight w:val="none"/>
                <w:lang w:val="en-US"/>
              </w:rPr>
            </w:pPr>
            <w:r>
              <w:rPr>
                <w:rFonts w:hint="eastAsia" w:ascii="宋体" w:hAnsi="宋体" w:eastAsia="宋体" w:cs="宋体"/>
                <w:b w:val="0"/>
                <w:color w:val="000000"/>
                <w:sz w:val="21"/>
                <w:szCs w:val="21"/>
                <w:highlight w:val="none"/>
                <w:lang w:val="en-US"/>
              </w:rPr>
              <w:t>（1）评标报价为投标人的投标报价进行政策性扣除后的价格，评标报价只是作为评标时使用。最终中标人的中标金额等于投标报价。</w:t>
            </w:r>
          </w:p>
          <w:p w14:paraId="21B850C0">
            <w:pPr>
              <w:pStyle w:val="30"/>
              <w:keepNext w:val="0"/>
              <w:keepLines w:val="0"/>
              <w:pageBreakBefore w:val="0"/>
              <w:widowControl w:val="0"/>
              <w:kinsoku/>
              <w:wordWrap w:val="0"/>
              <w:overflowPunct/>
              <w:topLinePunct w:val="0"/>
              <w:autoSpaceDE w:val="0"/>
              <w:autoSpaceDN w:val="0"/>
              <w:bidi w:val="0"/>
              <w:adjustRightInd/>
              <w:snapToGrid/>
              <w:spacing w:before="63" w:beforeLines="20" w:after="63" w:afterLines="20" w:line="400" w:lineRule="exact"/>
              <w:ind w:left="105" w:leftChars="50" w:right="21" w:rightChars="10" w:firstLine="231" w:firstLineChars="110"/>
              <w:textAlignment w:val="baseline"/>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rPr>
              <w:t>（2）政策性扣除计算方法</w:t>
            </w:r>
          </w:p>
          <w:p w14:paraId="3C4A16A8">
            <w:pPr>
              <w:pStyle w:val="30"/>
              <w:keepNext w:val="0"/>
              <w:keepLines w:val="0"/>
              <w:pageBreakBefore w:val="0"/>
              <w:widowControl w:val="0"/>
              <w:kinsoku/>
              <w:wordWrap w:val="0"/>
              <w:overflowPunct/>
              <w:topLinePunct w:val="0"/>
              <w:autoSpaceDE w:val="0"/>
              <w:autoSpaceDN w:val="0"/>
              <w:bidi w:val="0"/>
              <w:adjustRightInd/>
              <w:snapToGrid/>
              <w:spacing w:before="63" w:beforeLines="20" w:after="63" w:afterLines="20" w:line="400" w:lineRule="exact"/>
              <w:ind w:left="105" w:leftChars="50" w:right="21" w:rightChars="10" w:firstLine="21" w:firstLineChars="10"/>
              <w:textAlignment w:val="baseline"/>
              <w:rPr>
                <w:rFonts w:hint="eastAsia" w:ascii="宋体" w:hAnsi="宋体" w:eastAsia="宋体" w:cs="宋体"/>
                <w:b w:val="0"/>
                <w:color w:val="000000"/>
                <w:sz w:val="21"/>
                <w:szCs w:val="21"/>
                <w:highlight w:val="none"/>
                <w:lang w:val="en-US"/>
              </w:rPr>
            </w:pPr>
            <w:r>
              <w:rPr>
                <w:rFonts w:hint="eastAsia" w:ascii="宋体" w:hAnsi="宋体" w:eastAsia="宋体" w:cs="宋体"/>
                <w:b w:val="0"/>
                <w:color w:val="000000"/>
                <w:sz w:val="21"/>
                <w:szCs w:val="21"/>
                <w:highlight w:val="none"/>
                <w:lang w:val="en-US"/>
              </w:rPr>
              <w:t>根据《政府采购促进中小企业发展管理办法》（财库〔2020〕46号）及《广西壮族自治区财政厅关于持续优化政府采购营商环境推动高质量发展的通知》（桂财采〔2024〕55号）的规定，投标人在其投标文件中提供《中小企业声明函》，且其投标全部货物由小微企业制造的，对其投标报价给予10%的扣除，扣除后的价格为评标报价，即评标报价=投标报价×（1-10%）。除上述情况外，评标报价=投标报价。</w:t>
            </w:r>
          </w:p>
          <w:p w14:paraId="3E5597BB">
            <w:pPr>
              <w:pStyle w:val="30"/>
              <w:keepNext w:val="0"/>
              <w:keepLines w:val="0"/>
              <w:pageBreakBefore w:val="0"/>
              <w:widowControl w:val="0"/>
              <w:kinsoku/>
              <w:wordWrap w:val="0"/>
              <w:overflowPunct/>
              <w:topLinePunct w:val="0"/>
              <w:autoSpaceDE w:val="0"/>
              <w:autoSpaceDN w:val="0"/>
              <w:bidi w:val="0"/>
              <w:adjustRightInd/>
              <w:snapToGrid/>
              <w:spacing w:before="63" w:beforeLines="20" w:after="63" w:afterLines="20" w:line="400" w:lineRule="exact"/>
              <w:ind w:left="105" w:leftChars="50" w:right="21" w:rightChars="10" w:firstLine="231" w:firstLineChars="110"/>
              <w:textAlignment w:val="baseline"/>
              <w:rPr>
                <w:rFonts w:hint="eastAsia" w:ascii="宋体" w:hAnsi="宋体" w:eastAsia="宋体" w:cs="宋体"/>
                <w:b w:val="0"/>
                <w:color w:val="000000"/>
                <w:sz w:val="21"/>
                <w:szCs w:val="21"/>
                <w:highlight w:val="none"/>
                <w:lang w:val="en-US"/>
              </w:rPr>
            </w:pPr>
            <w:r>
              <w:rPr>
                <w:rFonts w:hint="eastAsia" w:ascii="宋体" w:hAnsi="宋体" w:eastAsia="宋体" w:cs="宋体"/>
                <w:b w:val="0"/>
                <w:color w:val="000000"/>
                <w:sz w:val="21"/>
                <w:szCs w:val="21"/>
                <w:highlight w:val="none"/>
                <w:lang w:val="en-US"/>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755AA66E">
            <w:pPr>
              <w:pStyle w:val="30"/>
              <w:keepNext w:val="0"/>
              <w:keepLines w:val="0"/>
              <w:pageBreakBefore w:val="0"/>
              <w:widowControl w:val="0"/>
              <w:kinsoku/>
              <w:wordWrap w:val="0"/>
              <w:overflowPunct/>
              <w:topLinePunct w:val="0"/>
              <w:autoSpaceDE w:val="0"/>
              <w:autoSpaceDN w:val="0"/>
              <w:bidi w:val="0"/>
              <w:adjustRightInd/>
              <w:snapToGrid/>
              <w:spacing w:before="63" w:beforeLines="20" w:after="63" w:afterLines="20" w:line="400" w:lineRule="exact"/>
              <w:ind w:left="105" w:leftChars="50" w:right="21" w:rightChars="10" w:firstLine="231" w:firstLineChars="110"/>
              <w:textAlignment w:val="baseline"/>
              <w:rPr>
                <w:rFonts w:hint="eastAsia" w:ascii="宋体" w:hAnsi="宋体" w:eastAsia="宋体" w:cs="宋体"/>
                <w:b w:val="0"/>
                <w:color w:val="000000"/>
                <w:sz w:val="21"/>
                <w:szCs w:val="21"/>
                <w:highlight w:val="none"/>
                <w:lang w:val="en-US"/>
              </w:rPr>
            </w:pPr>
            <w:r>
              <w:rPr>
                <w:rFonts w:hint="eastAsia" w:ascii="宋体" w:hAnsi="宋体" w:eastAsia="宋体" w:cs="宋体"/>
                <w:b w:val="0"/>
                <w:color w:val="000000"/>
                <w:sz w:val="21"/>
                <w:szCs w:val="21"/>
                <w:highlight w:val="none"/>
                <w:lang w:val="en-US"/>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54634DC4">
            <w:pPr>
              <w:pStyle w:val="30"/>
              <w:keepNext w:val="0"/>
              <w:keepLines w:val="0"/>
              <w:pageBreakBefore w:val="0"/>
              <w:widowControl w:val="0"/>
              <w:kinsoku/>
              <w:wordWrap w:val="0"/>
              <w:overflowPunct/>
              <w:topLinePunct w:val="0"/>
              <w:autoSpaceDE w:val="0"/>
              <w:autoSpaceDN w:val="0"/>
              <w:bidi w:val="0"/>
              <w:adjustRightInd/>
              <w:snapToGrid/>
              <w:spacing w:before="63" w:beforeLines="20" w:after="63" w:afterLines="20" w:line="400" w:lineRule="exact"/>
              <w:ind w:left="105" w:leftChars="50" w:right="21" w:rightChars="10" w:firstLine="231" w:firstLineChars="110"/>
              <w:textAlignment w:val="baseline"/>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rPr>
              <w:t>（5）本国产品政策性扣除计算方法</w:t>
            </w:r>
          </w:p>
          <w:p w14:paraId="350F1CC5">
            <w:pPr>
              <w:pStyle w:val="30"/>
              <w:keepNext w:val="0"/>
              <w:keepLines w:val="0"/>
              <w:pageBreakBefore w:val="0"/>
              <w:widowControl w:val="0"/>
              <w:kinsoku/>
              <w:wordWrap w:val="0"/>
              <w:overflowPunct/>
              <w:topLinePunct w:val="0"/>
              <w:autoSpaceDE w:val="0"/>
              <w:autoSpaceDN w:val="0"/>
              <w:bidi w:val="0"/>
              <w:adjustRightInd/>
              <w:snapToGrid/>
              <w:spacing w:before="63" w:beforeLines="20" w:after="63" w:afterLines="20" w:line="400" w:lineRule="exact"/>
              <w:ind w:left="105" w:leftChars="50" w:right="21" w:rightChars="10" w:firstLine="21" w:firstLineChars="10"/>
              <w:textAlignment w:val="baseline"/>
              <w:rPr>
                <w:rFonts w:hint="eastAsia" w:ascii="宋体" w:hAnsi="宋体" w:eastAsia="宋体" w:cs="宋体"/>
                <w:b w:val="0"/>
                <w:color w:val="000000"/>
                <w:sz w:val="21"/>
                <w:szCs w:val="21"/>
                <w:highlight w:val="none"/>
                <w:lang w:val="en-US"/>
              </w:rPr>
            </w:pPr>
            <w:r>
              <w:rPr>
                <w:rFonts w:hint="eastAsia" w:ascii="宋体" w:hAnsi="宋体" w:eastAsia="宋体" w:cs="宋体"/>
                <w:b w:val="0"/>
                <w:color w:val="000000"/>
                <w:sz w:val="21"/>
                <w:szCs w:val="21"/>
                <w:highlight w:val="none"/>
                <w:lang w:val="en-US"/>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2DADC756">
            <w:pPr>
              <w:pStyle w:val="30"/>
              <w:keepNext w:val="0"/>
              <w:keepLines w:val="0"/>
              <w:pageBreakBefore w:val="0"/>
              <w:widowControl w:val="0"/>
              <w:kinsoku/>
              <w:wordWrap w:val="0"/>
              <w:overflowPunct/>
              <w:topLinePunct w:val="0"/>
              <w:autoSpaceDE w:val="0"/>
              <w:autoSpaceDN w:val="0"/>
              <w:bidi w:val="0"/>
              <w:adjustRightInd/>
              <w:snapToGrid/>
              <w:spacing w:before="63" w:beforeLines="20" w:after="63" w:afterLines="20" w:line="400" w:lineRule="exact"/>
              <w:ind w:left="105" w:leftChars="50" w:right="21" w:rightChars="10" w:firstLine="21" w:firstLineChars="10"/>
              <w:textAlignment w:val="baseline"/>
              <w:rPr>
                <w:rFonts w:hint="eastAsia" w:ascii="宋体" w:hAnsi="宋体" w:eastAsia="宋体" w:cs="宋体"/>
                <w:b w:val="0"/>
                <w:color w:val="000000"/>
                <w:sz w:val="21"/>
                <w:szCs w:val="21"/>
                <w:highlight w:val="none"/>
                <w:lang w:val="en-US"/>
              </w:rPr>
            </w:pPr>
            <w:r>
              <w:rPr>
                <w:rFonts w:hint="eastAsia" w:ascii="宋体" w:hAnsi="宋体" w:eastAsia="宋体" w:cs="宋体"/>
                <w:b w:val="0"/>
                <w:color w:val="000000"/>
                <w:sz w:val="21"/>
                <w:szCs w:val="21"/>
                <w:highlight w:val="none"/>
                <w:lang w:val="en-US"/>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2BF30E4F">
            <w:pPr>
              <w:pStyle w:val="30"/>
              <w:keepNext w:val="0"/>
              <w:keepLines w:val="0"/>
              <w:pageBreakBefore w:val="0"/>
              <w:widowControl w:val="0"/>
              <w:kinsoku/>
              <w:wordWrap w:val="0"/>
              <w:overflowPunct/>
              <w:topLinePunct w:val="0"/>
              <w:autoSpaceDE w:val="0"/>
              <w:autoSpaceDN w:val="0"/>
              <w:bidi w:val="0"/>
              <w:adjustRightInd/>
              <w:snapToGrid/>
              <w:spacing w:before="63" w:beforeLines="20" w:after="63" w:afterLines="20" w:line="400" w:lineRule="exact"/>
              <w:ind w:left="105" w:leftChars="50" w:right="21" w:rightChars="10" w:firstLine="21" w:firstLineChars="10"/>
              <w:textAlignment w:val="baseline"/>
              <w:rPr>
                <w:rFonts w:hint="eastAsia" w:ascii="宋体" w:hAnsi="宋体" w:eastAsia="宋体" w:cs="宋体"/>
                <w:b w:val="0"/>
                <w:color w:val="000000"/>
                <w:sz w:val="21"/>
                <w:szCs w:val="21"/>
                <w:highlight w:val="none"/>
                <w:lang w:val="en-US"/>
              </w:rPr>
            </w:pPr>
            <w:r>
              <w:rPr>
                <w:rFonts w:hint="eastAsia" w:ascii="宋体" w:hAnsi="宋体" w:eastAsia="宋体" w:cs="宋体"/>
                <w:b w:val="0"/>
                <w:color w:val="000000"/>
                <w:sz w:val="21"/>
                <w:szCs w:val="21"/>
                <w:highlight w:val="none"/>
                <w:lang w:val="en-US"/>
              </w:rPr>
              <w:t>如果所有参与竞争的供应商均可享受本国产品价格评审优惠，则统一不进行价格扣除。</w:t>
            </w:r>
          </w:p>
          <w:p w14:paraId="0A243B92">
            <w:pPr>
              <w:pStyle w:val="30"/>
              <w:keepNext w:val="0"/>
              <w:keepLines w:val="0"/>
              <w:pageBreakBefore w:val="0"/>
              <w:widowControl w:val="0"/>
              <w:kinsoku/>
              <w:wordWrap w:val="0"/>
              <w:overflowPunct/>
              <w:topLinePunct w:val="0"/>
              <w:autoSpaceDE w:val="0"/>
              <w:autoSpaceDN w:val="0"/>
              <w:bidi w:val="0"/>
              <w:adjustRightInd/>
              <w:snapToGrid/>
              <w:spacing w:before="63" w:beforeLines="20" w:after="63" w:afterLines="20" w:line="400" w:lineRule="exact"/>
              <w:ind w:left="105" w:leftChars="50" w:right="21" w:rightChars="10" w:firstLine="21" w:firstLineChars="10"/>
              <w:textAlignment w:val="baseline"/>
              <w:rPr>
                <w:rFonts w:hint="eastAsia" w:ascii="宋体" w:hAnsi="宋体" w:eastAsia="宋体" w:cs="宋体"/>
                <w:b/>
                <w:bCs w:val="0"/>
                <w:color w:val="000000"/>
                <w:sz w:val="21"/>
                <w:szCs w:val="21"/>
                <w:highlight w:val="none"/>
                <w:lang w:val="en-US"/>
              </w:rPr>
            </w:pPr>
            <w:r>
              <w:rPr>
                <w:rFonts w:hint="eastAsia" w:ascii="宋体" w:hAnsi="宋体" w:eastAsia="宋体" w:cs="宋体"/>
                <w:b w:val="0"/>
                <w:color w:val="000000"/>
                <w:sz w:val="21"/>
                <w:szCs w:val="21"/>
                <w:highlight w:val="none"/>
                <w:lang w:val="en-US"/>
              </w:rPr>
              <w:t>供应商在其投标文件中</w:t>
            </w:r>
            <w:r>
              <w:rPr>
                <w:rFonts w:hint="eastAsia" w:ascii="宋体" w:hAnsi="宋体" w:eastAsia="宋体" w:cs="宋体"/>
                <w:b w:val="0"/>
                <w:color w:val="000000"/>
                <w:kern w:val="2"/>
                <w:sz w:val="21"/>
                <w:szCs w:val="21"/>
                <w:highlight w:val="none"/>
                <w:lang w:val="en-US" w:eastAsia="zh-CN" w:bidi="ar"/>
              </w:rPr>
              <w:t>对其提供的产品出具</w:t>
            </w:r>
            <w:r>
              <w:rPr>
                <w:rFonts w:hint="eastAsia" w:ascii="宋体" w:hAnsi="宋体" w:eastAsia="宋体" w:cs="宋体"/>
                <w:b w:val="0"/>
                <w:color w:val="000000"/>
                <w:sz w:val="21"/>
                <w:szCs w:val="21"/>
                <w:highlight w:val="none"/>
                <w:lang w:val="en-US"/>
              </w:rPr>
              <w:t>《关于符合本国产品标准的声明函》或财政部会同有关部门规定的有关证明文件的，该产品视为本国产品</w:t>
            </w:r>
            <w:r>
              <w:rPr>
                <w:rFonts w:hint="eastAsia" w:ascii="宋体" w:hAnsi="宋体" w:eastAsia="宋体" w:cs="宋体"/>
                <w:b w:val="0"/>
                <w:color w:val="000000"/>
                <w:sz w:val="21"/>
                <w:szCs w:val="21"/>
                <w:highlight w:val="none"/>
                <w:lang w:val="en-US" w:eastAsia="zh-CN"/>
              </w:rPr>
              <w:t>，</w:t>
            </w:r>
            <w:r>
              <w:rPr>
                <w:rFonts w:hint="eastAsia" w:ascii="宋体" w:hAnsi="宋体" w:eastAsia="宋体" w:cs="宋体"/>
                <w:b w:val="0"/>
                <w:color w:val="000000"/>
                <w:kern w:val="2"/>
                <w:sz w:val="21"/>
                <w:szCs w:val="21"/>
                <w:highlight w:val="none"/>
                <w:lang w:val="en-US" w:eastAsia="zh-CN" w:bidi="ar"/>
              </w:rPr>
              <w:t>给予政策性价格扣除，用扣除后的价格参与评审</w:t>
            </w:r>
            <w:r>
              <w:rPr>
                <w:rFonts w:hint="eastAsia" w:ascii="宋体" w:hAnsi="宋体" w:eastAsia="宋体" w:cs="宋体"/>
                <w:b/>
                <w:bCs w:val="0"/>
                <w:color w:val="000000"/>
                <w:kern w:val="2"/>
                <w:sz w:val="21"/>
                <w:szCs w:val="21"/>
                <w:highlight w:val="none"/>
                <w:lang w:val="en-US" w:eastAsia="zh-CN" w:bidi="ar"/>
              </w:rPr>
              <w:t>（未提供上述证明文件或不符合条件的，不享受价格扣除优惠）。</w:t>
            </w:r>
          </w:p>
          <w:p w14:paraId="5AECE84A">
            <w:pPr>
              <w:pStyle w:val="30"/>
              <w:keepNext w:val="0"/>
              <w:keepLines w:val="0"/>
              <w:pageBreakBefore w:val="0"/>
              <w:widowControl w:val="0"/>
              <w:kinsoku/>
              <w:wordWrap w:val="0"/>
              <w:overflowPunct/>
              <w:topLinePunct w:val="0"/>
              <w:autoSpaceDE w:val="0"/>
              <w:autoSpaceDN w:val="0"/>
              <w:bidi w:val="0"/>
              <w:adjustRightInd/>
              <w:snapToGrid/>
              <w:spacing w:before="63" w:beforeLines="20" w:after="63" w:afterLines="20" w:line="380" w:lineRule="exact"/>
              <w:ind w:left="105" w:leftChars="50" w:right="21" w:rightChars="10" w:firstLine="231" w:firstLineChars="110"/>
              <w:textAlignment w:val="baseline"/>
              <w:rPr>
                <w:rFonts w:hint="eastAsia" w:ascii="宋体" w:hAnsi="宋体" w:eastAsia="宋体" w:cs="宋体"/>
                <w:b w:val="0"/>
                <w:color w:val="000000"/>
                <w:sz w:val="21"/>
                <w:szCs w:val="21"/>
                <w:highlight w:val="none"/>
                <w:lang w:val="en-US"/>
              </w:rPr>
            </w:pPr>
            <w:r>
              <w:rPr>
                <w:rFonts w:hint="eastAsia" w:ascii="宋体" w:hAnsi="宋体" w:eastAsia="宋体" w:cs="宋体"/>
                <w:b w:val="0"/>
                <w:color w:val="000000"/>
                <w:sz w:val="21"/>
                <w:szCs w:val="21"/>
                <w:highlight w:val="none"/>
                <w:lang w:val="en-US"/>
              </w:rPr>
              <w:t>（6）中小企业折扣与本国产品折扣进行叠加计算，用扣除后的价格参加评审。即评标报价=投标报价-中小企业折扣-本国产品折扣，除上述情况外，评标报价=投标报价。</w:t>
            </w:r>
          </w:p>
          <w:p w14:paraId="706EA163">
            <w:pPr>
              <w:pStyle w:val="30"/>
              <w:keepNext w:val="0"/>
              <w:keepLines w:val="0"/>
              <w:pageBreakBefore w:val="0"/>
              <w:widowControl w:val="0"/>
              <w:kinsoku/>
              <w:wordWrap w:val="0"/>
              <w:overflowPunct/>
              <w:topLinePunct w:val="0"/>
              <w:autoSpaceDE w:val="0"/>
              <w:autoSpaceDN w:val="0"/>
              <w:bidi w:val="0"/>
              <w:adjustRightInd/>
              <w:snapToGrid/>
              <w:spacing w:before="63" w:beforeLines="20" w:after="63" w:afterLines="20" w:line="380" w:lineRule="exact"/>
              <w:ind w:left="105" w:leftChars="50" w:right="21" w:rightChars="10" w:firstLine="231" w:firstLineChars="110"/>
              <w:textAlignment w:val="baseline"/>
              <w:rPr>
                <w:rFonts w:hint="eastAsia" w:ascii="宋体" w:hAnsi="宋体" w:eastAsia="宋体" w:cs="宋体"/>
                <w:b w:val="0"/>
                <w:color w:val="000000"/>
                <w:sz w:val="21"/>
                <w:szCs w:val="21"/>
                <w:highlight w:val="none"/>
                <w:lang w:val="en-US"/>
              </w:rPr>
            </w:pPr>
            <w:r>
              <w:rPr>
                <w:rFonts w:hint="eastAsia" w:ascii="宋体" w:hAnsi="宋体" w:eastAsia="宋体" w:cs="宋体"/>
                <w:b w:val="0"/>
                <w:color w:val="000000"/>
                <w:sz w:val="21"/>
                <w:szCs w:val="21"/>
                <w:highlight w:val="none"/>
                <w:lang w:val="en-US"/>
              </w:rPr>
              <w:t>（7）满足招标文件要求且评标报价最低的评标报价为评标基准价，其价格分为满分。</w:t>
            </w:r>
          </w:p>
          <w:p w14:paraId="72C742B4">
            <w:pPr>
              <w:keepNext w:val="0"/>
              <w:keepLines w:val="0"/>
              <w:pageBreakBefore w:val="0"/>
              <w:widowControl w:val="0"/>
              <w:kinsoku/>
              <w:wordWrap w:val="0"/>
              <w:overflowPunct/>
              <w:topLinePunct w:val="0"/>
              <w:autoSpaceDE/>
              <w:autoSpaceDN/>
              <w:bidi w:val="0"/>
              <w:adjustRightInd/>
              <w:snapToGrid/>
              <w:spacing w:before="63" w:beforeLines="20" w:after="63" w:afterLines="20" w:line="380" w:lineRule="exact"/>
              <w:ind w:left="105" w:leftChars="50" w:right="21" w:rightChars="10" w:firstLine="210" w:firstLineChars="100"/>
              <w:jc w:val="both"/>
              <w:textAlignment w:val="auto"/>
              <w:rPr>
                <w:rFonts w:hint="eastAsia" w:ascii="宋体" w:hAnsi="宋体" w:eastAsia="宋体" w:cs="宋体"/>
                <w:b w:val="0"/>
                <w:color w:val="000000"/>
                <w:sz w:val="21"/>
                <w:szCs w:val="21"/>
                <w:highlight w:val="none"/>
                <w:lang w:eastAsia="zh-CN"/>
              </w:rPr>
            </w:pPr>
            <w:r>
              <w:rPr>
                <w:rFonts w:hint="eastAsia" w:ascii="宋体" w:hAnsi="宋体" w:eastAsia="宋体" w:cs="宋体"/>
                <w:b w:val="0"/>
                <w:color w:val="000000"/>
                <w:sz w:val="21"/>
                <w:szCs w:val="21"/>
                <w:highlight w:val="none"/>
                <w:lang w:val="en-US"/>
              </w:rPr>
              <w:t>（8）价格分计算公式：价格分</w:t>
            </w:r>
            <w:r>
              <w:rPr>
                <w:rFonts w:hint="eastAsia" w:ascii="宋体" w:hAnsi="宋体" w:eastAsia="宋体" w:cs="宋体"/>
                <w:b w:val="0"/>
                <w:color w:val="000000"/>
                <w:sz w:val="21"/>
                <w:szCs w:val="21"/>
                <w:highlight w:val="none"/>
                <w:lang w:val="en-US" w:eastAsia="zh-CN"/>
              </w:rPr>
              <w:t>=</w:t>
            </w:r>
            <w:r>
              <w:rPr>
                <w:rFonts w:hint="eastAsia" w:ascii="宋体" w:hAnsi="宋体" w:eastAsia="宋体" w:cs="宋体"/>
                <w:b w:val="0"/>
                <w:color w:val="000000"/>
                <w:sz w:val="21"/>
                <w:szCs w:val="21"/>
                <w:highlight w:val="none"/>
                <w:lang w:val="en-US"/>
              </w:rPr>
              <w:t xml:space="preserve">（评标基准价／评标报价）× </w:t>
            </w:r>
            <w:r>
              <w:rPr>
                <w:rFonts w:hint="eastAsia" w:ascii="宋体" w:hAnsi="宋体" w:eastAsia="宋体" w:cs="宋体"/>
                <w:b w:val="0"/>
                <w:color w:val="000000"/>
                <w:sz w:val="21"/>
                <w:szCs w:val="21"/>
                <w:highlight w:val="none"/>
                <w:lang w:val="en-US" w:eastAsia="zh-CN"/>
              </w:rPr>
              <w:t xml:space="preserve">30 </w:t>
            </w:r>
            <w:r>
              <w:rPr>
                <w:rFonts w:hint="eastAsia" w:ascii="宋体" w:hAnsi="宋体" w:eastAsia="宋体" w:cs="宋体"/>
                <w:b w:val="0"/>
                <w:color w:val="000000"/>
                <w:sz w:val="21"/>
                <w:szCs w:val="21"/>
                <w:highlight w:val="none"/>
                <w:lang w:val="en-US"/>
              </w:rPr>
              <w:t xml:space="preserve">分       </w:t>
            </w:r>
          </w:p>
        </w:tc>
      </w:tr>
      <w:tr w14:paraId="7D67D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3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6E5B2DBA">
            <w:pPr>
              <w:pStyle w:val="257"/>
              <w:keepNext w:val="0"/>
              <w:keepLines w:val="0"/>
              <w:pageBreakBefore w:val="0"/>
              <w:kinsoku/>
              <w:wordWrap w:val="0"/>
              <w:overflowPunct/>
              <w:topLinePunct w:val="0"/>
              <w:bidi w:val="0"/>
              <w:adjustRightInd/>
              <w:snapToGrid/>
              <w:spacing w:line="400" w:lineRule="exact"/>
              <w:ind w:left="0" w:leftChars="0" w:right="0" w:rightChars="0"/>
              <w:jc w:val="center"/>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eastAsia="zh-CN"/>
              </w:rPr>
              <w:t>2</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518F86">
            <w:pPr>
              <w:pStyle w:val="257"/>
              <w:keepNext w:val="0"/>
              <w:keepLines w:val="0"/>
              <w:pageBreakBefore w:val="0"/>
              <w:kinsoku/>
              <w:wordWrap w:val="0"/>
              <w:overflowPunct/>
              <w:topLinePunct w:val="0"/>
              <w:bidi w:val="0"/>
              <w:adjustRightInd/>
              <w:snapToGrid/>
              <w:spacing w:line="400" w:lineRule="exact"/>
              <w:ind w:left="0" w:leftChars="0" w:right="0" w:rightChars="0"/>
              <w:jc w:val="center"/>
              <w:rPr>
                <w:rFonts w:hint="eastAsia" w:ascii="宋体" w:hAnsi="宋体" w:eastAsia="宋体" w:cs="宋体"/>
                <w:b/>
                <w:bCs w:val="0"/>
                <w:color w:val="000000"/>
                <w:kern w:val="0"/>
                <w:sz w:val="21"/>
                <w:szCs w:val="21"/>
                <w:highlight w:val="none"/>
                <w:lang w:eastAsia="zh-Hans"/>
              </w:rPr>
            </w:pPr>
            <w:bookmarkStart w:id="91" w:name="_Toc28378"/>
            <w:r>
              <w:rPr>
                <w:rFonts w:hint="eastAsia" w:ascii="宋体" w:hAnsi="宋体" w:eastAsia="宋体" w:cs="宋体"/>
                <w:b/>
                <w:bCs w:val="0"/>
                <w:color w:val="000000"/>
                <w:kern w:val="0"/>
                <w:sz w:val="21"/>
                <w:szCs w:val="21"/>
                <w:highlight w:val="none"/>
                <w:lang w:eastAsia="zh-Hans"/>
              </w:rPr>
              <w:t>技术条款响应情况</w:t>
            </w:r>
          </w:p>
          <w:p w14:paraId="16E0186A">
            <w:pPr>
              <w:pStyle w:val="257"/>
              <w:keepNext w:val="0"/>
              <w:keepLines w:val="0"/>
              <w:pageBreakBefore w:val="0"/>
              <w:kinsoku/>
              <w:wordWrap w:val="0"/>
              <w:overflowPunct/>
              <w:topLinePunct w:val="0"/>
              <w:bidi w:val="0"/>
              <w:adjustRightInd/>
              <w:snapToGrid/>
              <w:spacing w:line="400" w:lineRule="exact"/>
              <w:ind w:left="0" w:leftChars="0" w:right="0" w:rightChars="0"/>
              <w:jc w:val="center"/>
              <w:rPr>
                <w:rFonts w:hint="eastAsia" w:ascii="宋体" w:hAnsi="宋体" w:eastAsia="宋体" w:cs="宋体"/>
                <w:b/>
                <w:bCs w:val="0"/>
                <w:color w:val="000000"/>
                <w:spacing w:val="-4"/>
                <w:position w:val="15"/>
                <w:sz w:val="21"/>
                <w:szCs w:val="21"/>
                <w:highlight w:val="none"/>
                <w:lang w:eastAsia="zh-CN"/>
              </w:rPr>
            </w:pPr>
            <w:r>
              <w:rPr>
                <w:rFonts w:hint="eastAsia" w:ascii="宋体" w:hAnsi="宋体" w:eastAsia="宋体" w:cs="宋体"/>
                <w:b/>
                <w:bCs w:val="0"/>
                <w:color w:val="000000"/>
                <w:kern w:val="0"/>
                <w:sz w:val="21"/>
                <w:szCs w:val="21"/>
                <w:highlight w:val="none"/>
                <w:lang w:eastAsia="zh-Hans"/>
              </w:rPr>
              <w:t xml:space="preserve"> (</w:t>
            </w:r>
            <w:r>
              <w:rPr>
                <w:rFonts w:hint="eastAsia" w:ascii="宋体" w:hAnsi="宋体" w:eastAsia="宋体" w:cs="宋体"/>
                <w:b/>
                <w:bCs w:val="0"/>
                <w:color w:val="000000"/>
                <w:spacing w:val="-3"/>
                <w:sz w:val="21"/>
                <w:szCs w:val="21"/>
                <w:highlight w:val="none"/>
                <w:lang w:val="en-US" w:eastAsia="zh-CN"/>
              </w:rPr>
              <w:t>满分</w:t>
            </w:r>
            <w:r>
              <w:rPr>
                <w:rFonts w:hint="eastAsia" w:ascii="宋体" w:hAnsi="宋体" w:eastAsia="宋体" w:cs="宋体"/>
                <w:b/>
                <w:bCs w:val="0"/>
                <w:color w:val="000000"/>
                <w:kern w:val="0"/>
                <w:sz w:val="21"/>
                <w:szCs w:val="21"/>
                <w:highlight w:val="none"/>
                <w:lang w:val="en-US" w:eastAsia="zh-CN"/>
              </w:rPr>
              <w:t xml:space="preserve"> 40</w:t>
            </w:r>
            <w:r>
              <w:rPr>
                <w:rFonts w:hint="eastAsia" w:ascii="宋体" w:hAnsi="宋体" w:eastAsia="宋体" w:cs="宋体"/>
                <w:b/>
                <w:bCs w:val="0"/>
                <w:color w:val="000000"/>
                <w:kern w:val="0"/>
                <w:sz w:val="21"/>
                <w:szCs w:val="21"/>
                <w:highlight w:val="none"/>
                <w:lang w:eastAsia="zh-Hans"/>
              </w:rPr>
              <w:t>分)</w:t>
            </w:r>
          </w:p>
          <w:bookmarkEnd w:id="91"/>
        </w:tc>
        <w:tc>
          <w:tcPr>
            <w:tcW w:w="7323"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0BEB2ED">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0" w:firstLineChars="0"/>
              <w:textAlignment w:val="auto"/>
              <w:rPr>
                <w:rFonts w:hint="eastAsia" w:ascii="宋体" w:hAnsi="宋体" w:eastAsia="宋体" w:cs="宋体"/>
                <w:b w:val="0"/>
                <w:color w:val="000000"/>
                <w:sz w:val="21"/>
                <w:szCs w:val="21"/>
                <w:highlight w:val="none"/>
                <w:lang w:eastAsia="zh-CN"/>
              </w:rPr>
            </w:pPr>
            <w:r>
              <w:rPr>
                <w:rFonts w:hint="eastAsia" w:ascii="宋体" w:hAnsi="宋体" w:eastAsia="宋体" w:cs="宋体"/>
                <w:b w:val="0"/>
                <w:color w:val="000000"/>
                <w:sz w:val="21"/>
                <w:szCs w:val="21"/>
                <w:highlight w:val="none"/>
              </w:rPr>
              <w:t>评委根据招标文件要求，</w:t>
            </w:r>
            <w:r>
              <w:rPr>
                <w:rFonts w:hint="eastAsia" w:ascii="宋体" w:hAnsi="宋体" w:eastAsia="宋体" w:cs="宋体"/>
                <w:color w:val="000000"/>
                <w:sz w:val="21"/>
                <w:szCs w:val="21"/>
                <w:highlight w:val="none"/>
              </w:rPr>
              <w:t>对满足招标文件全部实质性要求进入详评的</w:t>
            </w:r>
            <w:r>
              <w:rPr>
                <w:rFonts w:hint="eastAsia" w:ascii="宋体" w:hAnsi="宋体" w:eastAsia="宋体" w:cs="宋体"/>
                <w:b w:val="0"/>
                <w:color w:val="000000"/>
                <w:sz w:val="21"/>
                <w:szCs w:val="21"/>
                <w:highlight w:val="none"/>
              </w:rPr>
              <w:t>各投标人投标文件</w:t>
            </w:r>
            <w:r>
              <w:rPr>
                <w:rFonts w:hint="eastAsia" w:ascii="宋体" w:hAnsi="宋体" w:eastAsia="宋体" w:cs="宋体"/>
                <w:b w:val="0"/>
                <w:color w:val="000000"/>
                <w:sz w:val="21"/>
                <w:szCs w:val="21"/>
                <w:highlight w:val="none"/>
                <w:lang w:val="en-US" w:eastAsia="zh-CN"/>
              </w:rPr>
              <w:t>中</w:t>
            </w:r>
            <w:r>
              <w:rPr>
                <w:rFonts w:hint="eastAsia" w:ascii="宋体" w:hAnsi="宋体" w:eastAsia="宋体" w:cs="宋体"/>
                <w:b w:val="0"/>
                <w:color w:val="000000"/>
                <w:sz w:val="21"/>
                <w:szCs w:val="21"/>
                <w:highlight w:val="none"/>
                <w:lang w:eastAsia="zh-CN"/>
              </w:rPr>
              <w:t>技术</w:t>
            </w:r>
            <w:r>
              <w:rPr>
                <w:rFonts w:hint="eastAsia" w:ascii="宋体" w:hAnsi="宋体" w:eastAsia="宋体" w:cs="宋体"/>
                <w:b w:val="0"/>
                <w:color w:val="000000"/>
                <w:sz w:val="21"/>
                <w:szCs w:val="21"/>
                <w:highlight w:val="none"/>
                <w:lang w:val="en-US" w:eastAsia="zh-CN"/>
              </w:rPr>
              <w:t>参数响应偏离表</w:t>
            </w:r>
            <w:r>
              <w:rPr>
                <w:rFonts w:hint="eastAsia" w:ascii="宋体" w:hAnsi="宋体" w:eastAsia="宋体" w:cs="宋体"/>
                <w:b w:val="0"/>
                <w:color w:val="000000"/>
                <w:sz w:val="21"/>
                <w:szCs w:val="21"/>
                <w:highlight w:val="none"/>
                <w:lang w:eastAsia="zh-CN"/>
              </w:rPr>
              <w:t>的响应情况进行独立评审</w:t>
            </w:r>
            <w:r>
              <w:rPr>
                <w:rFonts w:hint="eastAsia" w:ascii="宋体" w:hAnsi="宋体" w:eastAsia="宋体" w:cs="宋体"/>
                <w:b w:val="0"/>
                <w:color w:val="000000"/>
                <w:sz w:val="21"/>
                <w:szCs w:val="21"/>
                <w:highlight w:val="none"/>
              </w:rPr>
              <w:t>，并按如下计分方式确定得分：</w:t>
            </w:r>
          </w:p>
          <w:p w14:paraId="48D729A8">
            <w:pPr>
              <w:pStyle w:val="30"/>
              <w:keepNext w:val="0"/>
              <w:keepLines w:val="0"/>
              <w:pageBreakBefore w:val="0"/>
              <w:widowControl w:val="0"/>
              <w:kinsoku/>
              <w:wordWrap/>
              <w:overflowPunct/>
              <w:topLinePunct w:val="0"/>
              <w:autoSpaceDE/>
              <w:autoSpaceDN/>
              <w:bidi w:val="0"/>
              <w:adjustRightInd/>
              <w:snapToGrid/>
              <w:spacing w:line="400" w:lineRule="exact"/>
              <w:ind w:left="113" w:leftChars="0" w:right="113" w:firstLine="0" w:firstLineChars="0"/>
              <w:textAlignment w:val="auto"/>
              <w:rPr>
                <w:rFonts w:hint="eastAsia" w:ascii="宋体" w:hAnsi="宋体" w:eastAsia="宋体" w:cs="宋体"/>
                <w:b/>
                <w:bCs w:val="0"/>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针对分标一（满分40分）：</w:t>
            </w:r>
          </w:p>
          <w:p w14:paraId="056DD40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13" w:leftChars="0" w:right="113" w:firstLine="211" w:firstLineChars="10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b/>
                <w:bCs w:val="0"/>
                <w:color w:val="000000"/>
                <w:kern w:val="0"/>
                <w:sz w:val="21"/>
                <w:szCs w:val="21"/>
                <w:highlight w:val="none"/>
                <w:lang w:eastAsia="zh-Hans"/>
              </w:rPr>
              <w:t>（</w:t>
            </w:r>
            <w:r>
              <w:rPr>
                <w:rFonts w:hint="eastAsia" w:ascii="宋体" w:hAnsi="宋体" w:eastAsia="宋体" w:cs="宋体"/>
                <w:b/>
                <w:bCs w:val="0"/>
                <w:color w:val="000000"/>
                <w:kern w:val="0"/>
                <w:sz w:val="21"/>
                <w:szCs w:val="21"/>
                <w:highlight w:val="none"/>
                <w:lang w:eastAsia="zh-CN"/>
              </w:rPr>
              <w:t>1</w:t>
            </w:r>
            <w:r>
              <w:rPr>
                <w:rFonts w:hint="eastAsia" w:ascii="宋体" w:hAnsi="宋体" w:eastAsia="宋体" w:cs="宋体"/>
                <w:b/>
                <w:bCs w:val="0"/>
                <w:color w:val="000000"/>
                <w:kern w:val="0"/>
                <w:sz w:val="21"/>
                <w:szCs w:val="21"/>
                <w:highlight w:val="none"/>
                <w:lang w:eastAsia="zh-Hans"/>
              </w:rPr>
              <w:t>）重要技术条款响应情况 (</w:t>
            </w:r>
            <w:r>
              <w:rPr>
                <w:rFonts w:hint="eastAsia" w:ascii="宋体" w:hAnsi="宋体" w:cs="宋体"/>
                <w:b/>
                <w:bCs w:val="0"/>
                <w:color w:val="000000"/>
                <w:kern w:val="0"/>
                <w:sz w:val="21"/>
                <w:szCs w:val="21"/>
                <w:highlight w:val="none"/>
                <w:lang w:val="en-US" w:eastAsia="zh-CN"/>
              </w:rPr>
              <w:t>24</w:t>
            </w:r>
            <w:r>
              <w:rPr>
                <w:rFonts w:hint="eastAsia" w:ascii="宋体" w:hAnsi="宋体" w:eastAsia="宋体" w:cs="宋体"/>
                <w:b/>
                <w:bCs w:val="0"/>
                <w:color w:val="000000"/>
                <w:kern w:val="0"/>
                <w:sz w:val="21"/>
                <w:szCs w:val="21"/>
                <w:highlight w:val="none"/>
                <w:lang w:eastAsia="zh-Hans"/>
              </w:rPr>
              <w:t>分)</w:t>
            </w:r>
          </w:p>
          <w:p w14:paraId="1A9DC28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13" w:leftChars="0" w:right="113" w:firstLine="210" w:firstLineChars="10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对</w:t>
            </w:r>
            <w:r>
              <w:rPr>
                <w:rFonts w:hint="eastAsia" w:ascii="宋体" w:hAnsi="宋体" w:eastAsia="宋体" w:cs="宋体"/>
                <w:color w:val="000000"/>
                <w:sz w:val="21"/>
                <w:szCs w:val="21"/>
                <w:highlight w:val="none"/>
                <w:lang w:eastAsia="zh-CN"/>
              </w:rPr>
              <w:t>采购需求技术标准与要求中，标注“</w:t>
            </w:r>
            <w:r>
              <w:rPr>
                <w:rFonts w:hint="eastAsia" w:ascii="宋体" w:hAnsi="宋体" w:eastAsia="宋体" w:cs="宋体"/>
                <w:b/>
                <w:color w:val="000000"/>
                <w:sz w:val="21"/>
                <w:szCs w:val="21"/>
                <w:highlight w:val="none"/>
              </w:rPr>
              <w:t>●</w:t>
            </w:r>
            <w:r>
              <w:rPr>
                <w:rFonts w:hint="eastAsia" w:ascii="宋体" w:hAnsi="宋体" w:eastAsia="宋体" w:cs="宋体"/>
                <w:color w:val="000000"/>
                <w:sz w:val="21"/>
                <w:szCs w:val="21"/>
                <w:highlight w:val="none"/>
                <w:lang w:eastAsia="zh-CN"/>
              </w:rPr>
              <w:t>”的重要技术参数（</w:t>
            </w:r>
            <w:r>
              <w:rPr>
                <w:rFonts w:hint="eastAsia" w:ascii="宋体" w:hAnsi="宋体" w:eastAsia="宋体" w:cs="宋体"/>
                <w:color w:val="000000"/>
                <w:sz w:val="21"/>
                <w:szCs w:val="21"/>
                <w:highlight w:val="none"/>
                <w:lang w:val="en-US" w:eastAsia="zh-CN"/>
              </w:rPr>
              <w:t>共计</w:t>
            </w:r>
            <w:r>
              <w:rPr>
                <w:rFonts w:hint="eastAsia" w:ascii="宋体" w:hAnsi="宋体" w:cs="宋体"/>
                <w:color w:val="000000"/>
                <w:sz w:val="21"/>
                <w:szCs w:val="21"/>
                <w:highlight w:val="none"/>
                <w:lang w:val="en-US" w:eastAsia="zh-CN"/>
              </w:rPr>
              <w:t>8</w:t>
            </w:r>
            <w:r>
              <w:rPr>
                <w:rFonts w:hint="eastAsia" w:ascii="宋体" w:hAnsi="宋体" w:eastAsia="宋体" w:cs="宋体"/>
                <w:color w:val="000000"/>
                <w:sz w:val="21"/>
                <w:szCs w:val="21"/>
                <w:highlight w:val="none"/>
                <w:lang w:val="en-US" w:eastAsia="zh-CN"/>
              </w:rPr>
              <w:t>项</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响应情况进行评审：</w:t>
            </w:r>
          </w:p>
          <w:p w14:paraId="2D1DA54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13" w:leftChars="0" w:right="113" w:firstLine="210" w:firstLineChars="10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eastAsia="zh-CN"/>
              </w:rPr>
              <w:t>完全满足或优于招标文件采购需求重要技术标准与要求的，得</w:t>
            </w:r>
            <w:r>
              <w:rPr>
                <w:rFonts w:hint="eastAsia" w:ascii="宋体" w:hAnsi="宋体" w:cs="宋体"/>
                <w:color w:val="000000"/>
                <w:sz w:val="21"/>
                <w:szCs w:val="21"/>
                <w:highlight w:val="none"/>
                <w:lang w:val="en-US" w:eastAsia="zh-CN"/>
              </w:rPr>
              <w:t>24</w:t>
            </w:r>
            <w:r>
              <w:rPr>
                <w:rFonts w:hint="eastAsia" w:ascii="宋体" w:hAnsi="宋体" w:eastAsia="宋体" w:cs="宋体"/>
                <w:color w:val="000000"/>
                <w:sz w:val="21"/>
                <w:szCs w:val="21"/>
                <w:highlight w:val="none"/>
                <w:lang w:eastAsia="zh-CN"/>
              </w:rPr>
              <w:t>分，</w:t>
            </w:r>
            <w:r>
              <w:rPr>
                <w:rFonts w:hint="eastAsia" w:ascii="宋体" w:hAnsi="宋体" w:eastAsia="宋体" w:cs="宋体"/>
                <w:bCs/>
                <w:color w:val="000000"/>
                <w:szCs w:val="21"/>
                <w:highlight w:val="none"/>
              </w:rPr>
              <w:t>每有1项（条）</w:t>
            </w:r>
            <w:r>
              <w:rPr>
                <w:rFonts w:hint="eastAsia" w:ascii="宋体" w:hAnsi="宋体" w:eastAsia="宋体" w:cs="宋体"/>
                <w:bCs/>
                <w:color w:val="000000"/>
                <w:szCs w:val="21"/>
                <w:highlight w:val="none"/>
                <w:lang w:val="en-US" w:eastAsia="zh-CN"/>
              </w:rPr>
              <w:t>出现</w:t>
            </w:r>
            <w:r>
              <w:rPr>
                <w:rFonts w:hint="eastAsia" w:ascii="宋体" w:hAnsi="宋体" w:eastAsia="宋体" w:cs="宋体"/>
                <w:bCs/>
                <w:color w:val="000000"/>
                <w:szCs w:val="21"/>
                <w:highlight w:val="none"/>
              </w:rPr>
              <w:t>负偏离或漏项或不满足的</w:t>
            </w:r>
            <w:r>
              <w:rPr>
                <w:rFonts w:hint="eastAsia" w:ascii="宋体" w:hAnsi="宋体" w:eastAsia="宋体" w:cs="宋体"/>
                <w:color w:val="000000"/>
                <w:sz w:val="21"/>
                <w:szCs w:val="21"/>
                <w:highlight w:val="none"/>
                <w:lang w:eastAsia="zh-CN"/>
              </w:rPr>
              <w:t>扣</w:t>
            </w:r>
            <w:r>
              <w:rPr>
                <w:rFonts w:hint="eastAsia" w:ascii="宋体" w:hAnsi="宋体" w:cs="宋体"/>
                <w:color w:val="000000"/>
                <w:sz w:val="21"/>
                <w:szCs w:val="21"/>
                <w:highlight w:val="none"/>
                <w:lang w:val="en-US" w:eastAsia="zh-CN"/>
              </w:rPr>
              <w:t>3</w:t>
            </w:r>
            <w:r>
              <w:rPr>
                <w:rFonts w:hint="eastAsia" w:ascii="宋体" w:hAnsi="宋体" w:eastAsia="宋体" w:cs="宋体"/>
                <w:color w:val="000000"/>
                <w:sz w:val="21"/>
                <w:szCs w:val="21"/>
                <w:highlight w:val="none"/>
                <w:lang w:eastAsia="zh-CN"/>
              </w:rPr>
              <w:t>分，</w:t>
            </w:r>
            <w:r>
              <w:rPr>
                <w:rFonts w:hint="eastAsia" w:ascii="宋体" w:hAnsi="宋体" w:eastAsia="宋体" w:cs="宋体"/>
                <w:color w:val="000000"/>
                <w:sz w:val="21"/>
                <w:szCs w:val="21"/>
                <w:highlight w:val="none"/>
                <w:lang w:val="en-US" w:eastAsia="zh-CN"/>
              </w:rPr>
              <w:t>扣完为止</w:t>
            </w:r>
            <w:r>
              <w:rPr>
                <w:rFonts w:hint="eastAsia" w:ascii="宋体" w:hAnsi="宋体" w:eastAsia="宋体" w:cs="宋体"/>
                <w:color w:val="000000"/>
                <w:sz w:val="21"/>
                <w:szCs w:val="21"/>
                <w:highlight w:val="none"/>
                <w:lang w:eastAsia="zh-CN"/>
              </w:rPr>
              <w:t>。</w:t>
            </w:r>
          </w:p>
          <w:p w14:paraId="056E1FE6">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1" w:firstLineChars="100"/>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eastAsia="zh-CN"/>
              </w:rPr>
              <w:t>（</w:t>
            </w:r>
            <w:r>
              <w:rPr>
                <w:rFonts w:hint="eastAsia" w:ascii="宋体" w:hAnsi="宋体" w:eastAsia="宋体" w:cs="宋体"/>
                <w:b/>
                <w:bCs w:val="0"/>
                <w:color w:val="000000"/>
                <w:sz w:val="21"/>
                <w:szCs w:val="21"/>
                <w:highlight w:val="none"/>
                <w:lang w:val="en-US" w:eastAsia="zh-CN"/>
              </w:rPr>
              <w:t>2</w:t>
            </w:r>
            <w:r>
              <w:rPr>
                <w:rFonts w:hint="eastAsia" w:ascii="宋体" w:hAnsi="宋体" w:eastAsia="宋体" w:cs="宋体"/>
                <w:b/>
                <w:bCs w:val="0"/>
                <w:color w:val="000000"/>
                <w:sz w:val="21"/>
                <w:szCs w:val="21"/>
                <w:highlight w:val="none"/>
                <w:lang w:eastAsia="zh-CN"/>
              </w:rPr>
              <w:t>）</w:t>
            </w:r>
            <w:r>
              <w:rPr>
                <w:rFonts w:hint="eastAsia" w:ascii="宋体" w:hAnsi="宋体" w:eastAsia="宋体" w:cs="宋体"/>
                <w:b/>
                <w:bCs w:val="0"/>
                <w:color w:val="000000"/>
                <w:kern w:val="0"/>
                <w:sz w:val="21"/>
                <w:szCs w:val="21"/>
                <w:highlight w:val="none"/>
                <w:lang w:eastAsia="zh-Hans"/>
              </w:rPr>
              <w:t>一般技术条款响应情况 (</w:t>
            </w:r>
            <w:r>
              <w:rPr>
                <w:rFonts w:hint="eastAsia" w:ascii="宋体" w:hAnsi="宋体" w:eastAsia="宋体" w:cs="宋体"/>
                <w:b/>
                <w:bCs w:val="0"/>
                <w:color w:val="000000"/>
                <w:kern w:val="0"/>
                <w:sz w:val="21"/>
                <w:szCs w:val="21"/>
                <w:highlight w:val="none"/>
                <w:lang w:val="en-US" w:eastAsia="zh-CN"/>
              </w:rPr>
              <w:t>1</w:t>
            </w:r>
            <w:r>
              <w:rPr>
                <w:rFonts w:hint="eastAsia" w:ascii="宋体" w:hAnsi="宋体" w:cs="宋体"/>
                <w:b/>
                <w:bCs w:val="0"/>
                <w:color w:val="000000"/>
                <w:kern w:val="0"/>
                <w:sz w:val="21"/>
                <w:szCs w:val="21"/>
                <w:highlight w:val="none"/>
                <w:lang w:val="en-US" w:eastAsia="zh-CN"/>
              </w:rPr>
              <w:t>6</w:t>
            </w:r>
            <w:r>
              <w:rPr>
                <w:rFonts w:hint="eastAsia" w:ascii="宋体" w:hAnsi="宋体" w:eastAsia="宋体" w:cs="宋体"/>
                <w:b/>
                <w:bCs w:val="0"/>
                <w:color w:val="000000"/>
                <w:kern w:val="0"/>
                <w:sz w:val="21"/>
                <w:szCs w:val="21"/>
                <w:highlight w:val="none"/>
                <w:lang w:eastAsia="zh-Hans"/>
              </w:rPr>
              <w:t>分)</w:t>
            </w:r>
          </w:p>
          <w:p w14:paraId="4482A24A">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0" w:firstLineChars="1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对采购需求技术标准与要求中</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未标注</w:t>
            </w:r>
            <w:r>
              <w:rPr>
                <w:rFonts w:hint="eastAsia" w:ascii="宋体" w:hAnsi="宋体" w:eastAsia="宋体" w:cs="宋体"/>
                <w:bCs/>
                <w:color w:val="000000"/>
                <w:sz w:val="21"/>
                <w:szCs w:val="21"/>
                <w:highlight w:val="none"/>
              </w:rPr>
              <w:t>“</w:t>
            </w:r>
            <w:r>
              <w:rPr>
                <w:rFonts w:hint="eastAsia" w:ascii="宋体" w:hAnsi="宋体" w:eastAsia="宋体" w:cs="宋体"/>
                <w:b/>
                <w:bCs/>
                <w:color w:val="000000"/>
                <w:kern w:val="0"/>
                <w:sz w:val="21"/>
                <w:szCs w:val="21"/>
                <w:highlight w:val="none"/>
              </w:rPr>
              <w:t>▲</w:t>
            </w:r>
            <w:r>
              <w:rPr>
                <w:rFonts w:hint="eastAsia" w:ascii="宋体" w:hAnsi="宋体" w:eastAsia="宋体" w:cs="宋体"/>
                <w:bCs/>
                <w:color w:val="000000"/>
                <w:sz w:val="21"/>
                <w:szCs w:val="21"/>
                <w:highlight w:val="none"/>
              </w:rPr>
              <w:t>”</w:t>
            </w:r>
            <w:r>
              <w:rPr>
                <w:rFonts w:hint="eastAsia" w:ascii="宋体" w:hAnsi="宋体" w:eastAsia="宋体" w:cs="宋体"/>
                <w:color w:val="000000"/>
                <w:sz w:val="21"/>
                <w:szCs w:val="21"/>
                <w:highlight w:val="none"/>
                <w:lang w:val="en-US" w:eastAsia="zh-CN"/>
              </w:rPr>
              <w:t>号和未标注</w:t>
            </w:r>
            <w:r>
              <w:rPr>
                <w:rFonts w:hint="eastAsia" w:ascii="宋体" w:hAnsi="宋体" w:eastAsia="宋体" w:cs="宋体"/>
                <w:bCs/>
                <w:color w:val="000000"/>
                <w:sz w:val="21"/>
                <w:szCs w:val="21"/>
                <w:highlight w:val="none"/>
              </w:rPr>
              <w:t>“</w:t>
            </w:r>
            <w:r>
              <w:rPr>
                <w:rFonts w:hint="eastAsia" w:ascii="宋体" w:hAnsi="宋体" w:eastAsia="宋体" w:cs="宋体"/>
                <w:b/>
                <w:color w:val="000000"/>
                <w:sz w:val="21"/>
                <w:szCs w:val="21"/>
                <w:highlight w:val="none"/>
              </w:rPr>
              <w:t>●</w:t>
            </w:r>
            <w:r>
              <w:rPr>
                <w:rFonts w:hint="eastAsia" w:ascii="宋体" w:hAnsi="宋体" w:eastAsia="宋体" w:cs="宋体"/>
                <w:bCs/>
                <w:color w:val="000000"/>
                <w:sz w:val="21"/>
                <w:szCs w:val="21"/>
                <w:highlight w:val="none"/>
              </w:rPr>
              <w:t>”</w:t>
            </w:r>
            <w:r>
              <w:rPr>
                <w:rFonts w:hint="eastAsia" w:ascii="宋体" w:hAnsi="宋体" w:eastAsia="宋体" w:cs="宋体"/>
                <w:color w:val="000000"/>
                <w:sz w:val="21"/>
                <w:szCs w:val="21"/>
                <w:highlight w:val="none"/>
                <w:lang w:val="en-US" w:eastAsia="zh-CN"/>
              </w:rPr>
              <w:t>号的</w:t>
            </w:r>
            <w:r>
              <w:rPr>
                <w:rFonts w:hint="eastAsia" w:ascii="宋体" w:hAnsi="宋体" w:eastAsia="宋体" w:cs="宋体"/>
                <w:color w:val="000000"/>
                <w:sz w:val="21"/>
                <w:szCs w:val="21"/>
                <w:highlight w:val="none"/>
              </w:rPr>
              <w:t>一般技术参数响应情况进行评审</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以符号标记处条款为准</w:t>
            </w:r>
            <w:r>
              <w:rPr>
                <w:rFonts w:hint="eastAsia" w:ascii="宋体" w:hAnsi="宋体" w:eastAsia="宋体" w:cs="宋体"/>
                <w:color w:val="000000"/>
                <w:sz w:val="21"/>
                <w:szCs w:val="21"/>
                <w:highlight w:val="none"/>
              </w:rPr>
              <w:t>：</w:t>
            </w:r>
          </w:p>
          <w:p w14:paraId="59C03DD4">
            <w:pPr>
              <w:keepNext w:val="0"/>
              <w:keepLines w:val="0"/>
              <w:pageBreakBefore w:val="0"/>
              <w:widowControl w:val="0"/>
              <w:kinsoku/>
              <w:wordWrap/>
              <w:overflowPunct/>
              <w:topLinePunct w:val="0"/>
              <w:autoSpaceDE/>
              <w:autoSpaceDN/>
              <w:bidi w:val="0"/>
              <w:adjustRightInd/>
              <w:snapToGrid/>
              <w:spacing w:line="400" w:lineRule="exact"/>
              <w:ind w:left="113" w:leftChars="0" w:right="113" w:firstLine="210" w:firstLineChars="100"/>
              <w:jc w:val="left"/>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完全满足或优于招标文件</w:t>
            </w:r>
            <w:r>
              <w:rPr>
                <w:rFonts w:hint="eastAsia" w:ascii="宋体" w:hAnsi="宋体" w:eastAsia="宋体" w:cs="宋体"/>
                <w:color w:val="000000"/>
                <w:sz w:val="21"/>
                <w:szCs w:val="21"/>
                <w:highlight w:val="none"/>
                <w:lang w:eastAsia="zh-CN"/>
              </w:rPr>
              <w:t>采购需求</w:t>
            </w:r>
            <w:r>
              <w:rPr>
                <w:rFonts w:hint="eastAsia" w:ascii="宋体" w:hAnsi="宋体" w:eastAsia="宋体" w:cs="宋体"/>
                <w:b w:val="0"/>
                <w:bCs/>
                <w:color w:val="000000"/>
                <w:kern w:val="0"/>
                <w:sz w:val="21"/>
                <w:szCs w:val="21"/>
                <w:highlight w:val="none"/>
                <w:lang w:eastAsia="zh-Hans"/>
              </w:rPr>
              <w:t>一般</w:t>
            </w:r>
            <w:r>
              <w:rPr>
                <w:rFonts w:hint="eastAsia" w:ascii="宋体" w:hAnsi="宋体" w:eastAsia="宋体" w:cs="宋体"/>
                <w:color w:val="000000"/>
                <w:sz w:val="21"/>
                <w:szCs w:val="21"/>
                <w:highlight w:val="none"/>
                <w:lang w:eastAsia="zh-CN"/>
              </w:rPr>
              <w:t>技术标准与要求</w:t>
            </w:r>
            <w:r>
              <w:rPr>
                <w:rFonts w:hint="eastAsia" w:ascii="宋体" w:hAnsi="宋体" w:eastAsia="宋体" w:cs="宋体"/>
                <w:color w:val="000000"/>
                <w:sz w:val="21"/>
                <w:szCs w:val="21"/>
                <w:highlight w:val="none"/>
                <w:lang w:val="en-US" w:eastAsia="zh-CN"/>
              </w:rPr>
              <w:t>的，</w:t>
            </w:r>
            <w:r>
              <w:rPr>
                <w:rFonts w:hint="eastAsia" w:ascii="宋体" w:hAnsi="宋体" w:eastAsia="宋体" w:cs="宋体"/>
                <w:color w:val="000000"/>
                <w:sz w:val="21"/>
                <w:szCs w:val="21"/>
                <w:highlight w:val="none"/>
              </w:rPr>
              <w:t>得</w:t>
            </w:r>
            <w:r>
              <w:rPr>
                <w:rFonts w:hint="eastAsia" w:ascii="宋体" w:hAnsi="宋体" w:eastAsia="宋体" w:cs="宋体"/>
                <w:color w:val="000000"/>
                <w:sz w:val="21"/>
                <w:szCs w:val="21"/>
                <w:highlight w:val="none"/>
                <w:lang w:val="en-US" w:eastAsia="zh-CN"/>
              </w:rPr>
              <w:t>1</w:t>
            </w:r>
            <w:r>
              <w:rPr>
                <w:rFonts w:hint="eastAsia" w:ascii="宋体" w:hAnsi="宋体" w:cs="宋体"/>
                <w:color w:val="000000"/>
                <w:sz w:val="21"/>
                <w:szCs w:val="21"/>
                <w:highlight w:val="none"/>
                <w:lang w:val="en-US" w:eastAsia="zh-CN"/>
              </w:rPr>
              <w:t>6</w:t>
            </w:r>
            <w:r>
              <w:rPr>
                <w:rFonts w:hint="eastAsia" w:ascii="宋体" w:hAnsi="宋体" w:eastAsia="宋体" w:cs="宋体"/>
                <w:color w:val="000000"/>
                <w:sz w:val="21"/>
                <w:szCs w:val="21"/>
                <w:highlight w:val="none"/>
              </w:rPr>
              <w:t>分，</w:t>
            </w:r>
            <w:r>
              <w:rPr>
                <w:rFonts w:hint="eastAsia" w:ascii="宋体" w:hAnsi="宋体" w:eastAsia="宋体" w:cs="宋体"/>
                <w:bCs/>
                <w:color w:val="000000"/>
                <w:szCs w:val="21"/>
                <w:highlight w:val="none"/>
              </w:rPr>
              <w:t>每有1项（条）</w:t>
            </w:r>
            <w:r>
              <w:rPr>
                <w:rFonts w:hint="eastAsia" w:ascii="宋体" w:hAnsi="宋体" w:eastAsia="宋体" w:cs="宋体"/>
                <w:bCs/>
                <w:color w:val="000000"/>
                <w:szCs w:val="21"/>
                <w:highlight w:val="none"/>
                <w:lang w:val="en-US" w:eastAsia="zh-CN"/>
              </w:rPr>
              <w:t>出现</w:t>
            </w:r>
            <w:r>
              <w:rPr>
                <w:rFonts w:hint="eastAsia" w:ascii="宋体" w:hAnsi="宋体" w:eastAsia="宋体" w:cs="宋体"/>
                <w:bCs/>
                <w:color w:val="000000"/>
                <w:szCs w:val="21"/>
                <w:highlight w:val="none"/>
              </w:rPr>
              <w:t>负偏离或漏项或不满足</w:t>
            </w:r>
            <w:r>
              <w:rPr>
                <w:rFonts w:hint="eastAsia" w:ascii="宋体" w:hAnsi="宋体" w:cs="宋体"/>
                <w:bCs/>
                <w:color w:val="000000"/>
                <w:szCs w:val="21"/>
                <w:highlight w:val="none"/>
                <w:lang w:eastAsia="zh-CN"/>
              </w:rPr>
              <w:t>（</w:t>
            </w:r>
            <w:r>
              <w:rPr>
                <w:rFonts w:hint="eastAsia" w:ascii="宋体" w:hAnsi="宋体" w:cs="宋体"/>
                <w:bCs/>
                <w:color w:val="000000"/>
                <w:szCs w:val="21"/>
                <w:highlight w:val="none"/>
                <w:lang w:val="en-US" w:eastAsia="zh-CN"/>
              </w:rPr>
              <w:t>设备配置清单按整项计算</w:t>
            </w:r>
            <w:r>
              <w:rPr>
                <w:rFonts w:hint="eastAsia" w:ascii="宋体" w:hAnsi="宋体" w:cs="宋体"/>
                <w:bCs/>
                <w:color w:val="000000"/>
                <w:szCs w:val="21"/>
                <w:highlight w:val="none"/>
                <w:lang w:eastAsia="zh-CN"/>
              </w:rPr>
              <w:t>）</w:t>
            </w:r>
            <w:r>
              <w:rPr>
                <w:rFonts w:hint="eastAsia" w:ascii="宋体" w:hAnsi="宋体" w:eastAsia="宋体" w:cs="宋体"/>
                <w:bCs/>
                <w:color w:val="000000"/>
                <w:szCs w:val="21"/>
                <w:highlight w:val="none"/>
              </w:rPr>
              <w:t>的</w:t>
            </w:r>
            <w:r>
              <w:rPr>
                <w:rFonts w:hint="eastAsia" w:ascii="宋体" w:hAnsi="宋体" w:eastAsia="宋体" w:cs="宋体"/>
                <w:color w:val="000000"/>
                <w:sz w:val="21"/>
                <w:szCs w:val="21"/>
                <w:highlight w:val="none"/>
                <w:lang w:eastAsia="zh-CN"/>
              </w:rPr>
              <w:t>扣</w:t>
            </w:r>
            <w:r>
              <w:rPr>
                <w:rFonts w:hint="eastAsia" w:ascii="宋体" w:hAnsi="宋体" w:cs="宋体"/>
                <w:color w:val="000000"/>
                <w:sz w:val="21"/>
                <w:szCs w:val="21"/>
                <w:highlight w:val="none"/>
                <w:lang w:val="en-US" w:eastAsia="zh-CN"/>
              </w:rPr>
              <w:t>0.73</w:t>
            </w:r>
            <w:r>
              <w:rPr>
                <w:rFonts w:hint="eastAsia" w:ascii="宋体" w:hAnsi="宋体" w:eastAsia="宋体" w:cs="宋体"/>
                <w:color w:val="000000"/>
                <w:sz w:val="21"/>
                <w:szCs w:val="21"/>
                <w:highlight w:val="none"/>
                <w:lang w:eastAsia="zh-CN"/>
              </w:rPr>
              <w:t>分，</w:t>
            </w:r>
            <w:r>
              <w:rPr>
                <w:rFonts w:hint="eastAsia" w:ascii="宋体" w:hAnsi="宋体" w:cs="宋体"/>
                <w:color w:val="000000"/>
                <w:sz w:val="21"/>
                <w:szCs w:val="21"/>
                <w:highlight w:val="none"/>
                <w:lang w:val="en-US" w:eastAsia="zh-CN"/>
              </w:rPr>
              <w:t>扣完为止</w:t>
            </w:r>
            <w:r>
              <w:rPr>
                <w:rFonts w:hint="eastAsia" w:ascii="宋体" w:hAnsi="宋体" w:eastAsia="宋体" w:cs="宋体"/>
                <w:color w:val="000000"/>
                <w:sz w:val="21"/>
                <w:szCs w:val="21"/>
                <w:highlight w:val="none"/>
                <w:lang w:eastAsia="zh-CN"/>
              </w:rPr>
              <w:t>。</w:t>
            </w:r>
          </w:p>
          <w:p w14:paraId="21AE12D1">
            <w:pPr>
              <w:pStyle w:val="30"/>
              <w:keepNext w:val="0"/>
              <w:keepLines w:val="0"/>
              <w:pageBreakBefore w:val="0"/>
              <w:widowControl w:val="0"/>
              <w:kinsoku/>
              <w:wordWrap/>
              <w:overflowPunct/>
              <w:topLinePunct w:val="0"/>
              <w:autoSpaceDE/>
              <w:autoSpaceDN/>
              <w:bidi w:val="0"/>
              <w:adjustRightInd/>
              <w:snapToGrid/>
              <w:spacing w:line="400" w:lineRule="exact"/>
              <w:ind w:left="113" w:leftChars="0" w:right="113" w:firstLine="0" w:firstLineChars="0"/>
              <w:jc w:val="left"/>
              <w:textAlignment w:val="auto"/>
              <w:rPr>
                <w:rFonts w:hint="eastAsia" w:ascii="宋体" w:hAnsi="宋体" w:eastAsia="宋体" w:cs="宋体"/>
                <w:b/>
                <w:bCs w:val="0"/>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针对分标二（满分40分）：</w:t>
            </w:r>
          </w:p>
          <w:p w14:paraId="3BC2FED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13" w:leftChars="0" w:right="113" w:firstLine="211" w:firstLineChars="10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b/>
                <w:bCs w:val="0"/>
                <w:color w:val="000000"/>
                <w:kern w:val="0"/>
                <w:sz w:val="21"/>
                <w:szCs w:val="21"/>
                <w:highlight w:val="none"/>
                <w:lang w:eastAsia="zh-Hans"/>
              </w:rPr>
              <w:t>（</w:t>
            </w:r>
            <w:r>
              <w:rPr>
                <w:rFonts w:hint="eastAsia" w:ascii="宋体" w:hAnsi="宋体" w:eastAsia="宋体" w:cs="宋体"/>
                <w:b/>
                <w:bCs w:val="0"/>
                <w:color w:val="000000"/>
                <w:kern w:val="0"/>
                <w:sz w:val="21"/>
                <w:szCs w:val="21"/>
                <w:highlight w:val="none"/>
                <w:lang w:eastAsia="zh-CN"/>
              </w:rPr>
              <w:t>1</w:t>
            </w:r>
            <w:r>
              <w:rPr>
                <w:rFonts w:hint="eastAsia" w:ascii="宋体" w:hAnsi="宋体" w:eastAsia="宋体" w:cs="宋体"/>
                <w:b/>
                <w:bCs w:val="0"/>
                <w:color w:val="000000"/>
                <w:kern w:val="0"/>
                <w:sz w:val="21"/>
                <w:szCs w:val="21"/>
                <w:highlight w:val="none"/>
                <w:lang w:eastAsia="zh-Hans"/>
              </w:rPr>
              <w:t>）重要技术条款响应情况 (</w:t>
            </w:r>
            <w:r>
              <w:rPr>
                <w:rFonts w:hint="eastAsia" w:ascii="宋体" w:hAnsi="宋体" w:eastAsia="宋体" w:cs="宋体"/>
                <w:b/>
                <w:bCs w:val="0"/>
                <w:color w:val="000000"/>
                <w:kern w:val="0"/>
                <w:sz w:val="21"/>
                <w:szCs w:val="21"/>
                <w:highlight w:val="none"/>
                <w:lang w:val="en-US" w:eastAsia="zh-CN"/>
              </w:rPr>
              <w:t>24</w:t>
            </w:r>
            <w:r>
              <w:rPr>
                <w:rFonts w:hint="eastAsia" w:ascii="宋体" w:hAnsi="宋体" w:eastAsia="宋体" w:cs="宋体"/>
                <w:b/>
                <w:bCs w:val="0"/>
                <w:color w:val="000000"/>
                <w:kern w:val="0"/>
                <w:sz w:val="21"/>
                <w:szCs w:val="21"/>
                <w:highlight w:val="none"/>
                <w:lang w:eastAsia="zh-Hans"/>
              </w:rPr>
              <w:t>分)</w:t>
            </w:r>
          </w:p>
          <w:p w14:paraId="555938D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13" w:leftChars="0" w:right="113" w:firstLine="210" w:firstLineChars="10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对</w:t>
            </w:r>
            <w:r>
              <w:rPr>
                <w:rFonts w:hint="eastAsia" w:ascii="宋体" w:hAnsi="宋体" w:eastAsia="宋体" w:cs="宋体"/>
                <w:color w:val="000000"/>
                <w:sz w:val="21"/>
                <w:szCs w:val="21"/>
                <w:highlight w:val="none"/>
                <w:lang w:eastAsia="zh-CN"/>
              </w:rPr>
              <w:t>采购需求技术标准与要求中，标注“</w:t>
            </w:r>
            <w:r>
              <w:rPr>
                <w:rFonts w:hint="eastAsia" w:ascii="宋体" w:hAnsi="宋体" w:eastAsia="宋体" w:cs="宋体"/>
                <w:b/>
                <w:color w:val="000000"/>
                <w:sz w:val="21"/>
                <w:szCs w:val="21"/>
                <w:highlight w:val="none"/>
              </w:rPr>
              <w:t>●</w:t>
            </w:r>
            <w:r>
              <w:rPr>
                <w:rFonts w:hint="eastAsia" w:ascii="宋体" w:hAnsi="宋体" w:eastAsia="宋体" w:cs="宋体"/>
                <w:color w:val="000000"/>
                <w:sz w:val="21"/>
                <w:szCs w:val="21"/>
                <w:highlight w:val="none"/>
                <w:lang w:eastAsia="zh-CN"/>
              </w:rPr>
              <w:t>”的重要技术参数（</w:t>
            </w:r>
            <w:r>
              <w:rPr>
                <w:rFonts w:hint="eastAsia" w:ascii="宋体" w:hAnsi="宋体" w:eastAsia="宋体" w:cs="宋体"/>
                <w:color w:val="000000"/>
                <w:sz w:val="21"/>
                <w:szCs w:val="21"/>
                <w:highlight w:val="none"/>
                <w:lang w:val="en-US" w:eastAsia="zh-CN"/>
              </w:rPr>
              <w:t>共计8项</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响应情况进行评审：</w:t>
            </w:r>
          </w:p>
          <w:p w14:paraId="6360BDC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13" w:leftChars="0" w:right="113" w:firstLine="210" w:firstLineChars="10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eastAsia="zh-CN"/>
              </w:rPr>
              <w:t>完全满足或优于招标文件采购需求重要技术标准与要求的，得</w:t>
            </w:r>
            <w:r>
              <w:rPr>
                <w:rFonts w:hint="eastAsia" w:ascii="宋体" w:hAnsi="宋体" w:eastAsia="宋体" w:cs="宋体"/>
                <w:color w:val="000000"/>
                <w:sz w:val="21"/>
                <w:szCs w:val="21"/>
                <w:highlight w:val="none"/>
                <w:lang w:val="en-US" w:eastAsia="zh-CN"/>
              </w:rPr>
              <w:t>24</w:t>
            </w:r>
            <w:r>
              <w:rPr>
                <w:rFonts w:hint="eastAsia" w:ascii="宋体" w:hAnsi="宋体" w:eastAsia="宋体" w:cs="宋体"/>
                <w:color w:val="000000"/>
                <w:sz w:val="21"/>
                <w:szCs w:val="21"/>
                <w:highlight w:val="none"/>
                <w:lang w:eastAsia="zh-CN"/>
              </w:rPr>
              <w:t>分，</w:t>
            </w:r>
            <w:r>
              <w:rPr>
                <w:rFonts w:hint="eastAsia" w:ascii="宋体" w:hAnsi="宋体" w:eastAsia="宋体" w:cs="宋体"/>
                <w:bCs/>
                <w:color w:val="000000"/>
                <w:szCs w:val="21"/>
                <w:highlight w:val="none"/>
              </w:rPr>
              <w:t>每有1项（条）</w:t>
            </w:r>
            <w:r>
              <w:rPr>
                <w:rFonts w:hint="eastAsia" w:ascii="宋体" w:hAnsi="宋体" w:eastAsia="宋体" w:cs="宋体"/>
                <w:bCs/>
                <w:color w:val="000000"/>
                <w:szCs w:val="21"/>
                <w:highlight w:val="none"/>
                <w:lang w:val="en-US" w:eastAsia="zh-CN"/>
              </w:rPr>
              <w:t>出现</w:t>
            </w:r>
            <w:r>
              <w:rPr>
                <w:rFonts w:hint="eastAsia" w:ascii="宋体" w:hAnsi="宋体" w:eastAsia="宋体" w:cs="宋体"/>
                <w:bCs/>
                <w:color w:val="000000"/>
                <w:szCs w:val="21"/>
                <w:highlight w:val="none"/>
              </w:rPr>
              <w:t>负偏离或漏项或不满足的</w:t>
            </w:r>
            <w:r>
              <w:rPr>
                <w:rFonts w:hint="eastAsia" w:ascii="宋体" w:hAnsi="宋体" w:eastAsia="宋体" w:cs="宋体"/>
                <w:color w:val="000000"/>
                <w:sz w:val="21"/>
                <w:szCs w:val="21"/>
                <w:highlight w:val="none"/>
                <w:lang w:eastAsia="zh-CN"/>
              </w:rPr>
              <w:t>扣</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lang w:eastAsia="zh-CN"/>
              </w:rPr>
              <w:t>分，</w:t>
            </w:r>
            <w:r>
              <w:rPr>
                <w:rFonts w:hint="eastAsia" w:ascii="宋体" w:hAnsi="宋体" w:eastAsia="宋体" w:cs="宋体"/>
                <w:color w:val="000000"/>
                <w:sz w:val="21"/>
                <w:szCs w:val="21"/>
                <w:highlight w:val="none"/>
                <w:lang w:val="en-US" w:eastAsia="zh-CN"/>
              </w:rPr>
              <w:t>扣完为止</w:t>
            </w:r>
            <w:r>
              <w:rPr>
                <w:rFonts w:hint="eastAsia" w:ascii="宋体" w:hAnsi="宋体" w:eastAsia="宋体" w:cs="宋体"/>
                <w:color w:val="000000"/>
                <w:sz w:val="21"/>
                <w:szCs w:val="21"/>
                <w:highlight w:val="none"/>
                <w:lang w:eastAsia="zh-CN"/>
              </w:rPr>
              <w:t>。</w:t>
            </w:r>
          </w:p>
          <w:p w14:paraId="581D009A">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1" w:firstLineChars="100"/>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eastAsia="zh-CN"/>
              </w:rPr>
              <w:t>（</w:t>
            </w:r>
            <w:r>
              <w:rPr>
                <w:rFonts w:hint="eastAsia" w:ascii="宋体" w:hAnsi="宋体" w:eastAsia="宋体" w:cs="宋体"/>
                <w:b/>
                <w:bCs w:val="0"/>
                <w:color w:val="000000"/>
                <w:sz w:val="21"/>
                <w:szCs w:val="21"/>
                <w:highlight w:val="none"/>
                <w:lang w:val="en-US" w:eastAsia="zh-CN"/>
              </w:rPr>
              <w:t>2</w:t>
            </w:r>
            <w:r>
              <w:rPr>
                <w:rFonts w:hint="eastAsia" w:ascii="宋体" w:hAnsi="宋体" w:eastAsia="宋体" w:cs="宋体"/>
                <w:b/>
                <w:bCs w:val="0"/>
                <w:color w:val="000000"/>
                <w:sz w:val="21"/>
                <w:szCs w:val="21"/>
                <w:highlight w:val="none"/>
                <w:lang w:eastAsia="zh-CN"/>
              </w:rPr>
              <w:t>）</w:t>
            </w:r>
            <w:r>
              <w:rPr>
                <w:rFonts w:hint="eastAsia" w:ascii="宋体" w:hAnsi="宋体" w:eastAsia="宋体" w:cs="宋体"/>
                <w:b/>
                <w:bCs w:val="0"/>
                <w:color w:val="000000"/>
                <w:kern w:val="0"/>
                <w:sz w:val="21"/>
                <w:szCs w:val="21"/>
                <w:highlight w:val="none"/>
                <w:lang w:eastAsia="zh-Hans"/>
              </w:rPr>
              <w:t>一般技术条款响应情况 (</w:t>
            </w:r>
            <w:r>
              <w:rPr>
                <w:rFonts w:hint="eastAsia" w:ascii="宋体" w:hAnsi="宋体" w:eastAsia="宋体" w:cs="宋体"/>
                <w:b/>
                <w:bCs w:val="0"/>
                <w:color w:val="000000"/>
                <w:kern w:val="0"/>
                <w:sz w:val="21"/>
                <w:szCs w:val="21"/>
                <w:highlight w:val="none"/>
                <w:lang w:val="en-US" w:eastAsia="zh-CN"/>
              </w:rPr>
              <w:t>16</w:t>
            </w:r>
            <w:r>
              <w:rPr>
                <w:rFonts w:hint="eastAsia" w:ascii="宋体" w:hAnsi="宋体" w:eastAsia="宋体" w:cs="宋体"/>
                <w:b/>
                <w:bCs w:val="0"/>
                <w:color w:val="000000"/>
                <w:kern w:val="0"/>
                <w:sz w:val="21"/>
                <w:szCs w:val="21"/>
                <w:highlight w:val="none"/>
                <w:lang w:eastAsia="zh-Hans"/>
              </w:rPr>
              <w:t>分)</w:t>
            </w:r>
          </w:p>
          <w:p w14:paraId="306C6281">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0" w:firstLineChars="1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对采购需求技术标准与要求中</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未标注</w:t>
            </w:r>
            <w:r>
              <w:rPr>
                <w:rFonts w:hint="eastAsia" w:ascii="宋体" w:hAnsi="宋体" w:eastAsia="宋体" w:cs="宋体"/>
                <w:bCs/>
                <w:color w:val="000000"/>
                <w:sz w:val="21"/>
                <w:szCs w:val="21"/>
                <w:highlight w:val="none"/>
              </w:rPr>
              <w:t>“</w:t>
            </w:r>
            <w:r>
              <w:rPr>
                <w:rFonts w:hint="eastAsia" w:ascii="宋体" w:hAnsi="宋体" w:eastAsia="宋体" w:cs="宋体"/>
                <w:b/>
                <w:bCs/>
                <w:color w:val="000000"/>
                <w:kern w:val="0"/>
                <w:sz w:val="21"/>
                <w:szCs w:val="21"/>
                <w:highlight w:val="none"/>
              </w:rPr>
              <w:t>▲</w:t>
            </w:r>
            <w:r>
              <w:rPr>
                <w:rFonts w:hint="eastAsia" w:ascii="宋体" w:hAnsi="宋体" w:eastAsia="宋体" w:cs="宋体"/>
                <w:bCs/>
                <w:color w:val="000000"/>
                <w:sz w:val="21"/>
                <w:szCs w:val="21"/>
                <w:highlight w:val="none"/>
              </w:rPr>
              <w:t>”</w:t>
            </w:r>
            <w:r>
              <w:rPr>
                <w:rFonts w:hint="eastAsia" w:ascii="宋体" w:hAnsi="宋体" w:eastAsia="宋体" w:cs="宋体"/>
                <w:color w:val="000000"/>
                <w:sz w:val="21"/>
                <w:szCs w:val="21"/>
                <w:highlight w:val="none"/>
                <w:lang w:val="en-US" w:eastAsia="zh-CN"/>
              </w:rPr>
              <w:t>号和未标注</w:t>
            </w:r>
            <w:r>
              <w:rPr>
                <w:rFonts w:hint="eastAsia" w:ascii="宋体" w:hAnsi="宋体" w:eastAsia="宋体" w:cs="宋体"/>
                <w:bCs/>
                <w:color w:val="000000"/>
                <w:sz w:val="21"/>
                <w:szCs w:val="21"/>
                <w:highlight w:val="none"/>
              </w:rPr>
              <w:t>“</w:t>
            </w:r>
            <w:r>
              <w:rPr>
                <w:rFonts w:hint="eastAsia" w:ascii="宋体" w:hAnsi="宋体" w:eastAsia="宋体" w:cs="宋体"/>
                <w:b/>
                <w:color w:val="000000"/>
                <w:sz w:val="21"/>
                <w:szCs w:val="21"/>
                <w:highlight w:val="none"/>
              </w:rPr>
              <w:t>●</w:t>
            </w:r>
            <w:r>
              <w:rPr>
                <w:rFonts w:hint="eastAsia" w:ascii="宋体" w:hAnsi="宋体" w:eastAsia="宋体" w:cs="宋体"/>
                <w:bCs/>
                <w:color w:val="000000"/>
                <w:sz w:val="21"/>
                <w:szCs w:val="21"/>
                <w:highlight w:val="none"/>
              </w:rPr>
              <w:t>”</w:t>
            </w:r>
            <w:r>
              <w:rPr>
                <w:rFonts w:hint="eastAsia" w:ascii="宋体" w:hAnsi="宋体" w:eastAsia="宋体" w:cs="宋体"/>
                <w:color w:val="000000"/>
                <w:sz w:val="21"/>
                <w:szCs w:val="21"/>
                <w:highlight w:val="none"/>
                <w:lang w:val="en-US" w:eastAsia="zh-CN"/>
              </w:rPr>
              <w:t>号的</w:t>
            </w:r>
            <w:r>
              <w:rPr>
                <w:rFonts w:hint="eastAsia" w:ascii="宋体" w:hAnsi="宋体" w:eastAsia="宋体" w:cs="宋体"/>
                <w:color w:val="000000"/>
                <w:sz w:val="21"/>
                <w:szCs w:val="21"/>
                <w:highlight w:val="none"/>
              </w:rPr>
              <w:t>一般技术参数响应情况进行评审</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以符号标记处条款为准</w:t>
            </w:r>
            <w:r>
              <w:rPr>
                <w:rFonts w:hint="eastAsia" w:ascii="宋体" w:hAnsi="宋体" w:eastAsia="宋体" w:cs="宋体"/>
                <w:color w:val="000000"/>
                <w:sz w:val="21"/>
                <w:szCs w:val="21"/>
                <w:highlight w:val="none"/>
              </w:rPr>
              <w:t>：</w:t>
            </w:r>
          </w:p>
          <w:p w14:paraId="33CC0126">
            <w:pPr>
              <w:keepNext w:val="0"/>
              <w:keepLines w:val="0"/>
              <w:pageBreakBefore w:val="0"/>
              <w:widowControl w:val="0"/>
              <w:kinsoku/>
              <w:wordWrap/>
              <w:overflowPunct/>
              <w:topLinePunct w:val="0"/>
              <w:autoSpaceDE/>
              <w:autoSpaceDN/>
              <w:bidi w:val="0"/>
              <w:adjustRightInd/>
              <w:snapToGrid/>
              <w:spacing w:line="400" w:lineRule="exact"/>
              <w:ind w:left="113" w:leftChars="0" w:right="113" w:firstLine="210" w:firstLineChars="100"/>
              <w:jc w:val="left"/>
              <w:textAlignment w:val="auto"/>
              <w:rPr>
                <w:rFonts w:hint="eastAsia" w:ascii="宋体" w:hAnsi="宋体" w:eastAsia="宋体" w:cs="宋体"/>
                <w:color w:val="000000"/>
                <w:sz w:val="24"/>
                <w:szCs w:val="24"/>
                <w:highlight w:val="none"/>
                <w:lang w:eastAsia="zh-CN"/>
              </w:rPr>
            </w:pPr>
            <w:r>
              <w:rPr>
                <w:rFonts w:hint="eastAsia" w:ascii="宋体" w:hAnsi="宋体" w:eastAsia="宋体" w:cs="宋体"/>
                <w:b w:val="0"/>
                <w:bCs/>
                <w:color w:val="000000"/>
                <w:sz w:val="21"/>
                <w:szCs w:val="21"/>
                <w:highlight w:val="none"/>
                <w:lang w:val="en-US" w:eastAsia="zh-CN"/>
              </w:rPr>
              <w:t>完全满足或优于招标文件采购需求</w:t>
            </w:r>
            <w:r>
              <w:rPr>
                <w:rFonts w:hint="eastAsia" w:ascii="宋体" w:hAnsi="宋体" w:eastAsia="宋体" w:cs="宋体"/>
                <w:b w:val="0"/>
                <w:bCs/>
                <w:color w:val="000000"/>
                <w:sz w:val="21"/>
                <w:szCs w:val="21"/>
                <w:highlight w:val="none"/>
                <w:lang w:val="en-US" w:eastAsia="zh-Hans"/>
              </w:rPr>
              <w:t>一般</w:t>
            </w:r>
            <w:r>
              <w:rPr>
                <w:rFonts w:hint="eastAsia" w:ascii="宋体" w:hAnsi="宋体" w:eastAsia="宋体" w:cs="宋体"/>
                <w:b w:val="0"/>
                <w:bCs/>
                <w:color w:val="000000"/>
                <w:sz w:val="21"/>
                <w:szCs w:val="21"/>
                <w:highlight w:val="none"/>
                <w:lang w:val="en-US" w:eastAsia="zh-CN"/>
              </w:rPr>
              <w:t>技术标准与要求的，得16分，每有1项（条）出现负偏离或漏项或不满足</w:t>
            </w:r>
            <w:r>
              <w:rPr>
                <w:rFonts w:hint="eastAsia" w:ascii="宋体" w:hAnsi="宋体" w:cs="宋体"/>
                <w:bCs/>
                <w:color w:val="000000"/>
                <w:szCs w:val="21"/>
                <w:highlight w:val="none"/>
                <w:lang w:eastAsia="zh-CN"/>
              </w:rPr>
              <w:t>（</w:t>
            </w:r>
            <w:r>
              <w:rPr>
                <w:rFonts w:hint="eastAsia" w:ascii="宋体" w:hAnsi="宋体" w:cs="宋体"/>
                <w:bCs/>
                <w:color w:val="000000"/>
                <w:szCs w:val="21"/>
                <w:highlight w:val="none"/>
                <w:lang w:val="en-US" w:eastAsia="zh-CN"/>
              </w:rPr>
              <w:t>设备配置清单按整项计算</w:t>
            </w:r>
            <w:r>
              <w:rPr>
                <w:rFonts w:hint="eastAsia" w:ascii="宋体" w:hAnsi="宋体" w:cs="宋体"/>
                <w:bCs/>
                <w:color w:val="000000"/>
                <w:szCs w:val="21"/>
                <w:highlight w:val="none"/>
                <w:lang w:eastAsia="zh-CN"/>
              </w:rPr>
              <w:t>）</w:t>
            </w:r>
            <w:r>
              <w:rPr>
                <w:rFonts w:hint="eastAsia" w:ascii="宋体" w:hAnsi="宋体" w:eastAsia="宋体" w:cs="宋体"/>
                <w:b w:val="0"/>
                <w:bCs/>
                <w:color w:val="000000"/>
                <w:sz w:val="21"/>
                <w:szCs w:val="21"/>
                <w:highlight w:val="none"/>
                <w:lang w:val="en-US" w:eastAsia="zh-CN"/>
              </w:rPr>
              <w:t>的扣</w:t>
            </w:r>
            <w:r>
              <w:rPr>
                <w:rFonts w:hint="eastAsia" w:ascii="宋体" w:hAnsi="宋体" w:cs="宋体"/>
                <w:b w:val="0"/>
                <w:bCs/>
                <w:color w:val="000000"/>
                <w:sz w:val="21"/>
                <w:szCs w:val="21"/>
                <w:highlight w:val="none"/>
                <w:lang w:val="en-US" w:eastAsia="zh-CN"/>
              </w:rPr>
              <w:t>0.89</w:t>
            </w:r>
            <w:r>
              <w:rPr>
                <w:rFonts w:hint="eastAsia" w:ascii="宋体" w:hAnsi="宋体" w:eastAsia="宋体" w:cs="宋体"/>
                <w:b w:val="0"/>
                <w:bCs/>
                <w:color w:val="000000"/>
                <w:sz w:val="21"/>
                <w:szCs w:val="21"/>
                <w:highlight w:val="none"/>
                <w:lang w:val="en-US" w:eastAsia="zh-CN"/>
              </w:rPr>
              <w:t>分，扣完为止</w:t>
            </w:r>
            <w:r>
              <w:rPr>
                <w:rFonts w:hint="eastAsia" w:ascii="宋体" w:hAnsi="宋体" w:eastAsia="宋体" w:cs="宋体"/>
                <w:color w:val="000000"/>
                <w:sz w:val="24"/>
                <w:szCs w:val="24"/>
                <w:highlight w:val="none"/>
                <w:lang w:eastAsia="zh-CN"/>
              </w:rPr>
              <w:t>。</w:t>
            </w:r>
          </w:p>
          <w:p w14:paraId="63C80910">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0" w:firstLineChars="100"/>
              <w:textAlignment w:val="auto"/>
              <w:rPr>
                <w:rFonts w:hint="eastAsia" w:ascii="宋体" w:hAnsi="宋体" w:eastAsia="宋体" w:cs="宋体"/>
                <w:b w:val="0"/>
                <w:color w:val="000000"/>
                <w:sz w:val="21"/>
                <w:szCs w:val="21"/>
                <w:highlight w:val="none"/>
                <w:lang w:eastAsia="zh-CN"/>
              </w:rPr>
            </w:pPr>
            <w:r>
              <w:rPr>
                <w:rFonts w:hint="eastAsia" w:ascii="宋体" w:hAnsi="宋体" w:eastAsia="宋体" w:cs="宋体"/>
                <w:b w:val="0"/>
                <w:color w:val="000000"/>
                <w:sz w:val="21"/>
                <w:szCs w:val="21"/>
                <w:highlight w:val="none"/>
                <w:lang w:eastAsia="zh-CN"/>
              </w:rPr>
              <w:t>【备注：如采购需求中有明确</w:t>
            </w:r>
            <w:r>
              <w:rPr>
                <w:rFonts w:hint="eastAsia" w:ascii="宋体" w:hAnsi="宋体" w:eastAsia="宋体" w:cs="宋体"/>
                <w:b w:val="0"/>
                <w:color w:val="000000"/>
                <w:sz w:val="21"/>
                <w:szCs w:val="21"/>
                <w:highlight w:val="none"/>
                <w:lang w:val="en-US" w:eastAsia="zh-CN"/>
              </w:rPr>
              <w:t>要求</w:t>
            </w:r>
            <w:r>
              <w:rPr>
                <w:rFonts w:hint="eastAsia" w:ascii="宋体" w:hAnsi="宋体" w:eastAsia="宋体" w:cs="宋体"/>
                <w:b w:val="0"/>
                <w:color w:val="000000"/>
                <w:sz w:val="21"/>
                <w:szCs w:val="21"/>
                <w:highlight w:val="none"/>
                <w:lang w:eastAsia="zh-CN"/>
              </w:rPr>
              <w:t>提供</w:t>
            </w:r>
            <w:r>
              <w:rPr>
                <w:rFonts w:hint="eastAsia" w:ascii="宋体" w:hAnsi="宋体" w:eastAsia="宋体" w:cs="宋体"/>
                <w:b w:val="0"/>
                <w:color w:val="000000"/>
                <w:sz w:val="21"/>
                <w:szCs w:val="21"/>
                <w:highlight w:val="none"/>
                <w:lang w:val="en-US" w:eastAsia="zh-CN"/>
              </w:rPr>
              <w:t>相关</w:t>
            </w:r>
            <w:r>
              <w:rPr>
                <w:rFonts w:hint="eastAsia" w:ascii="宋体" w:hAnsi="宋体" w:eastAsia="宋体" w:cs="宋体"/>
                <w:b w:val="0"/>
                <w:color w:val="000000"/>
                <w:sz w:val="21"/>
                <w:szCs w:val="21"/>
                <w:highlight w:val="none"/>
                <w:lang w:eastAsia="zh-CN"/>
              </w:rPr>
              <w:t>证明</w:t>
            </w:r>
            <w:r>
              <w:rPr>
                <w:rFonts w:hint="eastAsia" w:ascii="宋体" w:hAnsi="宋体" w:eastAsia="宋体" w:cs="宋体"/>
                <w:b w:val="0"/>
                <w:color w:val="000000"/>
                <w:sz w:val="21"/>
                <w:szCs w:val="21"/>
                <w:highlight w:val="none"/>
                <w:lang w:val="en-US" w:eastAsia="zh-CN"/>
              </w:rPr>
              <w:t>材料</w:t>
            </w:r>
            <w:r>
              <w:rPr>
                <w:rFonts w:hint="eastAsia" w:ascii="宋体" w:hAnsi="宋体" w:eastAsia="宋体" w:cs="宋体"/>
                <w:b w:val="0"/>
                <w:color w:val="000000"/>
                <w:sz w:val="21"/>
                <w:szCs w:val="21"/>
                <w:highlight w:val="none"/>
                <w:lang w:eastAsia="zh-CN"/>
              </w:rPr>
              <w:t>的，</w:t>
            </w:r>
            <w:r>
              <w:rPr>
                <w:rFonts w:hint="eastAsia" w:ascii="宋体" w:hAnsi="宋体" w:eastAsia="宋体" w:cs="宋体"/>
                <w:b w:val="0"/>
                <w:color w:val="000000"/>
                <w:sz w:val="21"/>
                <w:szCs w:val="21"/>
                <w:highlight w:val="none"/>
                <w:lang w:val="en-US" w:eastAsia="zh-CN"/>
              </w:rPr>
              <w:t>投标人</w:t>
            </w:r>
            <w:r>
              <w:rPr>
                <w:rFonts w:hint="eastAsia" w:ascii="宋体" w:hAnsi="宋体" w:eastAsia="宋体" w:cs="宋体"/>
                <w:b w:val="0"/>
                <w:bCs/>
                <w:color w:val="000000"/>
                <w:sz w:val="21"/>
                <w:szCs w:val="21"/>
                <w:highlight w:val="none"/>
              </w:rPr>
              <w:t>未按</w:t>
            </w:r>
            <w:r>
              <w:rPr>
                <w:rFonts w:hint="eastAsia" w:ascii="宋体" w:hAnsi="宋体" w:eastAsia="宋体" w:cs="宋体"/>
                <w:b w:val="0"/>
                <w:bCs/>
                <w:color w:val="000000"/>
                <w:sz w:val="21"/>
                <w:szCs w:val="21"/>
                <w:highlight w:val="none"/>
                <w:lang w:val="en-US" w:eastAsia="zh-CN"/>
              </w:rPr>
              <w:t>要求</w:t>
            </w:r>
            <w:r>
              <w:rPr>
                <w:rFonts w:hint="eastAsia" w:ascii="宋体" w:hAnsi="宋体" w:eastAsia="宋体" w:cs="宋体"/>
                <w:b w:val="0"/>
                <w:bCs/>
                <w:color w:val="000000"/>
                <w:sz w:val="21"/>
                <w:szCs w:val="21"/>
                <w:highlight w:val="none"/>
              </w:rPr>
              <w:t>提供证明材料或提供的证明文件</w:t>
            </w:r>
            <w:r>
              <w:rPr>
                <w:rFonts w:hint="eastAsia" w:ascii="宋体" w:hAnsi="宋体" w:eastAsia="宋体" w:cs="宋体"/>
                <w:b w:val="0"/>
                <w:bCs/>
                <w:color w:val="000000"/>
                <w:sz w:val="21"/>
                <w:szCs w:val="21"/>
                <w:highlight w:val="none"/>
                <w:lang w:val="en-US" w:eastAsia="zh-CN"/>
              </w:rPr>
              <w:t>不满足（或不能证明）相应技术参数</w:t>
            </w:r>
            <w:r>
              <w:rPr>
                <w:rFonts w:hint="eastAsia" w:ascii="宋体" w:hAnsi="宋体" w:eastAsia="宋体" w:cs="宋体"/>
                <w:b w:val="0"/>
                <w:bCs/>
                <w:color w:val="000000"/>
                <w:sz w:val="21"/>
                <w:szCs w:val="21"/>
                <w:highlight w:val="none"/>
              </w:rPr>
              <w:t>的，视为不满足该项技术参数</w:t>
            </w:r>
            <w:r>
              <w:rPr>
                <w:rFonts w:hint="eastAsia" w:ascii="宋体" w:hAnsi="宋体" w:eastAsia="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lang w:val="en-US" w:eastAsia="zh-CN"/>
              </w:rPr>
              <w:t>按负偏离处理</w:t>
            </w:r>
            <w:r>
              <w:rPr>
                <w:rFonts w:hint="eastAsia" w:ascii="宋体" w:hAnsi="宋体" w:eastAsia="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lang w:val="en-US" w:eastAsia="zh-CN"/>
              </w:rPr>
              <w:t>投标文件中投标人的响应承诺与证明材料不一致的，以证明材料为准</w:t>
            </w:r>
            <w:r>
              <w:rPr>
                <w:rFonts w:hint="eastAsia" w:ascii="宋体" w:hAnsi="宋体" w:eastAsia="宋体" w:cs="宋体"/>
                <w:b w:val="0"/>
                <w:bCs/>
                <w:color w:val="000000"/>
                <w:sz w:val="21"/>
                <w:szCs w:val="21"/>
                <w:highlight w:val="none"/>
              </w:rPr>
              <w:t>。</w:t>
            </w:r>
            <w:r>
              <w:rPr>
                <w:rFonts w:hint="eastAsia" w:ascii="宋体" w:hAnsi="宋体" w:eastAsia="宋体" w:cs="宋体"/>
                <w:b w:val="0"/>
                <w:color w:val="000000"/>
                <w:sz w:val="21"/>
                <w:szCs w:val="21"/>
                <w:highlight w:val="none"/>
                <w:lang w:eastAsia="zh-CN"/>
              </w:rPr>
              <w:t>】</w:t>
            </w:r>
          </w:p>
        </w:tc>
      </w:tr>
      <w:tr w14:paraId="6215A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37"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2447B8A3">
            <w:pPr>
              <w:pStyle w:val="257"/>
              <w:keepNext w:val="0"/>
              <w:keepLines w:val="0"/>
              <w:pageBreakBefore w:val="0"/>
              <w:kinsoku/>
              <w:wordWrap w:val="0"/>
              <w:overflowPunct/>
              <w:topLinePunct w:val="0"/>
              <w:bidi w:val="0"/>
              <w:adjustRightInd/>
              <w:snapToGrid/>
              <w:spacing w:line="400" w:lineRule="exact"/>
              <w:ind w:left="0" w:leftChars="0" w:right="0" w:rightChars="0"/>
              <w:jc w:val="center"/>
              <w:rPr>
                <w:rFonts w:hint="eastAsia" w:ascii="宋体" w:hAnsi="宋体" w:eastAsia="宋体" w:cs="宋体"/>
                <w:b/>
                <w:bCs w:val="0"/>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3</w:t>
            </w:r>
          </w:p>
        </w:tc>
        <w:tc>
          <w:tcPr>
            <w:tcW w:w="1456"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3E146313">
            <w:pPr>
              <w:keepNext w:val="0"/>
              <w:keepLines w:val="0"/>
              <w:pageBreakBefore w:val="0"/>
              <w:kinsoku/>
              <w:wordWrap w:val="0"/>
              <w:overflowPunct/>
              <w:topLinePunct w:val="0"/>
              <w:bidi w:val="0"/>
              <w:spacing w:line="400" w:lineRule="exact"/>
              <w:ind w:left="0" w:leftChars="0" w:right="0" w:rightChars="0"/>
              <w:jc w:val="center"/>
              <w:rPr>
                <w:rFonts w:hint="eastAsia" w:ascii="宋体" w:hAnsi="宋体" w:eastAsia="宋体" w:cs="宋体"/>
                <w:b/>
                <w:bCs w:val="0"/>
                <w:color w:val="000000"/>
                <w:kern w:val="0"/>
                <w:sz w:val="21"/>
                <w:szCs w:val="21"/>
                <w:highlight w:val="none"/>
                <w:lang w:eastAsia="zh-Hans"/>
              </w:rPr>
            </w:pPr>
            <w:r>
              <w:rPr>
                <w:rFonts w:hint="eastAsia" w:ascii="宋体" w:hAnsi="宋体" w:eastAsia="宋体" w:cs="宋体"/>
                <w:b/>
                <w:bCs w:val="0"/>
                <w:color w:val="000000"/>
                <w:kern w:val="0"/>
                <w:sz w:val="21"/>
                <w:szCs w:val="21"/>
                <w:highlight w:val="none"/>
                <w:lang w:val="en-US" w:eastAsia="zh-CN"/>
              </w:rPr>
              <w:t>项目</w:t>
            </w:r>
            <w:r>
              <w:rPr>
                <w:rFonts w:hint="eastAsia" w:ascii="宋体" w:hAnsi="宋体" w:eastAsia="宋体" w:cs="宋体"/>
                <w:b/>
                <w:bCs w:val="0"/>
                <w:color w:val="000000"/>
                <w:kern w:val="0"/>
                <w:sz w:val="21"/>
                <w:szCs w:val="21"/>
                <w:highlight w:val="none"/>
                <w:lang w:eastAsia="zh-Hans"/>
              </w:rPr>
              <w:t>实施</w:t>
            </w:r>
          </w:p>
          <w:p w14:paraId="74DA9EA4">
            <w:pPr>
              <w:keepNext w:val="0"/>
              <w:keepLines w:val="0"/>
              <w:pageBreakBefore w:val="0"/>
              <w:kinsoku/>
              <w:wordWrap w:val="0"/>
              <w:overflowPunct/>
              <w:topLinePunct w:val="0"/>
              <w:bidi w:val="0"/>
              <w:spacing w:line="400" w:lineRule="exact"/>
              <w:ind w:left="0" w:leftChars="0" w:right="0" w:rightChars="0"/>
              <w:jc w:val="center"/>
              <w:rPr>
                <w:rFonts w:hint="eastAsia" w:ascii="宋体" w:hAnsi="宋体" w:eastAsia="宋体" w:cs="宋体"/>
                <w:b/>
                <w:bCs w:val="0"/>
                <w:color w:val="000000"/>
                <w:kern w:val="0"/>
                <w:sz w:val="21"/>
                <w:szCs w:val="21"/>
                <w:highlight w:val="none"/>
                <w:lang w:eastAsia="zh-Hans"/>
              </w:rPr>
            </w:pPr>
            <w:r>
              <w:rPr>
                <w:rFonts w:hint="eastAsia" w:ascii="宋体" w:hAnsi="宋体" w:eastAsia="宋体" w:cs="宋体"/>
                <w:b/>
                <w:bCs w:val="0"/>
                <w:color w:val="000000"/>
                <w:kern w:val="0"/>
                <w:sz w:val="21"/>
                <w:szCs w:val="21"/>
                <w:highlight w:val="none"/>
                <w:lang w:eastAsia="zh-Hans"/>
              </w:rPr>
              <w:t>方案</w:t>
            </w:r>
          </w:p>
          <w:p w14:paraId="4FA490BB">
            <w:pPr>
              <w:keepNext w:val="0"/>
              <w:keepLines w:val="0"/>
              <w:pageBreakBefore w:val="0"/>
              <w:kinsoku/>
              <w:wordWrap w:val="0"/>
              <w:overflowPunct/>
              <w:topLinePunct w:val="0"/>
              <w:bidi w:val="0"/>
              <w:spacing w:line="400" w:lineRule="exact"/>
              <w:ind w:left="0" w:leftChars="0" w:right="0" w:rightChars="0"/>
              <w:jc w:val="center"/>
              <w:rPr>
                <w:rFonts w:hint="eastAsia" w:ascii="宋体" w:hAnsi="宋体" w:eastAsia="宋体" w:cs="宋体"/>
                <w:b/>
                <w:bCs w:val="0"/>
                <w:color w:val="000000"/>
                <w:sz w:val="21"/>
                <w:szCs w:val="21"/>
                <w:highlight w:val="none"/>
              </w:rPr>
            </w:pPr>
            <w:r>
              <w:rPr>
                <w:rFonts w:hint="eastAsia" w:ascii="宋体" w:hAnsi="宋体" w:eastAsia="宋体" w:cs="宋体"/>
                <w:b/>
                <w:bCs w:val="0"/>
                <w:color w:val="000000"/>
                <w:kern w:val="0"/>
                <w:sz w:val="21"/>
                <w:szCs w:val="21"/>
                <w:highlight w:val="none"/>
                <w:lang w:eastAsia="zh-Hans"/>
              </w:rPr>
              <w:t>（</w:t>
            </w:r>
            <w:r>
              <w:rPr>
                <w:rFonts w:hint="eastAsia" w:ascii="宋体" w:hAnsi="宋体" w:eastAsia="宋体" w:cs="宋体"/>
                <w:b/>
                <w:bCs w:val="0"/>
                <w:color w:val="000000"/>
                <w:spacing w:val="-3"/>
                <w:sz w:val="21"/>
                <w:szCs w:val="21"/>
                <w:highlight w:val="none"/>
                <w:lang w:val="en-US" w:eastAsia="zh-CN"/>
              </w:rPr>
              <w:t>满分</w:t>
            </w:r>
            <w:r>
              <w:rPr>
                <w:rFonts w:hint="eastAsia" w:ascii="宋体" w:hAnsi="宋体" w:eastAsia="宋体" w:cs="宋体"/>
                <w:b/>
                <w:bCs w:val="0"/>
                <w:color w:val="000000"/>
                <w:kern w:val="0"/>
                <w:sz w:val="21"/>
                <w:szCs w:val="21"/>
                <w:highlight w:val="none"/>
                <w:lang w:val="en-US" w:eastAsia="zh-CN"/>
              </w:rPr>
              <w:t>12</w:t>
            </w:r>
            <w:r>
              <w:rPr>
                <w:rFonts w:hint="eastAsia" w:ascii="宋体" w:hAnsi="宋体" w:eastAsia="宋体" w:cs="宋体"/>
                <w:b/>
                <w:bCs w:val="0"/>
                <w:color w:val="000000"/>
                <w:kern w:val="0"/>
                <w:sz w:val="21"/>
                <w:szCs w:val="21"/>
                <w:highlight w:val="none"/>
              </w:rPr>
              <w:t>分）</w:t>
            </w:r>
          </w:p>
        </w:tc>
        <w:tc>
          <w:tcPr>
            <w:tcW w:w="73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8CA5F7">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6" w:firstLineChars="103"/>
              <w:textAlignment w:val="auto"/>
              <w:rPr>
                <w:rFonts w:hint="eastAsia" w:ascii="宋体" w:hAnsi="宋体" w:eastAsia="宋体" w:cs="宋体"/>
                <w:b w:val="0"/>
                <w:bCs/>
                <w:color w:val="000000"/>
                <w:kern w:val="0"/>
                <w:sz w:val="21"/>
                <w:szCs w:val="21"/>
                <w:highlight w:val="none"/>
              </w:rPr>
            </w:pPr>
            <w:r>
              <w:rPr>
                <w:rFonts w:hint="eastAsia" w:ascii="宋体" w:hAnsi="宋体" w:eastAsia="宋体" w:cs="宋体"/>
                <w:b w:val="0"/>
                <w:bCs/>
                <w:color w:val="000000"/>
                <w:kern w:val="0"/>
                <w:sz w:val="21"/>
                <w:szCs w:val="21"/>
                <w:highlight w:val="none"/>
              </w:rPr>
              <w:t>评委根据投标人提供的</w:t>
            </w:r>
            <w:r>
              <w:rPr>
                <w:rFonts w:hint="eastAsia" w:ascii="宋体" w:hAnsi="宋体" w:eastAsia="宋体" w:cs="宋体"/>
                <w:b w:val="0"/>
                <w:bCs/>
                <w:color w:val="000000"/>
                <w:sz w:val="21"/>
                <w:szCs w:val="21"/>
                <w:highlight w:val="none"/>
              </w:rPr>
              <w:t>项目实施方案（包含：①</w:t>
            </w:r>
            <w:r>
              <w:rPr>
                <w:rFonts w:hint="eastAsia" w:ascii="宋体" w:hAnsi="宋体" w:eastAsia="宋体" w:cs="宋体"/>
                <w:b w:val="0"/>
                <w:bCs/>
                <w:color w:val="000000"/>
                <w:sz w:val="21"/>
                <w:szCs w:val="21"/>
                <w:highlight w:val="none"/>
                <w:lang w:eastAsia="zh-CN"/>
              </w:rPr>
              <w:t>实施</w:t>
            </w:r>
            <w:r>
              <w:rPr>
                <w:rFonts w:hint="eastAsia" w:ascii="宋体" w:hAnsi="宋体" w:eastAsia="宋体" w:cs="宋体"/>
                <w:b w:val="0"/>
                <w:bCs/>
                <w:color w:val="000000"/>
                <w:sz w:val="21"/>
                <w:szCs w:val="21"/>
                <w:highlight w:val="none"/>
              </w:rPr>
              <w:t>进度</w:t>
            </w:r>
            <w:r>
              <w:rPr>
                <w:rFonts w:hint="eastAsia" w:ascii="宋体" w:hAnsi="宋体" w:eastAsia="宋体" w:cs="宋体"/>
                <w:b w:val="0"/>
                <w:bCs/>
                <w:color w:val="000000"/>
                <w:sz w:val="21"/>
                <w:szCs w:val="21"/>
                <w:highlight w:val="none"/>
                <w:lang w:val="en-US" w:eastAsia="zh-CN"/>
              </w:rPr>
              <w:t>及供货</w:t>
            </w:r>
            <w:r>
              <w:rPr>
                <w:rFonts w:hint="eastAsia" w:ascii="宋体" w:hAnsi="宋体" w:eastAsia="宋体" w:cs="宋体"/>
                <w:b w:val="0"/>
                <w:bCs/>
                <w:color w:val="000000"/>
                <w:sz w:val="21"/>
                <w:szCs w:val="21"/>
                <w:highlight w:val="none"/>
              </w:rPr>
              <w:t>安排计划</w:t>
            </w:r>
            <w:r>
              <w:rPr>
                <w:rFonts w:hint="eastAsia" w:ascii="宋体" w:hAnsi="宋体" w:eastAsia="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rPr>
              <w:t>②保证项目实施的技术力量和人力资源安排、技术服务措施</w:t>
            </w:r>
            <w:r>
              <w:rPr>
                <w:rFonts w:hint="eastAsia" w:ascii="宋体" w:hAnsi="宋体" w:eastAsia="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rPr>
              <w:t>③安装调试验收方法或方案</w:t>
            </w:r>
            <w:r>
              <w:rPr>
                <w:rFonts w:hint="eastAsia" w:ascii="宋体" w:hAnsi="宋体" w:eastAsia="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rPr>
              <w:t>④质量保证措施；⑤问题解决机制等</w:t>
            </w:r>
            <w:r>
              <w:rPr>
                <w:rFonts w:hint="eastAsia" w:ascii="宋体" w:hAnsi="宋体" w:eastAsia="宋体" w:cs="宋体"/>
                <w:b w:val="0"/>
                <w:bCs/>
                <w:color w:val="000000"/>
                <w:sz w:val="21"/>
                <w:szCs w:val="21"/>
                <w:highlight w:val="none"/>
                <w:lang w:val="en-US" w:eastAsia="zh-CN"/>
              </w:rPr>
              <w:t>5</w:t>
            </w:r>
            <w:r>
              <w:rPr>
                <w:rFonts w:hint="eastAsia" w:ascii="宋体" w:hAnsi="宋体" w:eastAsia="宋体" w:cs="宋体"/>
                <w:b w:val="0"/>
                <w:bCs/>
                <w:color w:val="000000"/>
                <w:sz w:val="21"/>
                <w:szCs w:val="21"/>
                <w:highlight w:val="none"/>
              </w:rPr>
              <w:t>项内容</w:t>
            </w:r>
            <w:r>
              <w:rPr>
                <w:rFonts w:hint="eastAsia" w:ascii="宋体" w:hAnsi="宋体" w:eastAsia="宋体" w:cs="宋体"/>
                <w:b w:val="0"/>
                <w:bCs/>
                <w:color w:val="000000"/>
                <w:sz w:val="21"/>
                <w:szCs w:val="21"/>
                <w:highlight w:val="none"/>
                <w:lang w:val="en-US" w:eastAsia="zh-CN"/>
              </w:rPr>
              <w:t>的完整性、合理性、可行性、针对性</w:t>
            </w:r>
            <w:r>
              <w:rPr>
                <w:rFonts w:hint="eastAsia" w:ascii="宋体" w:hAnsi="宋体" w:eastAsia="宋体" w:cs="宋体"/>
                <w:b w:val="0"/>
                <w:bCs/>
                <w:color w:val="000000"/>
                <w:sz w:val="21"/>
                <w:szCs w:val="21"/>
                <w:highlight w:val="none"/>
              </w:rPr>
              <w:t>进行评定，并按以下标准独立</w:t>
            </w:r>
            <w:r>
              <w:rPr>
                <w:rFonts w:hint="eastAsia" w:ascii="宋体" w:hAnsi="宋体" w:eastAsia="宋体" w:cs="宋体"/>
                <w:b w:val="0"/>
                <w:bCs/>
                <w:color w:val="000000"/>
                <w:sz w:val="21"/>
                <w:szCs w:val="21"/>
                <w:highlight w:val="none"/>
                <w:lang w:eastAsia="zh-CN"/>
              </w:rPr>
              <w:t>评审并</w:t>
            </w:r>
            <w:r>
              <w:rPr>
                <w:rFonts w:hint="eastAsia" w:ascii="宋体" w:hAnsi="宋体" w:eastAsia="宋体" w:cs="宋体"/>
                <w:b w:val="0"/>
                <w:bCs/>
                <w:color w:val="000000"/>
                <w:sz w:val="21"/>
                <w:szCs w:val="21"/>
                <w:highlight w:val="none"/>
              </w:rPr>
              <w:t>评分</w:t>
            </w:r>
            <w:r>
              <w:rPr>
                <w:rFonts w:hint="eastAsia" w:ascii="宋体" w:hAnsi="宋体" w:eastAsia="宋体" w:cs="宋体"/>
                <w:b w:val="0"/>
                <w:bCs/>
                <w:color w:val="000000"/>
                <w:sz w:val="21"/>
                <w:szCs w:val="21"/>
                <w:highlight w:val="none"/>
                <w:lang w:val="zh-CN"/>
              </w:rPr>
              <w:t>（</w:t>
            </w:r>
            <w:r>
              <w:rPr>
                <w:rFonts w:hint="eastAsia" w:ascii="宋体" w:hAnsi="宋体" w:eastAsia="宋体" w:cs="宋体"/>
                <w:b w:val="0"/>
                <w:bCs/>
                <w:color w:val="000000"/>
                <w:sz w:val="21"/>
                <w:szCs w:val="21"/>
                <w:highlight w:val="none"/>
              </w:rPr>
              <w:t>投标人所提供的方案不能完全满足某一档次全部要求的</w:t>
            </w:r>
            <w:r>
              <w:rPr>
                <w:rFonts w:hint="eastAsia" w:ascii="宋体" w:hAnsi="宋体" w:eastAsia="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rPr>
              <w:t>不予进入该档评分</w:t>
            </w:r>
            <w:r>
              <w:rPr>
                <w:rFonts w:hint="eastAsia" w:ascii="宋体" w:hAnsi="宋体" w:eastAsia="宋体" w:cs="宋体"/>
                <w:b w:val="0"/>
                <w:bCs/>
                <w:color w:val="000000"/>
                <w:sz w:val="21"/>
                <w:szCs w:val="21"/>
                <w:highlight w:val="none"/>
                <w:lang w:val="zh-CN"/>
              </w:rPr>
              <w:t>）</w:t>
            </w:r>
            <w:r>
              <w:rPr>
                <w:rFonts w:hint="eastAsia" w:ascii="宋体" w:hAnsi="宋体" w:eastAsia="宋体" w:cs="宋体"/>
                <w:b w:val="0"/>
                <w:bCs/>
                <w:color w:val="000000"/>
                <w:sz w:val="21"/>
                <w:szCs w:val="21"/>
                <w:highlight w:val="none"/>
              </w:rPr>
              <w:t>：</w:t>
            </w:r>
          </w:p>
          <w:p w14:paraId="5DCCD851">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6" w:firstLineChars="103"/>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一档（0分）：未提供方案的；</w:t>
            </w:r>
          </w:p>
          <w:p w14:paraId="6208E5E7">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6" w:firstLineChars="103"/>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二档（</w:t>
            </w:r>
            <w:r>
              <w:rPr>
                <w:rFonts w:hint="eastAsia" w:ascii="宋体" w:hAnsi="宋体" w:eastAsia="宋体" w:cs="宋体"/>
                <w:b w:val="0"/>
                <w:bCs/>
                <w:color w:val="000000"/>
                <w:sz w:val="21"/>
                <w:szCs w:val="21"/>
                <w:highlight w:val="none"/>
                <w:lang w:val="en-US" w:eastAsia="zh-CN"/>
              </w:rPr>
              <w:t>3</w:t>
            </w:r>
            <w:r>
              <w:rPr>
                <w:rFonts w:hint="eastAsia" w:ascii="宋体" w:hAnsi="宋体" w:eastAsia="宋体" w:cs="宋体"/>
                <w:b w:val="0"/>
                <w:bCs/>
                <w:color w:val="000000"/>
                <w:sz w:val="21"/>
                <w:szCs w:val="21"/>
                <w:highlight w:val="none"/>
              </w:rPr>
              <w:t>分）：方案</w:t>
            </w:r>
            <w:r>
              <w:rPr>
                <w:rFonts w:hint="eastAsia" w:ascii="宋体" w:hAnsi="宋体" w:eastAsia="宋体" w:cs="宋体"/>
                <w:b w:val="0"/>
                <w:bCs/>
                <w:color w:val="000000"/>
                <w:sz w:val="21"/>
                <w:szCs w:val="21"/>
                <w:highlight w:val="none"/>
                <w:lang w:val="en-US" w:eastAsia="zh-CN"/>
              </w:rPr>
              <w:t>有</w:t>
            </w:r>
            <w:r>
              <w:rPr>
                <w:rFonts w:hint="eastAsia" w:ascii="宋体" w:hAnsi="宋体" w:eastAsia="宋体" w:cs="宋体"/>
                <w:b w:val="0"/>
                <w:bCs/>
                <w:color w:val="000000"/>
                <w:sz w:val="21"/>
                <w:szCs w:val="21"/>
                <w:highlight w:val="none"/>
              </w:rPr>
              <w:t>缺漏</w:t>
            </w:r>
            <w:r>
              <w:rPr>
                <w:rFonts w:hint="eastAsia" w:ascii="宋体" w:hAnsi="宋体" w:eastAsia="宋体" w:cs="宋体"/>
                <w:b w:val="0"/>
                <w:bCs/>
                <w:color w:val="000000"/>
                <w:sz w:val="21"/>
                <w:szCs w:val="21"/>
                <w:highlight w:val="none"/>
                <w:lang w:val="en-US" w:eastAsia="zh-CN"/>
              </w:rPr>
              <w:t>且</w:t>
            </w:r>
            <w:r>
              <w:rPr>
                <w:rFonts w:hint="eastAsia" w:ascii="宋体" w:hAnsi="宋体" w:eastAsia="宋体" w:cs="宋体"/>
                <w:b w:val="0"/>
                <w:bCs/>
                <w:color w:val="000000"/>
                <w:sz w:val="21"/>
                <w:szCs w:val="21"/>
                <w:highlight w:val="none"/>
              </w:rPr>
              <w:t>内容简单，</w:t>
            </w:r>
            <w:r>
              <w:rPr>
                <w:rFonts w:hint="eastAsia" w:ascii="宋体" w:hAnsi="宋体" w:eastAsia="宋体" w:cs="宋体"/>
                <w:b w:val="0"/>
                <w:bCs/>
                <w:color w:val="000000"/>
                <w:sz w:val="21"/>
                <w:szCs w:val="21"/>
                <w:highlight w:val="none"/>
                <w:lang w:eastAsia="zh-CN"/>
              </w:rPr>
              <w:t>实施方案</w:t>
            </w:r>
            <w:r>
              <w:rPr>
                <w:rFonts w:hint="eastAsia" w:ascii="宋体" w:hAnsi="宋体" w:eastAsia="宋体" w:cs="宋体"/>
                <w:b w:val="0"/>
                <w:bCs/>
                <w:color w:val="000000"/>
                <w:sz w:val="21"/>
                <w:szCs w:val="21"/>
                <w:highlight w:val="none"/>
              </w:rPr>
              <w:t>只能基本满足项目实际需求；</w:t>
            </w:r>
          </w:p>
          <w:p w14:paraId="35C893D8">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6" w:firstLineChars="103"/>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三档（6分）：</w:t>
            </w:r>
            <w:r>
              <w:rPr>
                <w:rFonts w:hint="eastAsia" w:ascii="宋体" w:hAnsi="宋体" w:eastAsia="宋体" w:cs="宋体"/>
                <w:b w:val="0"/>
                <w:bCs/>
                <w:color w:val="000000"/>
                <w:sz w:val="21"/>
                <w:szCs w:val="21"/>
                <w:highlight w:val="none"/>
              </w:rPr>
              <w:t>方案内容无缺漏</w:t>
            </w:r>
            <w:r>
              <w:rPr>
                <w:rFonts w:hint="eastAsia" w:ascii="宋体" w:hAnsi="宋体" w:eastAsia="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rPr>
              <w:t>对项目有基本理解但方案</w:t>
            </w:r>
            <w:r>
              <w:rPr>
                <w:rFonts w:hint="eastAsia" w:ascii="宋体" w:hAnsi="宋体" w:eastAsia="宋体" w:cs="宋体"/>
                <w:b w:val="0"/>
                <w:bCs/>
                <w:color w:val="000000"/>
                <w:sz w:val="21"/>
                <w:szCs w:val="21"/>
                <w:highlight w:val="none"/>
                <w:lang w:val="en-US" w:eastAsia="zh-CN"/>
              </w:rPr>
              <w:t>各项内容</w:t>
            </w:r>
            <w:r>
              <w:rPr>
                <w:rFonts w:hint="eastAsia" w:ascii="宋体" w:hAnsi="宋体" w:eastAsia="宋体" w:cs="宋体"/>
                <w:b w:val="0"/>
                <w:bCs/>
                <w:color w:val="000000"/>
                <w:kern w:val="0"/>
                <w:sz w:val="21"/>
                <w:szCs w:val="21"/>
                <w:highlight w:val="none"/>
              </w:rPr>
              <w:t>表达</w:t>
            </w:r>
            <w:r>
              <w:rPr>
                <w:rFonts w:hint="eastAsia" w:ascii="宋体" w:hAnsi="宋体" w:eastAsia="宋体" w:cs="宋体"/>
                <w:b w:val="0"/>
                <w:bCs/>
                <w:color w:val="000000"/>
                <w:sz w:val="21"/>
                <w:szCs w:val="21"/>
                <w:highlight w:val="none"/>
              </w:rPr>
              <w:t>简单</w:t>
            </w:r>
            <w:r>
              <w:rPr>
                <w:rFonts w:hint="eastAsia" w:ascii="宋体" w:hAnsi="宋体" w:eastAsia="宋体" w:cs="宋体"/>
                <w:b w:val="0"/>
                <w:bCs/>
                <w:color w:val="000000"/>
                <w:sz w:val="21"/>
                <w:szCs w:val="21"/>
                <w:highlight w:val="none"/>
                <w:lang w:val="en-US" w:eastAsia="zh-CN"/>
              </w:rPr>
              <w:t>或</w:t>
            </w:r>
            <w:r>
              <w:rPr>
                <w:rFonts w:hint="eastAsia" w:ascii="宋体" w:hAnsi="宋体" w:eastAsia="宋体" w:cs="宋体"/>
                <w:b w:val="0"/>
                <w:bCs/>
                <w:color w:val="000000"/>
                <w:kern w:val="0"/>
                <w:sz w:val="21"/>
                <w:szCs w:val="21"/>
                <w:highlight w:val="none"/>
                <w:lang w:val="en-US" w:eastAsia="zh-CN"/>
              </w:rPr>
              <w:t>逻辑不</w:t>
            </w:r>
            <w:r>
              <w:rPr>
                <w:rFonts w:hint="eastAsia" w:ascii="宋体" w:hAnsi="宋体" w:eastAsia="宋体" w:cs="宋体"/>
                <w:b w:val="0"/>
                <w:bCs/>
                <w:color w:val="000000"/>
                <w:kern w:val="0"/>
                <w:sz w:val="21"/>
                <w:szCs w:val="21"/>
                <w:highlight w:val="none"/>
              </w:rPr>
              <w:t>清晰</w:t>
            </w:r>
            <w:r>
              <w:rPr>
                <w:rFonts w:hint="eastAsia" w:ascii="宋体" w:hAnsi="宋体" w:eastAsia="宋体" w:cs="宋体"/>
                <w:b w:val="0"/>
                <w:bCs/>
                <w:color w:val="000000"/>
                <w:sz w:val="21"/>
                <w:szCs w:val="21"/>
                <w:highlight w:val="none"/>
              </w:rPr>
              <w:t>或缺少关键节点，</w:t>
            </w:r>
            <w:r>
              <w:rPr>
                <w:rFonts w:hint="eastAsia" w:ascii="宋体" w:hAnsi="宋体" w:eastAsia="宋体" w:cs="宋体"/>
                <w:b w:val="0"/>
                <w:bCs/>
                <w:color w:val="000000"/>
                <w:sz w:val="21"/>
                <w:szCs w:val="21"/>
                <w:highlight w:val="none"/>
                <w:lang w:val="en-US" w:eastAsia="zh-CN"/>
              </w:rPr>
              <w:t>方案</w:t>
            </w:r>
            <w:r>
              <w:rPr>
                <w:rFonts w:hint="eastAsia" w:ascii="宋体" w:hAnsi="宋体" w:eastAsia="宋体" w:cs="宋体"/>
                <w:b w:val="0"/>
                <w:bCs/>
                <w:color w:val="000000"/>
                <w:sz w:val="21"/>
                <w:szCs w:val="21"/>
                <w:highlight w:val="none"/>
              </w:rPr>
              <w:t>可以保证项目正常实施</w:t>
            </w:r>
            <w:r>
              <w:rPr>
                <w:rFonts w:hint="eastAsia" w:ascii="宋体" w:hAnsi="宋体" w:eastAsia="宋体" w:cs="宋体"/>
                <w:b w:val="0"/>
                <w:bCs/>
                <w:color w:val="000000"/>
                <w:kern w:val="0"/>
                <w:sz w:val="21"/>
                <w:szCs w:val="21"/>
                <w:highlight w:val="none"/>
                <w:lang w:eastAsia="zh-CN"/>
              </w:rPr>
              <w:t>；</w:t>
            </w:r>
          </w:p>
          <w:p w14:paraId="316DD4EA">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6" w:firstLineChars="103"/>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lang w:val="en-US" w:eastAsia="zh-CN"/>
              </w:rPr>
              <w:t>四</w:t>
            </w:r>
            <w:r>
              <w:rPr>
                <w:rFonts w:hint="eastAsia" w:ascii="宋体" w:hAnsi="宋体" w:eastAsia="宋体" w:cs="宋体"/>
                <w:b w:val="0"/>
                <w:bCs/>
                <w:color w:val="000000"/>
                <w:sz w:val="21"/>
                <w:szCs w:val="21"/>
                <w:highlight w:val="none"/>
              </w:rPr>
              <w:t>档（</w:t>
            </w:r>
            <w:r>
              <w:rPr>
                <w:rFonts w:hint="eastAsia" w:ascii="宋体" w:hAnsi="宋体" w:eastAsia="宋体" w:cs="宋体"/>
                <w:b w:val="0"/>
                <w:bCs/>
                <w:color w:val="000000"/>
                <w:sz w:val="21"/>
                <w:szCs w:val="21"/>
                <w:highlight w:val="none"/>
                <w:lang w:val="en-US" w:eastAsia="zh-CN"/>
              </w:rPr>
              <w:t>9</w:t>
            </w:r>
            <w:r>
              <w:rPr>
                <w:rFonts w:hint="eastAsia" w:ascii="宋体" w:hAnsi="宋体" w:eastAsia="宋体" w:cs="宋体"/>
                <w:b w:val="0"/>
                <w:bCs/>
                <w:color w:val="000000"/>
                <w:sz w:val="21"/>
                <w:szCs w:val="21"/>
                <w:highlight w:val="none"/>
              </w:rPr>
              <w:t>分）：方案内容无缺漏</w:t>
            </w:r>
            <w:r>
              <w:rPr>
                <w:rFonts w:hint="eastAsia" w:ascii="宋体" w:hAnsi="宋体" w:eastAsia="宋体" w:cs="宋体"/>
                <w:b w:val="0"/>
                <w:bCs/>
                <w:color w:val="000000"/>
                <w:sz w:val="21"/>
                <w:szCs w:val="21"/>
                <w:highlight w:val="none"/>
                <w:lang w:eastAsia="zh-CN"/>
              </w:rPr>
              <w:t>且</w:t>
            </w:r>
            <w:r>
              <w:rPr>
                <w:rFonts w:hint="eastAsia" w:ascii="宋体" w:hAnsi="宋体" w:eastAsia="宋体" w:cs="宋体"/>
                <w:b w:val="0"/>
                <w:bCs/>
                <w:color w:val="000000"/>
                <w:sz w:val="21"/>
                <w:szCs w:val="21"/>
                <w:highlight w:val="none"/>
              </w:rPr>
              <w:t>表述</w:t>
            </w:r>
            <w:r>
              <w:rPr>
                <w:rFonts w:hint="eastAsia" w:ascii="宋体" w:hAnsi="宋体" w:eastAsia="宋体" w:cs="宋体"/>
                <w:b w:val="0"/>
                <w:bCs/>
                <w:color w:val="000000"/>
                <w:sz w:val="21"/>
                <w:szCs w:val="21"/>
                <w:highlight w:val="none"/>
                <w:lang w:val="en-US" w:eastAsia="zh-CN"/>
              </w:rPr>
              <w:t>逻辑</w:t>
            </w:r>
            <w:r>
              <w:rPr>
                <w:rFonts w:hint="eastAsia" w:ascii="宋体" w:hAnsi="宋体" w:eastAsia="宋体" w:cs="宋体"/>
                <w:b w:val="0"/>
                <w:bCs/>
                <w:color w:val="000000"/>
                <w:sz w:val="21"/>
                <w:szCs w:val="21"/>
                <w:highlight w:val="none"/>
              </w:rPr>
              <w:t>清晰，实施方案各项内容的措施具体，</w:t>
            </w:r>
            <w:r>
              <w:rPr>
                <w:rFonts w:hint="eastAsia" w:ascii="宋体" w:hAnsi="宋体" w:eastAsia="宋体" w:cs="宋体"/>
                <w:color w:val="000000"/>
                <w:spacing w:val="-2"/>
                <w:sz w:val="21"/>
                <w:szCs w:val="21"/>
                <w:highlight w:val="none"/>
                <w:lang w:eastAsia="zh-CN"/>
              </w:rPr>
              <w:t>有</w:t>
            </w:r>
            <w:r>
              <w:rPr>
                <w:rFonts w:hint="eastAsia" w:ascii="宋体" w:hAnsi="宋体" w:eastAsia="宋体" w:cs="宋体"/>
                <w:color w:val="000000"/>
                <w:spacing w:val="-2"/>
                <w:sz w:val="21"/>
                <w:szCs w:val="21"/>
                <w:highlight w:val="none"/>
                <w:lang w:val="en-US" w:eastAsia="zh-CN"/>
              </w:rPr>
              <w:t>可行</w:t>
            </w:r>
            <w:r>
              <w:rPr>
                <w:rFonts w:hint="eastAsia" w:ascii="宋体" w:hAnsi="宋体" w:eastAsia="宋体" w:cs="宋体"/>
                <w:color w:val="000000"/>
                <w:spacing w:val="-2"/>
                <w:sz w:val="21"/>
                <w:szCs w:val="21"/>
                <w:highlight w:val="none"/>
                <w:lang w:eastAsia="zh-CN"/>
              </w:rPr>
              <w:t>的配送方案，安装方法、安装流程整体合理，组织机构健全，项目执行保障措施完整，</w:t>
            </w:r>
            <w:r>
              <w:rPr>
                <w:rFonts w:hint="eastAsia" w:ascii="宋体" w:hAnsi="宋体" w:eastAsia="宋体" w:cs="宋体"/>
                <w:b w:val="0"/>
                <w:bCs/>
                <w:color w:val="000000"/>
                <w:sz w:val="21"/>
                <w:szCs w:val="21"/>
                <w:highlight w:val="none"/>
              </w:rPr>
              <w:t>方案的</w:t>
            </w:r>
            <w:r>
              <w:rPr>
                <w:rFonts w:hint="eastAsia" w:ascii="宋体" w:hAnsi="宋体" w:eastAsia="宋体" w:cs="宋体"/>
                <w:b w:val="0"/>
                <w:bCs/>
                <w:color w:val="000000"/>
                <w:sz w:val="21"/>
                <w:szCs w:val="21"/>
                <w:highlight w:val="none"/>
                <w:lang w:val="en-US" w:eastAsia="zh-CN"/>
              </w:rPr>
              <w:t>5</w:t>
            </w:r>
            <w:r>
              <w:rPr>
                <w:rFonts w:hint="eastAsia" w:ascii="宋体" w:hAnsi="宋体" w:eastAsia="宋体" w:cs="宋体"/>
                <w:b w:val="0"/>
                <w:bCs/>
                <w:color w:val="000000"/>
                <w:sz w:val="21"/>
                <w:szCs w:val="21"/>
                <w:highlight w:val="none"/>
              </w:rPr>
              <w:t>项评审内容经评审</w:t>
            </w:r>
            <w:r>
              <w:rPr>
                <w:rFonts w:hint="eastAsia" w:ascii="宋体" w:hAnsi="宋体" w:eastAsia="宋体" w:cs="宋体"/>
                <w:b w:val="0"/>
                <w:bCs/>
                <w:color w:val="000000"/>
                <w:sz w:val="21"/>
                <w:szCs w:val="21"/>
                <w:highlight w:val="none"/>
                <w:lang w:eastAsia="zh-CN"/>
              </w:rPr>
              <w:t>均为</w:t>
            </w:r>
            <w:r>
              <w:rPr>
                <w:rFonts w:hint="eastAsia" w:ascii="宋体" w:hAnsi="宋体" w:eastAsia="宋体" w:cs="宋体"/>
                <w:b w:val="0"/>
                <w:bCs/>
                <w:color w:val="000000"/>
                <w:sz w:val="21"/>
                <w:szCs w:val="21"/>
                <w:highlight w:val="none"/>
              </w:rPr>
              <w:t>合理、可行的；</w:t>
            </w:r>
          </w:p>
          <w:p w14:paraId="11CACCE6">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6" w:firstLineChars="103"/>
              <w:textAlignment w:val="auto"/>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val="en-US" w:eastAsia="zh-CN"/>
              </w:rPr>
              <w:t>五</w:t>
            </w:r>
            <w:r>
              <w:rPr>
                <w:rFonts w:hint="eastAsia" w:ascii="宋体" w:hAnsi="宋体" w:eastAsia="宋体" w:cs="宋体"/>
                <w:b w:val="0"/>
                <w:bCs/>
                <w:color w:val="000000"/>
                <w:sz w:val="21"/>
                <w:szCs w:val="21"/>
                <w:highlight w:val="none"/>
              </w:rPr>
              <w:t>档（</w:t>
            </w:r>
            <w:r>
              <w:rPr>
                <w:rFonts w:hint="eastAsia" w:ascii="宋体" w:hAnsi="宋体" w:eastAsia="宋体" w:cs="宋体"/>
                <w:b w:val="0"/>
                <w:bCs/>
                <w:color w:val="000000"/>
                <w:sz w:val="21"/>
                <w:szCs w:val="21"/>
                <w:highlight w:val="none"/>
                <w:lang w:eastAsia="zh-CN"/>
              </w:rPr>
              <w:t>1</w:t>
            </w:r>
            <w:r>
              <w:rPr>
                <w:rFonts w:hint="eastAsia" w:ascii="宋体" w:hAnsi="宋体" w:eastAsia="宋体" w:cs="宋体"/>
                <w:b w:val="0"/>
                <w:bCs/>
                <w:color w:val="000000"/>
                <w:sz w:val="21"/>
                <w:szCs w:val="21"/>
                <w:highlight w:val="none"/>
                <w:lang w:val="en-US" w:eastAsia="zh-CN"/>
              </w:rPr>
              <w:t>2</w:t>
            </w:r>
            <w:r>
              <w:rPr>
                <w:rFonts w:hint="eastAsia" w:ascii="宋体" w:hAnsi="宋体" w:eastAsia="宋体" w:cs="宋体"/>
                <w:b w:val="0"/>
                <w:bCs/>
                <w:color w:val="000000"/>
                <w:sz w:val="21"/>
                <w:szCs w:val="21"/>
                <w:highlight w:val="none"/>
              </w:rPr>
              <w:t>分）：方案内容和措施</w:t>
            </w:r>
            <w:r>
              <w:rPr>
                <w:rFonts w:hint="eastAsia" w:ascii="宋体" w:hAnsi="宋体" w:eastAsia="宋体" w:cs="宋体"/>
                <w:b w:val="0"/>
                <w:bCs/>
                <w:color w:val="000000"/>
                <w:sz w:val="21"/>
                <w:szCs w:val="21"/>
                <w:highlight w:val="none"/>
                <w:lang w:val="en-US" w:eastAsia="zh-CN"/>
              </w:rPr>
              <w:t>完整、</w:t>
            </w:r>
            <w:r>
              <w:rPr>
                <w:rFonts w:hint="eastAsia" w:ascii="宋体" w:hAnsi="宋体" w:eastAsia="宋体" w:cs="宋体"/>
                <w:b w:val="0"/>
                <w:bCs/>
                <w:color w:val="000000"/>
                <w:sz w:val="21"/>
                <w:szCs w:val="21"/>
                <w:highlight w:val="none"/>
              </w:rPr>
              <w:t>详实、</w:t>
            </w:r>
            <w:r>
              <w:rPr>
                <w:rFonts w:hint="eastAsia" w:ascii="宋体" w:hAnsi="宋体" w:eastAsia="宋体" w:cs="宋体"/>
                <w:b w:val="0"/>
                <w:bCs/>
                <w:color w:val="000000"/>
                <w:sz w:val="21"/>
                <w:szCs w:val="21"/>
                <w:highlight w:val="none"/>
                <w:lang w:eastAsia="zh-CN"/>
              </w:rPr>
              <w:t>针对性强</w:t>
            </w:r>
            <w:r>
              <w:rPr>
                <w:rFonts w:hint="eastAsia" w:ascii="宋体" w:hAnsi="宋体" w:eastAsia="宋体" w:cs="宋体"/>
                <w:b w:val="0"/>
                <w:bCs/>
                <w:color w:val="000000"/>
                <w:sz w:val="21"/>
                <w:szCs w:val="21"/>
                <w:highlight w:val="none"/>
              </w:rPr>
              <w:t>，方案能清楚的表明对本项目的熟悉程度，</w:t>
            </w:r>
            <w:r>
              <w:rPr>
                <w:rFonts w:hint="eastAsia" w:ascii="宋体" w:hAnsi="宋体" w:eastAsia="宋体" w:cs="宋体"/>
                <w:b w:val="0"/>
                <w:bCs/>
                <w:color w:val="000000"/>
                <w:sz w:val="21"/>
                <w:szCs w:val="21"/>
                <w:highlight w:val="none"/>
                <w:lang w:val="en-US" w:eastAsia="zh-CN"/>
              </w:rPr>
              <w:t>方案中</w:t>
            </w:r>
            <w:r>
              <w:rPr>
                <w:rFonts w:hint="eastAsia" w:ascii="宋体" w:hAnsi="宋体" w:eastAsia="宋体" w:cs="宋体"/>
                <w:b w:val="0"/>
                <w:bCs/>
                <w:color w:val="000000"/>
                <w:sz w:val="21"/>
                <w:szCs w:val="21"/>
                <w:highlight w:val="none"/>
              </w:rPr>
              <w:t>保证项目实施的技术力量和人力资源安排</w:t>
            </w:r>
            <w:r>
              <w:rPr>
                <w:rFonts w:hint="eastAsia" w:ascii="宋体" w:hAnsi="宋体" w:eastAsia="宋体" w:cs="宋体"/>
                <w:b w:val="0"/>
                <w:bCs/>
                <w:color w:val="000000"/>
                <w:sz w:val="21"/>
                <w:szCs w:val="21"/>
                <w:highlight w:val="none"/>
                <w:lang w:val="en-US" w:eastAsia="zh-CN"/>
              </w:rPr>
              <w:t>全面</w:t>
            </w:r>
            <w:r>
              <w:rPr>
                <w:rFonts w:hint="eastAsia" w:ascii="宋体" w:hAnsi="宋体" w:eastAsia="宋体" w:cs="宋体"/>
                <w:color w:val="000000"/>
                <w:spacing w:val="-2"/>
                <w:sz w:val="21"/>
                <w:szCs w:val="21"/>
                <w:highlight w:val="none"/>
                <w:lang w:eastAsia="zh-CN"/>
              </w:rPr>
              <w:t>，组织机构健全，</w:t>
            </w:r>
            <w:r>
              <w:rPr>
                <w:rFonts w:hint="eastAsia" w:ascii="宋体" w:hAnsi="宋体" w:eastAsia="宋体" w:cs="宋体"/>
                <w:b w:val="0"/>
                <w:bCs/>
                <w:color w:val="000000"/>
                <w:sz w:val="21"/>
                <w:szCs w:val="21"/>
                <w:highlight w:val="none"/>
                <w:lang w:eastAsia="zh-CN"/>
              </w:rPr>
              <w:t>实施</w:t>
            </w:r>
            <w:r>
              <w:rPr>
                <w:rFonts w:hint="eastAsia" w:ascii="宋体" w:hAnsi="宋体" w:eastAsia="宋体" w:cs="宋体"/>
                <w:b w:val="0"/>
                <w:bCs/>
                <w:color w:val="000000"/>
                <w:sz w:val="21"/>
                <w:szCs w:val="21"/>
                <w:highlight w:val="none"/>
              </w:rPr>
              <w:t>进度</w:t>
            </w:r>
            <w:r>
              <w:rPr>
                <w:rFonts w:hint="eastAsia" w:ascii="宋体" w:hAnsi="宋体" w:eastAsia="宋体" w:cs="宋体"/>
                <w:b w:val="0"/>
                <w:bCs/>
                <w:color w:val="000000"/>
                <w:sz w:val="21"/>
                <w:szCs w:val="21"/>
                <w:highlight w:val="none"/>
                <w:lang w:val="en-US" w:eastAsia="zh-CN"/>
              </w:rPr>
              <w:t>及供货</w:t>
            </w:r>
            <w:r>
              <w:rPr>
                <w:rFonts w:hint="eastAsia" w:ascii="宋体" w:hAnsi="宋体" w:eastAsia="宋体" w:cs="宋体"/>
                <w:b w:val="0"/>
                <w:bCs/>
                <w:color w:val="000000"/>
                <w:sz w:val="21"/>
                <w:szCs w:val="21"/>
                <w:highlight w:val="none"/>
              </w:rPr>
              <w:t>计划和安装调试验收方法严谨和切实可行</w:t>
            </w:r>
            <w:r>
              <w:rPr>
                <w:rFonts w:hint="eastAsia" w:ascii="宋体" w:hAnsi="宋体" w:eastAsia="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rPr>
              <w:t>制定了详细的质量保证措施，并配备了健全的问题解决机制。方案的</w:t>
            </w:r>
            <w:r>
              <w:rPr>
                <w:rFonts w:hint="eastAsia" w:ascii="宋体" w:hAnsi="宋体" w:eastAsia="宋体" w:cs="宋体"/>
                <w:b w:val="0"/>
                <w:bCs/>
                <w:color w:val="000000"/>
                <w:sz w:val="21"/>
                <w:szCs w:val="21"/>
                <w:highlight w:val="none"/>
                <w:lang w:val="en-US" w:eastAsia="zh-CN"/>
              </w:rPr>
              <w:t>5</w:t>
            </w:r>
            <w:r>
              <w:rPr>
                <w:rFonts w:hint="eastAsia" w:ascii="宋体" w:hAnsi="宋体" w:eastAsia="宋体" w:cs="宋体"/>
                <w:b w:val="0"/>
                <w:bCs/>
                <w:color w:val="000000"/>
                <w:sz w:val="21"/>
                <w:szCs w:val="21"/>
                <w:highlight w:val="none"/>
              </w:rPr>
              <w:t>项评审内容经评审</w:t>
            </w:r>
            <w:r>
              <w:rPr>
                <w:rFonts w:hint="eastAsia" w:ascii="宋体" w:hAnsi="宋体" w:eastAsia="宋体" w:cs="宋体"/>
                <w:b w:val="0"/>
                <w:bCs/>
                <w:color w:val="000000"/>
                <w:sz w:val="21"/>
                <w:szCs w:val="21"/>
                <w:highlight w:val="none"/>
                <w:lang w:eastAsia="zh-CN"/>
              </w:rPr>
              <w:t>均为</w:t>
            </w:r>
            <w:r>
              <w:rPr>
                <w:rFonts w:hint="eastAsia" w:ascii="宋体" w:hAnsi="宋体" w:eastAsia="宋体" w:cs="宋体"/>
                <w:b w:val="0"/>
                <w:bCs/>
                <w:color w:val="000000"/>
                <w:sz w:val="21"/>
                <w:szCs w:val="21"/>
                <w:highlight w:val="none"/>
                <w:lang w:val="en-US" w:eastAsia="zh-CN"/>
              </w:rPr>
              <w:t>完整、</w:t>
            </w:r>
            <w:r>
              <w:rPr>
                <w:rFonts w:hint="eastAsia" w:ascii="宋体" w:hAnsi="宋体" w:eastAsia="宋体" w:cs="宋体"/>
                <w:b w:val="0"/>
                <w:bCs/>
                <w:color w:val="000000"/>
                <w:sz w:val="21"/>
                <w:szCs w:val="21"/>
                <w:highlight w:val="none"/>
              </w:rPr>
              <w:t>合理、可行</w:t>
            </w:r>
            <w:r>
              <w:rPr>
                <w:rFonts w:hint="eastAsia" w:ascii="宋体" w:hAnsi="宋体" w:eastAsia="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lang w:val="en-US" w:eastAsia="zh-CN"/>
              </w:rPr>
              <w:t>针对性强</w:t>
            </w:r>
            <w:r>
              <w:rPr>
                <w:rFonts w:hint="eastAsia" w:ascii="宋体" w:hAnsi="宋体" w:eastAsia="宋体" w:cs="宋体"/>
                <w:b w:val="0"/>
                <w:bCs/>
                <w:color w:val="000000"/>
                <w:sz w:val="21"/>
                <w:szCs w:val="21"/>
                <w:highlight w:val="none"/>
                <w:lang w:eastAsia="zh-CN"/>
              </w:rPr>
              <w:t>。</w:t>
            </w:r>
          </w:p>
        </w:tc>
      </w:tr>
      <w:tr w14:paraId="6E133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jc w:val="center"/>
        </w:trPr>
        <w:tc>
          <w:tcPr>
            <w:tcW w:w="637"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5F913525">
            <w:pPr>
              <w:pStyle w:val="257"/>
              <w:keepNext w:val="0"/>
              <w:keepLines w:val="0"/>
              <w:pageBreakBefore w:val="0"/>
              <w:kinsoku/>
              <w:wordWrap w:val="0"/>
              <w:overflowPunct/>
              <w:topLinePunct w:val="0"/>
              <w:bidi w:val="0"/>
              <w:adjustRightInd/>
              <w:snapToGrid/>
              <w:spacing w:line="400" w:lineRule="exact"/>
              <w:ind w:left="0" w:leftChars="0" w:right="0" w:rightChars="0"/>
              <w:jc w:val="center"/>
              <w:rPr>
                <w:rFonts w:hint="eastAsia" w:ascii="宋体" w:hAnsi="宋体" w:eastAsia="宋体" w:cs="宋体"/>
                <w:b/>
                <w:bCs w:val="0"/>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4</w:t>
            </w:r>
          </w:p>
        </w:tc>
        <w:tc>
          <w:tcPr>
            <w:tcW w:w="1456"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76C19CF2">
            <w:pPr>
              <w:keepNext w:val="0"/>
              <w:keepLines w:val="0"/>
              <w:pageBreakBefore w:val="0"/>
              <w:kinsoku/>
              <w:wordWrap w:val="0"/>
              <w:overflowPunct/>
              <w:topLinePunct w:val="0"/>
              <w:bidi w:val="0"/>
              <w:spacing w:line="400" w:lineRule="exact"/>
              <w:ind w:left="0" w:leftChars="0" w:right="0" w:rightChars="0"/>
              <w:jc w:val="center"/>
              <w:rPr>
                <w:rFonts w:hint="eastAsia" w:ascii="宋体" w:hAnsi="宋体" w:eastAsia="宋体" w:cs="宋体"/>
                <w:b/>
                <w:bCs w:val="0"/>
                <w:color w:val="000000"/>
                <w:kern w:val="0"/>
                <w:sz w:val="21"/>
                <w:szCs w:val="21"/>
                <w:highlight w:val="none"/>
                <w:lang w:val="en-US" w:eastAsia="zh-CN"/>
              </w:rPr>
            </w:pPr>
            <w:r>
              <w:rPr>
                <w:rFonts w:hint="eastAsia" w:ascii="宋体" w:hAnsi="宋体" w:eastAsia="宋体" w:cs="宋体"/>
                <w:b/>
                <w:bCs w:val="0"/>
                <w:color w:val="000000"/>
                <w:kern w:val="0"/>
                <w:sz w:val="21"/>
                <w:szCs w:val="21"/>
                <w:highlight w:val="none"/>
                <w:lang w:eastAsia="zh-Hans"/>
              </w:rPr>
              <w:t>售后</w:t>
            </w:r>
            <w:r>
              <w:rPr>
                <w:rFonts w:hint="eastAsia" w:ascii="宋体" w:hAnsi="宋体" w:eastAsia="宋体" w:cs="宋体"/>
                <w:b/>
                <w:bCs w:val="0"/>
                <w:color w:val="000000"/>
                <w:kern w:val="0"/>
                <w:sz w:val="21"/>
                <w:szCs w:val="21"/>
                <w:highlight w:val="none"/>
                <w:lang w:val="en-US" w:eastAsia="zh-CN"/>
              </w:rPr>
              <w:t>服务</w:t>
            </w:r>
          </w:p>
          <w:p w14:paraId="354BE687">
            <w:pPr>
              <w:keepNext w:val="0"/>
              <w:keepLines w:val="0"/>
              <w:pageBreakBefore w:val="0"/>
              <w:kinsoku/>
              <w:wordWrap w:val="0"/>
              <w:overflowPunct/>
              <w:topLinePunct w:val="0"/>
              <w:bidi w:val="0"/>
              <w:spacing w:line="400" w:lineRule="exact"/>
              <w:ind w:left="0" w:leftChars="0" w:right="0" w:rightChars="0"/>
              <w:jc w:val="center"/>
              <w:rPr>
                <w:rFonts w:hint="eastAsia" w:ascii="宋体" w:hAnsi="宋体" w:eastAsia="宋体" w:cs="宋体"/>
                <w:b/>
                <w:bCs w:val="0"/>
                <w:color w:val="000000"/>
                <w:kern w:val="0"/>
                <w:sz w:val="21"/>
                <w:szCs w:val="21"/>
                <w:highlight w:val="none"/>
                <w:lang w:eastAsia="zh-Hans"/>
              </w:rPr>
            </w:pPr>
            <w:r>
              <w:rPr>
                <w:rFonts w:hint="eastAsia" w:ascii="宋体" w:hAnsi="宋体" w:eastAsia="宋体" w:cs="宋体"/>
                <w:b/>
                <w:bCs w:val="0"/>
                <w:color w:val="000000"/>
                <w:kern w:val="0"/>
                <w:sz w:val="21"/>
                <w:szCs w:val="21"/>
                <w:highlight w:val="none"/>
                <w:lang w:eastAsia="zh-Hans"/>
              </w:rPr>
              <w:t xml:space="preserve">方案 </w:t>
            </w:r>
          </w:p>
          <w:p w14:paraId="68655523">
            <w:pPr>
              <w:keepNext w:val="0"/>
              <w:keepLines w:val="0"/>
              <w:pageBreakBefore w:val="0"/>
              <w:kinsoku/>
              <w:wordWrap w:val="0"/>
              <w:overflowPunct/>
              <w:topLinePunct w:val="0"/>
              <w:bidi w:val="0"/>
              <w:spacing w:line="400" w:lineRule="exact"/>
              <w:ind w:left="0" w:leftChars="0" w:right="0" w:rightChars="0"/>
              <w:jc w:val="center"/>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kern w:val="0"/>
                <w:sz w:val="21"/>
                <w:szCs w:val="21"/>
                <w:highlight w:val="none"/>
                <w:lang w:eastAsia="zh-Hans"/>
              </w:rPr>
              <w:t>(</w:t>
            </w:r>
            <w:r>
              <w:rPr>
                <w:rFonts w:hint="eastAsia" w:ascii="宋体" w:hAnsi="宋体" w:eastAsia="宋体" w:cs="宋体"/>
                <w:b/>
                <w:bCs w:val="0"/>
                <w:color w:val="000000"/>
                <w:spacing w:val="-3"/>
                <w:sz w:val="21"/>
                <w:szCs w:val="21"/>
                <w:highlight w:val="none"/>
                <w:lang w:val="en-US" w:eastAsia="zh-CN"/>
              </w:rPr>
              <w:t>满分</w:t>
            </w:r>
            <w:r>
              <w:rPr>
                <w:rFonts w:hint="eastAsia" w:ascii="宋体" w:hAnsi="宋体" w:eastAsia="宋体" w:cs="宋体"/>
                <w:b/>
                <w:bCs w:val="0"/>
                <w:color w:val="000000"/>
                <w:kern w:val="0"/>
                <w:sz w:val="21"/>
                <w:szCs w:val="21"/>
                <w:highlight w:val="none"/>
                <w:lang w:val="en-US" w:eastAsia="zh-CN"/>
              </w:rPr>
              <w:t>12</w:t>
            </w:r>
            <w:r>
              <w:rPr>
                <w:rFonts w:hint="eastAsia" w:ascii="宋体" w:hAnsi="宋体" w:eastAsia="宋体" w:cs="宋体"/>
                <w:b/>
                <w:bCs w:val="0"/>
                <w:color w:val="000000"/>
                <w:kern w:val="0"/>
                <w:sz w:val="21"/>
                <w:szCs w:val="21"/>
                <w:highlight w:val="none"/>
                <w:lang w:eastAsia="zh-Hans"/>
              </w:rPr>
              <w:t>分)</w:t>
            </w:r>
          </w:p>
        </w:tc>
        <w:tc>
          <w:tcPr>
            <w:tcW w:w="73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6E75C">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0" w:firstLineChars="100"/>
              <w:textAlignment w:val="auto"/>
              <w:rPr>
                <w:rFonts w:hint="eastAsia" w:ascii="宋体" w:hAnsi="宋体" w:eastAsia="宋体" w:cs="宋体"/>
                <w:b w:val="0"/>
                <w:bCs/>
                <w:color w:val="000000"/>
                <w:sz w:val="21"/>
                <w:szCs w:val="21"/>
                <w:highlight w:val="none"/>
                <w:lang w:eastAsia="zh-Hans"/>
              </w:rPr>
            </w:pPr>
            <w:r>
              <w:rPr>
                <w:rFonts w:hint="eastAsia" w:ascii="宋体" w:hAnsi="宋体" w:eastAsia="宋体" w:cs="宋体"/>
                <w:b w:val="0"/>
                <w:bCs/>
                <w:color w:val="000000"/>
                <w:sz w:val="21"/>
                <w:szCs w:val="21"/>
                <w:highlight w:val="none"/>
                <w:lang w:val="zh-CN"/>
              </w:rPr>
              <w:t>评委根据投标文件售后服务方案中有关售后服务体系与流程、运行保障措施、</w:t>
            </w:r>
            <w:r>
              <w:rPr>
                <w:rFonts w:hint="eastAsia" w:ascii="宋体" w:hAnsi="宋体" w:eastAsia="宋体" w:cs="宋体"/>
                <w:b w:val="0"/>
                <w:bCs/>
                <w:color w:val="000000"/>
                <w:sz w:val="21"/>
                <w:szCs w:val="21"/>
                <w:highlight w:val="none"/>
                <w:lang w:val="en-US"/>
              </w:rPr>
              <w:t>免费技术培训方案</w:t>
            </w:r>
            <w:r>
              <w:rPr>
                <w:rFonts w:hint="eastAsia" w:ascii="宋体" w:hAnsi="宋体" w:eastAsia="宋体" w:cs="宋体"/>
                <w:b w:val="0"/>
                <w:bCs/>
                <w:color w:val="000000"/>
                <w:sz w:val="21"/>
                <w:szCs w:val="21"/>
                <w:highlight w:val="none"/>
                <w:lang w:val="zh-CN" w:eastAsia="zh-CN"/>
              </w:rPr>
              <w:t>等</w:t>
            </w:r>
            <w:r>
              <w:rPr>
                <w:rFonts w:hint="eastAsia" w:ascii="宋体" w:hAnsi="宋体" w:eastAsia="宋体" w:cs="宋体"/>
                <w:b w:val="0"/>
                <w:bCs/>
                <w:color w:val="000000"/>
                <w:sz w:val="21"/>
                <w:szCs w:val="21"/>
                <w:highlight w:val="none"/>
                <w:lang w:val="zh-CN"/>
              </w:rPr>
              <w:t>内容的完整性、可行性，</w:t>
            </w:r>
            <w:r>
              <w:rPr>
                <w:rFonts w:hint="eastAsia" w:ascii="宋体" w:hAnsi="宋体" w:eastAsia="宋体" w:cs="宋体"/>
                <w:b w:val="0"/>
                <w:bCs/>
                <w:color w:val="000000"/>
                <w:sz w:val="21"/>
                <w:szCs w:val="21"/>
                <w:highlight w:val="none"/>
                <w:lang w:val="en-US" w:eastAsia="zh-CN"/>
              </w:rPr>
              <w:t>以及对</w:t>
            </w:r>
            <w:r>
              <w:rPr>
                <w:rFonts w:hint="eastAsia" w:ascii="宋体" w:hAnsi="宋体" w:eastAsia="宋体" w:cs="宋体"/>
                <w:b w:val="0"/>
                <w:bCs/>
                <w:color w:val="000000"/>
                <w:sz w:val="21"/>
                <w:szCs w:val="21"/>
                <w:highlight w:val="none"/>
                <w:lang w:val="zh-CN"/>
              </w:rPr>
              <w:t>到达故障现场时间、故障出现解决方案、定期维护</w:t>
            </w:r>
            <w:r>
              <w:rPr>
                <w:rFonts w:hint="eastAsia" w:ascii="宋体" w:hAnsi="宋体" w:eastAsia="宋体" w:cs="宋体"/>
                <w:b w:val="0"/>
                <w:bCs/>
                <w:color w:val="000000"/>
                <w:sz w:val="21"/>
                <w:szCs w:val="21"/>
                <w:highlight w:val="none"/>
                <w:lang w:val="en-US"/>
              </w:rPr>
              <w:t>等响应能力方面进行</w:t>
            </w:r>
            <w:r>
              <w:rPr>
                <w:rFonts w:hint="eastAsia" w:ascii="宋体" w:hAnsi="宋体" w:eastAsia="宋体" w:cs="宋体"/>
                <w:b w:val="0"/>
                <w:bCs/>
                <w:color w:val="000000"/>
                <w:sz w:val="21"/>
                <w:szCs w:val="21"/>
                <w:highlight w:val="none"/>
                <w:lang w:val="en-US" w:eastAsia="zh-CN"/>
              </w:rPr>
              <w:t>独立评审</w:t>
            </w:r>
            <w:r>
              <w:rPr>
                <w:rFonts w:hint="eastAsia" w:ascii="宋体" w:hAnsi="宋体" w:eastAsia="宋体" w:cs="宋体"/>
                <w:b w:val="0"/>
                <w:bCs/>
                <w:color w:val="000000"/>
                <w:sz w:val="21"/>
                <w:szCs w:val="21"/>
                <w:highlight w:val="none"/>
                <w:lang w:eastAsia="zh-Hans"/>
              </w:rPr>
              <w:t>并按以下规则</w:t>
            </w:r>
            <w:r>
              <w:rPr>
                <w:rFonts w:hint="eastAsia" w:ascii="宋体" w:hAnsi="宋体" w:eastAsia="宋体" w:cs="宋体"/>
                <w:b w:val="0"/>
                <w:bCs/>
                <w:color w:val="000000"/>
                <w:sz w:val="21"/>
                <w:szCs w:val="21"/>
                <w:highlight w:val="none"/>
                <w:lang w:val="en-US" w:eastAsia="zh-CN"/>
              </w:rPr>
              <w:t>评</w:t>
            </w:r>
            <w:r>
              <w:rPr>
                <w:rFonts w:hint="eastAsia" w:ascii="宋体" w:hAnsi="宋体" w:eastAsia="宋体" w:cs="宋体"/>
                <w:b w:val="0"/>
                <w:bCs/>
                <w:color w:val="000000"/>
                <w:sz w:val="21"/>
                <w:szCs w:val="21"/>
                <w:highlight w:val="none"/>
                <w:lang w:eastAsia="zh-Hans"/>
              </w:rPr>
              <w:t>分</w:t>
            </w:r>
            <w:r>
              <w:rPr>
                <w:rFonts w:hint="eastAsia" w:ascii="宋体" w:hAnsi="宋体" w:eastAsia="宋体" w:cs="宋体"/>
                <w:b w:val="0"/>
                <w:bCs/>
                <w:color w:val="000000"/>
                <w:sz w:val="21"/>
                <w:szCs w:val="21"/>
                <w:highlight w:val="none"/>
                <w:lang w:val="zh-CN"/>
              </w:rPr>
              <w:t>（</w:t>
            </w:r>
            <w:r>
              <w:rPr>
                <w:rFonts w:hint="eastAsia" w:ascii="宋体" w:hAnsi="宋体" w:eastAsia="宋体" w:cs="宋体"/>
                <w:b w:val="0"/>
                <w:bCs/>
                <w:color w:val="000000"/>
                <w:sz w:val="21"/>
                <w:szCs w:val="21"/>
                <w:highlight w:val="none"/>
              </w:rPr>
              <w:t>投标人所提供的方案不符合任一档次进档所有要求的，不予进入该档评分</w:t>
            </w:r>
            <w:r>
              <w:rPr>
                <w:rFonts w:hint="eastAsia" w:ascii="宋体" w:hAnsi="宋体" w:eastAsia="宋体" w:cs="宋体"/>
                <w:b w:val="0"/>
                <w:bCs/>
                <w:color w:val="000000"/>
                <w:sz w:val="21"/>
                <w:szCs w:val="21"/>
                <w:highlight w:val="none"/>
                <w:lang w:val="zh-CN"/>
              </w:rPr>
              <w:t>）</w:t>
            </w:r>
            <w:r>
              <w:rPr>
                <w:rFonts w:hint="eastAsia" w:ascii="宋体" w:hAnsi="宋体" w:eastAsia="宋体" w:cs="宋体"/>
                <w:b w:val="0"/>
                <w:bCs/>
                <w:color w:val="000000"/>
                <w:sz w:val="21"/>
                <w:szCs w:val="21"/>
                <w:highlight w:val="none"/>
                <w:lang w:eastAsia="zh-Hans"/>
              </w:rPr>
              <w:t>：</w:t>
            </w:r>
          </w:p>
          <w:p w14:paraId="2C1ED83F">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0" w:firstLineChars="100"/>
              <w:textAlignment w:val="auto"/>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rPr>
              <w:t>一档（0分）：未提供方案</w:t>
            </w:r>
            <w:r>
              <w:rPr>
                <w:rFonts w:hint="eastAsia" w:ascii="宋体" w:hAnsi="宋体" w:eastAsia="宋体" w:cs="宋体"/>
                <w:b w:val="0"/>
                <w:bCs/>
                <w:color w:val="000000"/>
                <w:sz w:val="21"/>
                <w:szCs w:val="21"/>
                <w:highlight w:val="none"/>
                <w:lang w:val="en-US" w:eastAsia="zh-CN"/>
              </w:rPr>
              <w:t>的</w:t>
            </w:r>
            <w:r>
              <w:rPr>
                <w:rFonts w:hint="eastAsia" w:ascii="宋体" w:hAnsi="宋体" w:eastAsia="宋体" w:cs="宋体"/>
                <w:b w:val="0"/>
                <w:bCs/>
                <w:color w:val="000000"/>
                <w:sz w:val="21"/>
                <w:szCs w:val="21"/>
                <w:highlight w:val="none"/>
                <w:lang w:eastAsia="zh-CN"/>
              </w:rPr>
              <w:t>；</w:t>
            </w:r>
          </w:p>
          <w:p w14:paraId="3452AF4C">
            <w:pPr>
              <w:pStyle w:val="30"/>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0" w:firstLineChars="100"/>
              <w:textAlignment w:val="auto"/>
              <w:rPr>
                <w:rFonts w:hint="eastAsia" w:ascii="宋体" w:hAnsi="宋体" w:eastAsia="宋体" w:cs="宋体"/>
                <w:color w:val="000000"/>
                <w:spacing w:val="-2"/>
                <w:sz w:val="21"/>
                <w:szCs w:val="21"/>
                <w:highlight w:val="none"/>
                <w:lang w:eastAsia="zh-CN"/>
              </w:rPr>
            </w:pPr>
            <w:r>
              <w:rPr>
                <w:rFonts w:hint="eastAsia" w:ascii="宋体" w:hAnsi="宋体" w:eastAsia="宋体" w:cs="宋体"/>
                <w:b w:val="0"/>
                <w:bCs/>
                <w:color w:val="000000"/>
                <w:sz w:val="21"/>
                <w:szCs w:val="21"/>
                <w:highlight w:val="none"/>
              </w:rPr>
              <w:t>二</w:t>
            </w:r>
            <w:r>
              <w:rPr>
                <w:rFonts w:hint="eastAsia" w:ascii="宋体" w:hAnsi="宋体" w:eastAsia="宋体" w:cs="宋体"/>
                <w:b w:val="0"/>
                <w:bCs/>
                <w:color w:val="000000"/>
                <w:sz w:val="21"/>
                <w:szCs w:val="21"/>
                <w:highlight w:val="none"/>
                <w:lang w:val="zh-CN"/>
              </w:rPr>
              <w:t>档（</w:t>
            </w:r>
            <w:r>
              <w:rPr>
                <w:rFonts w:hint="eastAsia" w:ascii="宋体" w:hAnsi="宋体" w:eastAsia="宋体" w:cs="宋体"/>
                <w:b w:val="0"/>
                <w:bCs/>
                <w:color w:val="000000"/>
                <w:sz w:val="21"/>
                <w:szCs w:val="21"/>
                <w:highlight w:val="none"/>
                <w:lang w:val="en-US" w:eastAsia="zh-CN"/>
              </w:rPr>
              <w:t>3</w:t>
            </w:r>
            <w:r>
              <w:rPr>
                <w:rFonts w:hint="eastAsia" w:ascii="宋体" w:hAnsi="宋体" w:eastAsia="宋体" w:cs="宋体"/>
                <w:b w:val="0"/>
                <w:bCs/>
                <w:color w:val="000000"/>
                <w:sz w:val="21"/>
                <w:szCs w:val="21"/>
                <w:highlight w:val="none"/>
                <w:lang w:val="zh-CN"/>
              </w:rPr>
              <w:t>分）：</w:t>
            </w:r>
            <w:r>
              <w:rPr>
                <w:rFonts w:hint="eastAsia" w:ascii="宋体" w:hAnsi="宋体" w:eastAsia="宋体" w:cs="宋体"/>
                <w:b w:val="0"/>
                <w:bCs/>
                <w:color w:val="000000"/>
                <w:sz w:val="21"/>
                <w:szCs w:val="21"/>
                <w:highlight w:val="none"/>
                <w:lang w:val="en-US" w:eastAsia="zh-CN"/>
              </w:rPr>
              <w:t>提供</w:t>
            </w:r>
            <w:r>
              <w:rPr>
                <w:rFonts w:hint="eastAsia" w:ascii="宋体" w:hAnsi="宋体" w:eastAsia="宋体" w:cs="宋体"/>
                <w:color w:val="000000"/>
                <w:spacing w:val="-2"/>
                <w:sz w:val="21"/>
                <w:szCs w:val="21"/>
                <w:highlight w:val="none"/>
              </w:rPr>
              <w:t>有售后服务方案，</w:t>
            </w:r>
            <w:r>
              <w:rPr>
                <w:rFonts w:hint="eastAsia" w:ascii="宋体" w:hAnsi="宋体" w:eastAsia="宋体" w:cs="宋体"/>
                <w:color w:val="000000"/>
                <w:spacing w:val="-2"/>
                <w:sz w:val="21"/>
                <w:szCs w:val="21"/>
                <w:highlight w:val="none"/>
                <w:lang w:val="en-US" w:eastAsia="zh-CN"/>
              </w:rPr>
              <w:t>但</w:t>
            </w:r>
            <w:r>
              <w:rPr>
                <w:rFonts w:hint="eastAsia" w:ascii="宋体" w:hAnsi="宋体" w:eastAsia="宋体" w:cs="宋体"/>
                <w:b w:val="0"/>
                <w:bCs/>
                <w:color w:val="000000"/>
                <w:sz w:val="21"/>
                <w:szCs w:val="21"/>
                <w:highlight w:val="none"/>
                <w:lang w:val="zh-CN"/>
              </w:rPr>
              <w:t>方案</w:t>
            </w:r>
            <w:r>
              <w:rPr>
                <w:rFonts w:hint="eastAsia" w:ascii="宋体" w:hAnsi="宋体" w:eastAsia="宋体" w:cs="宋体"/>
                <w:b w:val="0"/>
                <w:bCs/>
                <w:color w:val="000000"/>
                <w:sz w:val="21"/>
                <w:szCs w:val="21"/>
                <w:highlight w:val="none"/>
                <w:lang w:val="en-US" w:eastAsia="zh-CN"/>
              </w:rPr>
              <w:t>有缺漏</w:t>
            </w:r>
            <w:r>
              <w:rPr>
                <w:rFonts w:hint="eastAsia" w:ascii="宋体" w:hAnsi="宋体" w:eastAsia="宋体" w:cs="宋体"/>
                <w:b w:val="0"/>
                <w:bCs/>
                <w:color w:val="000000"/>
                <w:sz w:val="21"/>
                <w:szCs w:val="21"/>
                <w:highlight w:val="none"/>
              </w:rPr>
              <w:t>或缺少关键节点</w:t>
            </w:r>
            <w:r>
              <w:rPr>
                <w:rFonts w:hint="eastAsia" w:ascii="宋体" w:hAnsi="宋体" w:eastAsia="宋体" w:cs="宋体"/>
                <w:b w:val="0"/>
                <w:bCs/>
                <w:color w:val="000000"/>
                <w:sz w:val="21"/>
                <w:szCs w:val="21"/>
                <w:highlight w:val="none"/>
                <w:lang w:val="en-US" w:eastAsia="zh-CN"/>
              </w:rPr>
              <w:t>或流程措施不明确</w:t>
            </w:r>
            <w:r>
              <w:rPr>
                <w:rFonts w:hint="eastAsia" w:ascii="宋体" w:hAnsi="宋体" w:eastAsia="宋体" w:cs="宋体"/>
                <w:b w:val="0"/>
                <w:bCs/>
                <w:color w:val="000000"/>
                <w:sz w:val="21"/>
                <w:szCs w:val="21"/>
                <w:highlight w:val="none"/>
                <w:lang w:val="zh-CN"/>
              </w:rPr>
              <w:t>，</w:t>
            </w:r>
            <w:r>
              <w:rPr>
                <w:rFonts w:hint="eastAsia" w:ascii="宋体" w:hAnsi="宋体" w:eastAsia="宋体" w:cs="宋体"/>
                <w:color w:val="000000"/>
                <w:spacing w:val="-2"/>
                <w:sz w:val="21"/>
                <w:szCs w:val="21"/>
                <w:highlight w:val="none"/>
              </w:rPr>
              <w:t>售后服务内容仅</w:t>
            </w:r>
            <w:r>
              <w:rPr>
                <w:rFonts w:hint="eastAsia" w:ascii="宋体" w:hAnsi="宋体" w:eastAsia="宋体" w:cs="宋体"/>
                <w:color w:val="000000"/>
                <w:spacing w:val="-2"/>
                <w:sz w:val="21"/>
                <w:szCs w:val="21"/>
                <w:highlight w:val="none"/>
                <w:lang w:val="en-US" w:eastAsia="zh-CN"/>
              </w:rPr>
              <w:t>能基本</w:t>
            </w:r>
            <w:r>
              <w:rPr>
                <w:rFonts w:hint="eastAsia" w:ascii="宋体" w:hAnsi="宋体" w:eastAsia="宋体" w:cs="宋体"/>
                <w:color w:val="000000"/>
                <w:spacing w:val="-2"/>
                <w:sz w:val="21"/>
                <w:szCs w:val="21"/>
                <w:highlight w:val="none"/>
              </w:rPr>
              <w:t>满足招标文件的要求</w:t>
            </w:r>
            <w:r>
              <w:rPr>
                <w:rFonts w:hint="eastAsia" w:ascii="宋体" w:hAnsi="宋体" w:eastAsia="宋体" w:cs="宋体"/>
                <w:color w:val="000000"/>
                <w:spacing w:val="-2"/>
                <w:sz w:val="21"/>
                <w:szCs w:val="21"/>
                <w:highlight w:val="none"/>
                <w:lang w:eastAsia="zh-CN"/>
              </w:rPr>
              <w:t>；</w:t>
            </w:r>
          </w:p>
          <w:p w14:paraId="0205E512">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0" w:firstLineChars="100"/>
              <w:textAlignment w:val="auto"/>
              <w:rPr>
                <w:rFonts w:hint="eastAsia" w:ascii="宋体" w:hAnsi="宋体" w:eastAsia="宋体" w:cs="宋体"/>
                <w:color w:val="000000"/>
                <w:spacing w:val="-2"/>
                <w:sz w:val="21"/>
                <w:szCs w:val="21"/>
                <w:highlight w:val="none"/>
              </w:rPr>
            </w:pPr>
            <w:r>
              <w:rPr>
                <w:rFonts w:hint="eastAsia" w:ascii="宋体" w:hAnsi="宋体" w:eastAsia="宋体" w:cs="宋体"/>
                <w:b w:val="0"/>
                <w:bCs/>
                <w:color w:val="000000"/>
                <w:sz w:val="21"/>
                <w:szCs w:val="21"/>
                <w:highlight w:val="none"/>
              </w:rPr>
              <w:t>三</w:t>
            </w:r>
            <w:r>
              <w:rPr>
                <w:rFonts w:hint="eastAsia" w:ascii="宋体" w:hAnsi="宋体" w:eastAsia="宋体" w:cs="宋体"/>
                <w:b w:val="0"/>
                <w:bCs/>
                <w:color w:val="000000"/>
                <w:sz w:val="21"/>
                <w:szCs w:val="21"/>
                <w:highlight w:val="none"/>
                <w:lang w:val="zh-CN"/>
              </w:rPr>
              <w:t>档（</w:t>
            </w:r>
            <w:r>
              <w:rPr>
                <w:rFonts w:hint="eastAsia" w:ascii="宋体" w:hAnsi="宋体" w:eastAsia="宋体" w:cs="宋体"/>
                <w:b w:val="0"/>
                <w:bCs/>
                <w:color w:val="000000"/>
                <w:sz w:val="21"/>
                <w:szCs w:val="21"/>
                <w:highlight w:val="none"/>
                <w:lang w:val="en-US" w:eastAsia="zh-CN"/>
              </w:rPr>
              <w:t>6</w:t>
            </w:r>
            <w:r>
              <w:rPr>
                <w:rFonts w:hint="eastAsia" w:ascii="宋体" w:hAnsi="宋体" w:eastAsia="宋体" w:cs="宋体"/>
                <w:b w:val="0"/>
                <w:bCs/>
                <w:color w:val="000000"/>
                <w:sz w:val="21"/>
                <w:szCs w:val="21"/>
                <w:highlight w:val="none"/>
                <w:lang w:val="zh-CN"/>
              </w:rPr>
              <w:t>分）：售后服务</w:t>
            </w:r>
            <w:r>
              <w:rPr>
                <w:rFonts w:hint="eastAsia" w:ascii="宋体" w:hAnsi="宋体" w:eastAsia="宋体" w:cs="宋体"/>
                <w:b w:val="0"/>
                <w:bCs/>
                <w:color w:val="000000"/>
                <w:sz w:val="21"/>
                <w:szCs w:val="21"/>
                <w:highlight w:val="none"/>
              </w:rPr>
              <w:t>方案无缺漏，</w:t>
            </w:r>
            <w:r>
              <w:rPr>
                <w:rFonts w:hint="eastAsia" w:ascii="宋体" w:hAnsi="宋体" w:eastAsia="宋体" w:cs="宋体"/>
                <w:color w:val="000000"/>
                <w:spacing w:val="-2"/>
                <w:sz w:val="21"/>
                <w:szCs w:val="21"/>
                <w:highlight w:val="none"/>
              </w:rPr>
              <w:t>有到达故障现场时间</w:t>
            </w:r>
            <w:r>
              <w:rPr>
                <w:rFonts w:hint="eastAsia" w:ascii="宋体" w:hAnsi="宋体" w:eastAsia="宋体" w:cs="宋体"/>
                <w:color w:val="000000"/>
                <w:spacing w:val="-2"/>
                <w:sz w:val="21"/>
                <w:szCs w:val="21"/>
                <w:highlight w:val="none"/>
                <w:lang w:val="en-US" w:eastAsia="zh-CN"/>
              </w:rPr>
              <w:t>及</w:t>
            </w:r>
            <w:r>
              <w:rPr>
                <w:rFonts w:hint="eastAsia" w:ascii="宋体" w:hAnsi="宋体" w:eastAsia="宋体" w:cs="宋体"/>
                <w:color w:val="000000"/>
                <w:spacing w:val="-2"/>
                <w:sz w:val="21"/>
                <w:szCs w:val="21"/>
                <w:highlight w:val="none"/>
              </w:rPr>
              <w:t>故障出现解决方案</w:t>
            </w:r>
            <w:r>
              <w:rPr>
                <w:rFonts w:hint="eastAsia" w:ascii="宋体" w:hAnsi="宋体" w:eastAsia="宋体" w:cs="宋体"/>
                <w:color w:val="000000"/>
                <w:spacing w:val="-2"/>
                <w:sz w:val="21"/>
                <w:szCs w:val="21"/>
                <w:highlight w:val="none"/>
                <w:lang w:eastAsia="zh-CN"/>
              </w:rPr>
              <w:t>、</w:t>
            </w:r>
            <w:r>
              <w:rPr>
                <w:rFonts w:hint="eastAsia" w:ascii="宋体" w:hAnsi="宋体" w:eastAsia="宋体" w:cs="宋体"/>
                <w:color w:val="000000"/>
                <w:spacing w:val="-2"/>
                <w:sz w:val="21"/>
                <w:szCs w:val="21"/>
                <w:highlight w:val="none"/>
              </w:rPr>
              <w:t>免费保修期外维修方案、售后人员配备情况描述、定期维护 (有具体时间)</w:t>
            </w:r>
            <w:r>
              <w:rPr>
                <w:rFonts w:hint="eastAsia" w:ascii="宋体" w:hAnsi="宋体" w:eastAsia="宋体" w:cs="宋体"/>
                <w:color w:val="000000"/>
                <w:spacing w:val="-2"/>
                <w:sz w:val="21"/>
                <w:szCs w:val="21"/>
                <w:highlight w:val="none"/>
                <w:lang w:val="en-US" w:eastAsia="zh-CN"/>
              </w:rPr>
              <w:t>等内容</w:t>
            </w:r>
            <w:r>
              <w:rPr>
                <w:rFonts w:hint="eastAsia" w:ascii="宋体" w:hAnsi="宋体" w:eastAsia="宋体" w:cs="宋体"/>
                <w:color w:val="000000"/>
                <w:spacing w:val="-2"/>
                <w:sz w:val="21"/>
                <w:szCs w:val="21"/>
                <w:highlight w:val="none"/>
                <w:lang w:eastAsia="zh-CN"/>
              </w:rPr>
              <w:t>，</w:t>
            </w:r>
            <w:r>
              <w:rPr>
                <w:rFonts w:hint="eastAsia" w:ascii="宋体" w:hAnsi="宋体" w:eastAsia="宋体" w:cs="宋体"/>
                <w:color w:val="000000"/>
                <w:spacing w:val="-2"/>
                <w:sz w:val="21"/>
                <w:szCs w:val="21"/>
                <w:highlight w:val="none"/>
                <w:lang w:val="en-US" w:eastAsia="zh-CN"/>
              </w:rPr>
              <w:t>但方案不具体或</w:t>
            </w:r>
            <w:r>
              <w:rPr>
                <w:rFonts w:hint="eastAsia" w:ascii="宋体" w:hAnsi="宋体" w:eastAsia="宋体" w:cs="宋体"/>
                <w:color w:val="000000"/>
                <w:spacing w:val="-2"/>
                <w:sz w:val="21"/>
                <w:szCs w:val="21"/>
                <w:highlight w:val="none"/>
              </w:rPr>
              <w:t>缺乏</w:t>
            </w:r>
            <w:r>
              <w:rPr>
                <w:rFonts w:hint="eastAsia" w:ascii="宋体" w:hAnsi="宋体" w:eastAsia="宋体" w:cs="宋体"/>
                <w:color w:val="000000"/>
                <w:spacing w:val="-2"/>
                <w:sz w:val="21"/>
                <w:szCs w:val="21"/>
                <w:highlight w:val="none"/>
                <w:lang w:val="en-US" w:eastAsia="zh-CN"/>
              </w:rPr>
              <w:t>运行</w:t>
            </w:r>
            <w:r>
              <w:rPr>
                <w:rFonts w:hint="eastAsia" w:ascii="宋体" w:hAnsi="宋体" w:eastAsia="宋体" w:cs="宋体"/>
                <w:color w:val="000000"/>
                <w:spacing w:val="-2"/>
                <w:sz w:val="21"/>
                <w:szCs w:val="21"/>
                <w:highlight w:val="none"/>
              </w:rPr>
              <w:t>保障响应措施，</w:t>
            </w:r>
            <w:r>
              <w:rPr>
                <w:rFonts w:hint="eastAsia" w:ascii="宋体" w:hAnsi="宋体" w:eastAsia="宋体" w:cs="宋体"/>
                <w:b w:val="0"/>
                <w:bCs/>
                <w:color w:val="000000"/>
                <w:sz w:val="21"/>
                <w:szCs w:val="21"/>
                <w:highlight w:val="none"/>
                <w:lang w:val="zh-CN"/>
              </w:rPr>
              <w:t>售后服务体系</w:t>
            </w:r>
            <w:r>
              <w:rPr>
                <w:rFonts w:hint="eastAsia" w:ascii="宋体" w:hAnsi="宋体" w:eastAsia="宋体" w:cs="宋体"/>
                <w:b w:val="0"/>
                <w:bCs/>
                <w:color w:val="000000"/>
                <w:sz w:val="21"/>
                <w:szCs w:val="21"/>
                <w:highlight w:val="none"/>
              </w:rPr>
              <w:t>可以</w:t>
            </w:r>
            <w:r>
              <w:rPr>
                <w:rFonts w:hint="eastAsia" w:ascii="宋体" w:hAnsi="宋体" w:eastAsia="宋体" w:cs="宋体"/>
                <w:b w:val="0"/>
                <w:bCs/>
                <w:color w:val="000000"/>
                <w:sz w:val="21"/>
                <w:szCs w:val="21"/>
                <w:highlight w:val="none"/>
                <w:lang w:val="en-US" w:eastAsia="zh-CN"/>
              </w:rPr>
              <w:t>基本</w:t>
            </w:r>
            <w:r>
              <w:rPr>
                <w:rFonts w:hint="eastAsia" w:ascii="宋体" w:hAnsi="宋体" w:eastAsia="宋体" w:cs="宋体"/>
                <w:b w:val="0"/>
                <w:bCs/>
                <w:color w:val="000000"/>
                <w:sz w:val="21"/>
                <w:szCs w:val="21"/>
                <w:highlight w:val="none"/>
              </w:rPr>
              <w:t>保证项目正常实施</w:t>
            </w:r>
            <w:r>
              <w:rPr>
                <w:rFonts w:hint="eastAsia" w:ascii="宋体" w:hAnsi="宋体" w:eastAsia="宋体" w:cs="宋体"/>
                <w:b w:val="0"/>
                <w:bCs/>
                <w:color w:val="000000"/>
                <w:sz w:val="21"/>
                <w:szCs w:val="21"/>
                <w:highlight w:val="none"/>
                <w:lang w:eastAsia="zh-CN"/>
              </w:rPr>
              <w:t>；</w:t>
            </w:r>
          </w:p>
          <w:p w14:paraId="329F699B">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0" w:firstLineChars="100"/>
              <w:textAlignment w:val="auto"/>
              <w:rPr>
                <w:rFonts w:hint="eastAsia" w:ascii="宋体" w:hAnsi="宋体" w:eastAsia="宋体" w:cs="宋体"/>
                <w:b w:val="0"/>
                <w:bCs/>
                <w:color w:val="000000"/>
                <w:sz w:val="21"/>
                <w:szCs w:val="21"/>
                <w:highlight w:val="none"/>
                <w:lang w:val="zh-CN"/>
              </w:rPr>
            </w:pPr>
            <w:r>
              <w:rPr>
                <w:rFonts w:hint="eastAsia" w:ascii="宋体" w:hAnsi="宋体" w:eastAsia="宋体" w:cs="宋体"/>
                <w:b w:val="0"/>
                <w:bCs/>
                <w:color w:val="000000"/>
                <w:sz w:val="21"/>
                <w:szCs w:val="21"/>
                <w:highlight w:val="none"/>
                <w:lang w:val="en-US" w:eastAsia="zh-CN"/>
              </w:rPr>
              <w:t>四</w:t>
            </w:r>
            <w:r>
              <w:rPr>
                <w:rFonts w:hint="eastAsia" w:ascii="宋体" w:hAnsi="宋体" w:eastAsia="宋体" w:cs="宋体"/>
                <w:b w:val="0"/>
                <w:bCs/>
                <w:color w:val="000000"/>
                <w:sz w:val="21"/>
                <w:szCs w:val="21"/>
                <w:highlight w:val="none"/>
                <w:lang w:val="zh-CN"/>
              </w:rPr>
              <w:t>档（</w:t>
            </w:r>
            <w:r>
              <w:rPr>
                <w:rFonts w:hint="eastAsia" w:ascii="宋体" w:hAnsi="宋体" w:eastAsia="宋体" w:cs="宋体"/>
                <w:b w:val="0"/>
                <w:bCs/>
                <w:color w:val="000000"/>
                <w:sz w:val="21"/>
                <w:szCs w:val="21"/>
                <w:highlight w:val="none"/>
                <w:lang w:val="en-US" w:eastAsia="zh-CN"/>
              </w:rPr>
              <w:t>9</w:t>
            </w:r>
            <w:r>
              <w:rPr>
                <w:rFonts w:hint="eastAsia" w:ascii="宋体" w:hAnsi="宋体" w:eastAsia="宋体" w:cs="宋体"/>
                <w:b w:val="0"/>
                <w:bCs/>
                <w:color w:val="000000"/>
                <w:sz w:val="21"/>
                <w:szCs w:val="21"/>
                <w:highlight w:val="none"/>
                <w:lang w:val="zh-CN"/>
              </w:rPr>
              <w:t>分）：售后服务</w:t>
            </w:r>
            <w:r>
              <w:rPr>
                <w:rFonts w:hint="eastAsia" w:ascii="宋体" w:hAnsi="宋体" w:eastAsia="宋体" w:cs="宋体"/>
                <w:b w:val="0"/>
                <w:bCs/>
                <w:color w:val="000000"/>
                <w:sz w:val="21"/>
                <w:szCs w:val="21"/>
                <w:highlight w:val="none"/>
              </w:rPr>
              <w:t>方案完整无缺漏，售后服务流程、</w:t>
            </w:r>
            <w:r>
              <w:rPr>
                <w:rFonts w:hint="eastAsia" w:ascii="宋体" w:hAnsi="宋体" w:eastAsia="宋体" w:cs="宋体"/>
                <w:b w:val="0"/>
                <w:bCs/>
                <w:color w:val="000000"/>
                <w:sz w:val="21"/>
                <w:szCs w:val="21"/>
                <w:highlight w:val="none"/>
                <w:lang w:eastAsia="zh-CN"/>
              </w:rPr>
              <w:t>运行</w:t>
            </w:r>
            <w:r>
              <w:rPr>
                <w:rFonts w:hint="eastAsia" w:ascii="宋体" w:hAnsi="宋体" w:eastAsia="宋体" w:cs="宋体"/>
                <w:b w:val="0"/>
                <w:bCs/>
                <w:color w:val="000000"/>
                <w:sz w:val="21"/>
                <w:szCs w:val="21"/>
                <w:highlight w:val="none"/>
              </w:rPr>
              <w:t>保障措施、免费技术培训等内容</w:t>
            </w:r>
            <w:r>
              <w:rPr>
                <w:rFonts w:hint="eastAsia" w:ascii="宋体" w:hAnsi="宋体" w:eastAsia="宋体" w:cs="宋体"/>
                <w:b w:val="0"/>
                <w:bCs/>
                <w:color w:val="000000"/>
                <w:sz w:val="21"/>
                <w:szCs w:val="21"/>
                <w:highlight w:val="none"/>
                <w:lang w:val="en-US" w:eastAsia="zh-CN"/>
              </w:rPr>
              <w:t>具体</w:t>
            </w:r>
            <w:r>
              <w:rPr>
                <w:rFonts w:hint="eastAsia" w:ascii="宋体" w:hAnsi="宋体" w:eastAsia="宋体" w:cs="宋体"/>
                <w:b w:val="0"/>
                <w:bCs/>
                <w:color w:val="000000"/>
                <w:sz w:val="21"/>
                <w:szCs w:val="21"/>
                <w:highlight w:val="none"/>
              </w:rPr>
              <w:t>且措施具有可行性</w:t>
            </w:r>
            <w:r>
              <w:rPr>
                <w:rFonts w:hint="eastAsia" w:ascii="宋体" w:hAnsi="宋体" w:eastAsia="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lang w:val="zh-CN"/>
              </w:rPr>
              <w:t>有定期维护</w:t>
            </w:r>
            <w:r>
              <w:rPr>
                <w:rFonts w:hint="eastAsia" w:ascii="宋体" w:hAnsi="宋体" w:eastAsia="宋体" w:cs="宋体"/>
                <w:color w:val="000000"/>
                <w:spacing w:val="-2"/>
                <w:sz w:val="21"/>
                <w:szCs w:val="21"/>
                <w:highlight w:val="none"/>
              </w:rPr>
              <w:t>（维护次数优于招标文件要求、有详细的说明）</w:t>
            </w:r>
            <w:r>
              <w:rPr>
                <w:rFonts w:hint="eastAsia" w:ascii="宋体" w:hAnsi="宋体" w:eastAsia="宋体" w:cs="宋体"/>
                <w:b w:val="0"/>
                <w:bCs/>
                <w:color w:val="000000"/>
                <w:sz w:val="21"/>
                <w:szCs w:val="21"/>
                <w:highlight w:val="none"/>
                <w:lang w:val="en-US" w:eastAsia="zh-CN"/>
              </w:rPr>
              <w:t>以及</w:t>
            </w:r>
            <w:r>
              <w:rPr>
                <w:rFonts w:hint="eastAsia" w:ascii="宋体" w:hAnsi="宋体" w:eastAsia="宋体" w:cs="宋体"/>
                <w:b w:val="0"/>
                <w:bCs/>
                <w:color w:val="000000"/>
                <w:sz w:val="21"/>
                <w:szCs w:val="21"/>
                <w:highlight w:val="none"/>
              </w:rPr>
              <w:t>免费保修期外维修及其他增值售后服务措施</w:t>
            </w:r>
            <w:r>
              <w:rPr>
                <w:rFonts w:hint="eastAsia" w:ascii="宋体" w:hAnsi="宋体" w:eastAsia="宋体" w:cs="宋体"/>
                <w:b w:val="0"/>
                <w:bCs/>
                <w:color w:val="000000"/>
                <w:sz w:val="21"/>
                <w:szCs w:val="21"/>
                <w:highlight w:val="none"/>
                <w:lang w:val="zh-CN"/>
              </w:rPr>
              <w:t>，</w:t>
            </w:r>
            <w:r>
              <w:rPr>
                <w:rFonts w:hint="eastAsia" w:ascii="宋体" w:hAnsi="宋体" w:eastAsia="宋体" w:cs="宋体"/>
                <w:color w:val="000000"/>
                <w:spacing w:val="-2"/>
                <w:sz w:val="21"/>
                <w:szCs w:val="21"/>
                <w:highlight w:val="none"/>
              </w:rPr>
              <w:t>有具体详细的发生</w:t>
            </w:r>
            <w:r>
              <w:rPr>
                <w:rFonts w:hint="eastAsia" w:ascii="宋体" w:hAnsi="宋体" w:eastAsia="宋体" w:cs="宋体"/>
                <w:color w:val="000000"/>
                <w:spacing w:val="-2"/>
                <w:sz w:val="21"/>
                <w:szCs w:val="21"/>
                <w:highlight w:val="none"/>
                <w:lang w:val="en-US" w:eastAsia="zh-CN"/>
              </w:rPr>
              <w:t>紧急</w:t>
            </w:r>
            <w:r>
              <w:rPr>
                <w:rFonts w:hint="eastAsia" w:ascii="宋体" w:hAnsi="宋体" w:eastAsia="宋体" w:cs="宋体"/>
                <w:color w:val="000000"/>
                <w:spacing w:val="-2"/>
                <w:sz w:val="21"/>
                <w:szCs w:val="21"/>
                <w:highlight w:val="none"/>
              </w:rPr>
              <w:t>故障响应措施，具有同类型项目的售后维修服务经验，且有投入本项目的售后服务人员及零配件仓库【以提供有效售后服务人员及零配件仓库等证明材料复印件，人员证明材料包括但不限于劳动合同复印件或单位出具的证明材料或社保证明或其他有效证明材料，零配件仓库证明材料包括但不限于租赁合同复印件或产权证明文件或营业执照复印件为准】</w:t>
            </w:r>
            <w:r>
              <w:rPr>
                <w:rFonts w:hint="eastAsia" w:ascii="宋体" w:hAnsi="宋体" w:eastAsia="宋体" w:cs="宋体"/>
                <w:color w:val="000000"/>
                <w:spacing w:val="-2"/>
                <w:sz w:val="21"/>
                <w:szCs w:val="21"/>
                <w:highlight w:val="none"/>
                <w:lang w:eastAsia="zh-CN"/>
              </w:rPr>
              <w:t>；</w:t>
            </w:r>
            <w:r>
              <w:rPr>
                <w:rFonts w:hint="eastAsia" w:ascii="宋体" w:hAnsi="宋体" w:eastAsia="宋体" w:cs="宋体"/>
                <w:b w:val="0"/>
                <w:bCs/>
                <w:color w:val="000000"/>
                <w:sz w:val="21"/>
                <w:szCs w:val="21"/>
                <w:highlight w:val="none"/>
                <w:lang w:eastAsia="zh-CN"/>
              </w:rPr>
              <w:t>承诺的</w:t>
            </w:r>
            <w:r>
              <w:rPr>
                <w:rFonts w:hint="eastAsia" w:ascii="宋体" w:hAnsi="宋体" w:eastAsia="宋体" w:cs="宋体"/>
                <w:b w:val="0"/>
                <w:bCs/>
                <w:color w:val="000000"/>
                <w:sz w:val="21"/>
                <w:szCs w:val="21"/>
                <w:highlight w:val="none"/>
                <w:lang w:val="zh-CN"/>
              </w:rPr>
              <w:t>到达现场维护时间</w:t>
            </w:r>
            <w:r>
              <w:rPr>
                <w:rFonts w:hint="eastAsia" w:ascii="宋体" w:hAnsi="宋体" w:eastAsia="宋体" w:cs="宋体"/>
                <w:b w:val="0"/>
                <w:bCs/>
                <w:color w:val="000000"/>
                <w:sz w:val="21"/>
                <w:szCs w:val="21"/>
                <w:highlight w:val="none"/>
                <w:lang w:val="en-US" w:eastAsia="zh-CN"/>
              </w:rPr>
              <w:t>和</w:t>
            </w:r>
            <w:r>
              <w:rPr>
                <w:rFonts w:hint="eastAsia" w:ascii="宋体" w:hAnsi="宋体" w:eastAsia="宋体" w:cs="宋体"/>
                <w:b w:val="0"/>
                <w:bCs/>
                <w:color w:val="000000"/>
                <w:sz w:val="21"/>
                <w:szCs w:val="21"/>
                <w:highlight w:val="none"/>
                <w:lang w:val="zh-CN"/>
              </w:rPr>
              <w:t>故障出现解决方案优于</w:t>
            </w:r>
            <w:r>
              <w:rPr>
                <w:rFonts w:hint="eastAsia" w:ascii="宋体" w:hAnsi="宋体" w:eastAsia="宋体" w:cs="宋体"/>
                <w:b w:val="0"/>
                <w:bCs/>
                <w:color w:val="000000"/>
                <w:sz w:val="21"/>
                <w:szCs w:val="21"/>
                <w:highlight w:val="none"/>
              </w:rPr>
              <w:t>招标</w:t>
            </w:r>
            <w:r>
              <w:rPr>
                <w:rFonts w:hint="eastAsia" w:ascii="宋体" w:hAnsi="宋体" w:eastAsia="宋体" w:cs="宋体"/>
                <w:b w:val="0"/>
                <w:bCs/>
                <w:color w:val="000000"/>
                <w:sz w:val="21"/>
                <w:szCs w:val="21"/>
                <w:highlight w:val="none"/>
                <w:lang w:val="zh-CN"/>
              </w:rPr>
              <w:t>文件要求；</w:t>
            </w:r>
          </w:p>
          <w:p w14:paraId="7C21BD1C">
            <w:pPr>
              <w:keepNext w:val="0"/>
              <w:keepLines w:val="0"/>
              <w:pageBreakBefore w:val="0"/>
              <w:widowControl w:val="0"/>
              <w:kinsoku/>
              <w:wordWrap w:val="0"/>
              <w:overflowPunct/>
              <w:topLinePunct w:val="0"/>
              <w:autoSpaceDE/>
              <w:autoSpaceDN/>
              <w:bidi w:val="0"/>
              <w:adjustRightInd/>
              <w:snapToGrid/>
              <w:spacing w:line="400" w:lineRule="exact"/>
              <w:ind w:left="113" w:leftChars="0" w:right="113" w:rightChars="0" w:firstLine="210" w:firstLineChars="100"/>
              <w:textAlignment w:val="auto"/>
              <w:rPr>
                <w:rFonts w:hint="eastAsia" w:ascii="宋体" w:hAnsi="宋体" w:eastAsia="宋体" w:cs="宋体"/>
                <w:b w:val="0"/>
                <w:bCs/>
                <w:color w:val="000000"/>
                <w:sz w:val="21"/>
                <w:szCs w:val="21"/>
                <w:highlight w:val="none"/>
                <w:lang w:eastAsia="zh-Hans"/>
              </w:rPr>
            </w:pPr>
            <w:r>
              <w:rPr>
                <w:rFonts w:hint="eastAsia" w:ascii="宋体" w:hAnsi="宋体" w:eastAsia="宋体" w:cs="宋体"/>
                <w:b w:val="0"/>
                <w:bCs/>
                <w:color w:val="000000"/>
                <w:sz w:val="21"/>
                <w:szCs w:val="21"/>
                <w:highlight w:val="none"/>
                <w:lang w:val="en-US" w:eastAsia="zh-CN"/>
              </w:rPr>
              <w:t>五</w:t>
            </w:r>
            <w:r>
              <w:rPr>
                <w:rFonts w:hint="eastAsia" w:ascii="宋体" w:hAnsi="宋体" w:eastAsia="宋体" w:cs="宋体"/>
                <w:b w:val="0"/>
                <w:bCs/>
                <w:color w:val="000000"/>
                <w:sz w:val="21"/>
                <w:szCs w:val="21"/>
                <w:highlight w:val="none"/>
                <w:lang w:val="zh-CN"/>
              </w:rPr>
              <w:t>档（</w:t>
            </w:r>
            <w:r>
              <w:rPr>
                <w:rFonts w:hint="eastAsia" w:ascii="宋体" w:hAnsi="宋体" w:eastAsia="宋体" w:cs="宋体"/>
                <w:b w:val="0"/>
                <w:bCs/>
                <w:color w:val="000000"/>
                <w:sz w:val="21"/>
                <w:szCs w:val="21"/>
                <w:highlight w:val="none"/>
                <w:lang w:eastAsia="zh-CN"/>
              </w:rPr>
              <w:t>1</w:t>
            </w:r>
            <w:r>
              <w:rPr>
                <w:rFonts w:hint="eastAsia" w:ascii="宋体" w:hAnsi="宋体" w:eastAsia="宋体" w:cs="宋体"/>
                <w:b w:val="0"/>
                <w:bCs/>
                <w:color w:val="000000"/>
                <w:sz w:val="21"/>
                <w:szCs w:val="21"/>
                <w:highlight w:val="none"/>
                <w:lang w:val="en-US" w:eastAsia="zh-CN"/>
              </w:rPr>
              <w:t>2</w:t>
            </w:r>
            <w:r>
              <w:rPr>
                <w:rFonts w:hint="eastAsia" w:ascii="宋体" w:hAnsi="宋体" w:eastAsia="宋体" w:cs="宋体"/>
                <w:b w:val="0"/>
                <w:bCs/>
                <w:color w:val="000000"/>
                <w:sz w:val="21"/>
                <w:szCs w:val="21"/>
                <w:highlight w:val="none"/>
                <w:lang w:val="zh-CN"/>
              </w:rPr>
              <w:t>分）：</w:t>
            </w:r>
            <w:r>
              <w:rPr>
                <w:rFonts w:hint="eastAsia" w:ascii="宋体" w:hAnsi="宋体" w:eastAsia="宋体" w:cs="宋体"/>
                <w:b w:val="0"/>
                <w:bCs/>
                <w:color w:val="000000"/>
                <w:sz w:val="21"/>
                <w:szCs w:val="21"/>
                <w:highlight w:val="none"/>
                <w:lang w:val="en-US" w:eastAsia="zh-CN"/>
              </w:rPr>
              <w:t>在四档基础上，</w:t>
            </w:r>
            <w:r>
              <w:rPr>
                <w:rFonts w:hint="eastAsia" w:ascii="宋体" w:hAnsi="宋体" w:eastAsia="宋体" w:cs="宋体"/>
                <w:b w:val="0"/>
                <w:bCs/>
                <w:color w:val="000000"/>
                <w:sz w:val="21"/>
                <w:szCs w:val="21"/>
                <w:highlight w:val="none"/>
                <w:lang w:eastAsia="zh-CN"/>
              </w:rPr>
              <w:t>针对</w:t>
            </w:r>
            <w:r>
              <w:rPr>
                <w:rFonts w:hint="eastAsia" w:ascii="宋体" w:hAnsi="宋体" w:eastAsia="宋体" w:cs="宋体"/>
                <w:color w:val="000000"/>
                <w:spacing w:val="-2"/>
                <w:sz w:val="21"/>
                <w:szCs w:val="21"/>
                <w:highlight w:val="none"/>
              </w:rPr>
              <w:t>故障出现解决方案（有具体的</w:t>
            </w:r>
            <w:r>
              <w:rPr>
                <w:rFonts w:hint="eastAsia" w:ascii="宋体" w:hAnsi="宋体" w:eastAsia="宋体" w:cs="宋体"/>
                <w:color w:val="000000"/>
                <w:spacing w:val="-2"/>
                <w:sz w:val="21"/>
                <w:szCs w:val="21"/>
                <w:highlight w:val="none"/>
                <w:lang w:val="en-US" w:eastAsia="zh-CN"/>
              </w:rPr>
              <w:t>故障</w:t>
            </w:r>
            <w:r>
              <w:rPr>
                <w:rFonts w:hint="eastAsia" w:ascii="宋体" w:hAnsi="宋体" w:eastAsia="宋体" w:cs="宋体"/>
                <w:color w:val="000000"/>
                <w:spacing w:val="-2"/>
                <w:sz w:val="21"/>
                <w:szCs w:val="21"/>
                <w:highlight w:val="none"/>
              </w:rPr>
              <w:t>处理流程及措施）</w:t>
            </w:r>
            <w:r>
              <w:rPr>
                <w:rFonts w:hint="eastAsia" w:ascii="宋体" w:hAnsi="宋体" w:eastAsia="宋体" w:cs="宋体"/>
                <w:b w:val="0"/>
                <w:bCs/>
                <w:color w:val="000000"/>
                <w:sz w:val="21"/>
                <w:szCs w:val="21"/>
                <w:highlight w:val="none"/>
              </w:rPr>
              <w:t>、应急预案等内容</w:t>
            </w:r>
            <w:r>
              <w:rPr>
                <w:rFonts w:hint="eastAsia" w:ascii="宋体" w:hAnsi="宋体" w:eastAsia="宋体" w:cs="宋体"/>
                <w:b w:val="0"/>
                <w:bCs/>
                <w:color w:val="000000"/>
                <w:sz w:val="21"/>
                <w:szCs w:val="21"/>
                <w:highlight w:val="none"/>
                <w:lang w:val="en-US" w:eastAsia="zh-CN"/>
              </w:rPr>
              <w:t>提出</w:t>
            </w:r>
            <w:r>
              <w:rPr>
                <w:rFonts w:hint="eastAsia" w:ascii="宋体" w:hAnsi="宋体" w:eastAsia="宋体" w:cs="宋体"/>
                <w:b w:val="0"/>
                <w:bCs/>
                <w:color w:val="000000"/>
                <w:sz w:val="21"/>
                <w:szCs w:val="21"/>
                <w:highlight w:val="none"/>
              </w:rPr>
              <w:t>的措施及解决方案科学、可行且针对性强</w:t>
            </w:r>
            <w:r>
              <w:rPr>
                <w:rFonts w:hint="eastAsia" w:ascii="宋体" w:hAnsi="宋体" w:eastAsia="宋体" w:cs="宋体"/>
                <w:b w:val="0"/>
                <w:bCs/>
                <w:color w:val="000000"/>
                <w:sz w:val="21"/>
                <w:szCs w:val="21"/>
                <w:highlight w:val="none"/>
                <w:lang w:eastAsia="zh-CN"/>
              </w:rPr>
              <w:t>，并</w:t>
            </w:r>
            <w:r>
              <w:rPr>
                <w:rFonts w:hint="eastAsia" w:ascii="宋体" w:hAnsi="宋体" w:eastAsia="宋体" w:cs="宋体"/>
                <w:b w:val="0"/>
                <w:bCs/>
                <w:color w:val="000000"/>
                <w:sz w:val="21"/>
                <w:szCs w:val="21"/>
                <w:highlight w:val="none"/>
              </w:rPr>
              <w:t>对可能出现的售后技术难点提出有效的技术支持</w:t>
            </w:r>
            <w:r>
              <w:rPr>
                <w:rFonts w:hint="eastAsia" w:ascii="宋体" w:hAnsi="宋体" w:eastAsia="宋体" w:cs="宋体"/>
                <w:b w:val="0"/>
                <w:bCs/>
                <w:color w:val="000000"/>
                <w:sz w:val="21"/>
                <w:szCs w:val="21"/>
                <w:highlight w:val="none"/>
                <w:lang w:val="en-US" w:eastAsia="zh-CN"/>
              </w:rPr>
              <w:t>响应</w:t>
            </w:r>
            <w:r>
              <w:rPr>
                <w:rFonts w:hint="eastAsia" w:ascii="宋体" w:hAnsi="宋体" w:eastAsia="宋体" w:cs="宋体"/>
                <w:b w:val="0"/>
                <w:bCs/>
                <w:color w:val="000000"/>
                <w:sz w:val="21"/>
                <w:szCs w:val="21"/>
                <w:highlight w:val="none"/>
              </w:rPr>
              <w:t>解决方案，售后响应及时快速</w:t>
            </w:r>
            <w:r>
              <w:rPr>
                <w:rFonts w:hint="eastAsia" w:ascii="宋体" w:hAnsi="宋体" w:eastAsia="宋体" w:cs="宋体"/>
                <w:b w:val="0"/>
                <w:bCs/>
                <w:color w:val="000000"/>
                <w:sz w:val="21"/>
                <w:szCs w:val="21"/>
                <w:highlight w:val="none"/>
                <w:lang w:val="en-US" w:eastAsia="zh-CN"/>
              </w:rPr>
              <w:t>并</w:t>
            </w:r>
            <w:r>
              <w:rPr>
                <w:rFonts w:hint="eastAsia" w:ascii="宋体" w:hAnsi="宋体" w:eastAsia="宋体" w:cs="宋体"/>
                <w:b w:val="0"/>
                <w:bCs/>
                <w:color w:val="000000"/>
                <w:sz w:val="21"/>
                <w:szCs w:val="21"/>
                <w:highlight w:val="none"/>
                <w:lang w:val="zh-CN"/>
              </w:rPr>
              <w:t>优于</w:t>
            </w:r>
            <w:r>
              <w:rPr>
                <w:rFonts w:hint="eastAsia" w:ascii="宋体" w:hAnsi="宋体" w:eastAsia="宋体" w:cs="宋体"/>
                <w:b w:val="0"/>
                <w:bCs/>
                <w:color w:val="000000"/>
                <w:sz w:val="21"/>
                <w:szCs w:val="21"/>
                <w:highlight w:val="none"/>
              </w:rPr>
              <w:t>招标</w:t>
            </w:r>
            <w:r>
              <w:rPr>
                <w:rFonts w:hint="eastAsia" w:ascii="宋体" w:hAnsi="宋体" w:eastAsia="宋体" w:cs="宋体"/>
                <w:b w:val="0"/>
                <w:bCs/>
                <w:color w:val="000000"/>
                <w:sz w:val="21"/>
                <w:szCs w:val="21"/>
                <w:highlight w:val="none"/>
                <w:lang w:val="zh-CN"/>
              </w:rPr>
              <w:t>文件要求</w:t>
            </w:r>
            <w:r>
              <w:rPr>
                <w:rFonts w:hint="eastAsia" w:ascii="宋体" w:hAnsi="宋体" w:eastAsia="宋体" w:cs="宋体"/>
                <w:b w:val="0"/>
                <w:bCs/>
                <w:color w:val="000000"/>
                <w:sz w:val="21"/>
                <w:szCs w:val="21"/>
                <w:highlight w:val="none"/>
              </w:rPr>
              <w:t>，具有</w:t>
            </w:r>
            <w:r>
              <w:rPr>
                <w:rFonts w:hint="eastAsia" w:ascii="宋体" w:hAnsi="宋体" w:eastAsia="宋体" w:cs="宋体"/>
                <w:b w:val="0"/>
                <w:bCs/>
                <w:color w:val="000000"/>
                <w:sz w:val="21"/>
                <w:szCs w:val="21"/>
                <w:highlight w:val="none"/>
                <w:lang w:eastAsia="zh-CN"/>
              </w:rPr>
              <w:t>完善</w:t>
            </w:r>
            <w:r>
              <w:rPr>
                <w:rFonts w:hint="eastAsia" w:ascii="宋体" w:hAnsi="宋体" w:eastAsia="宋体" w:cs="宋体"/>
                <w:b w:val="0"/>
                <w:bCs/>
                <w:color w:val="000000"/>
                <w:sz w:val="21"/>
                <w:szCs w:val="21"/>
                <w:highlight w:val="none"/>
              </w:rPr>
              <w:t>的售后服务体系</w:t>
            </w:r>
            <w:r>
              <w:rPr>
                <w:rFonts w:hint="eastAsia" w:ascii="宋体" w:hAnsi="宋体" w:eastAsia="宋体" w:cs="宋体"/>
                <w:b w:val="0"/>
                <w:bCs/>
                <w:color w:val="000000"/>
                <w:sz w:val="21"/>
                <w:szCs w:val="21"/>
                <w:highlight w:val="none"/>
                <w:lang w:eastAsia="zh-CN"/>
              </w:rPr>
              <w:t>以及</w:t>
            </w:r>
            <w:r>
              <w:rPr>
                <w:rFonts w:hint="eastAsia" w:ascii="宋体" w:hAnsi="宋体" w:eastAsia="宋体" w:cs="宋体"/>
                <w:b w:val="0"/>
                <w:bCs/>
                <w:color w:val="000000"/>
                <w:sz w:val="21"/>
                <w:szCs w:val="21"/>
                <w:highlight w:val="none"/>
              </w:rPr>
              <w:t>完整可靠的售后服务团队</w:t>
            </w:r>
            <w:r>
              <w:rPr>
                <w:rFonts w:hint="eastAsia" w:ascii="宋体" w:hAnsi="宋体" w:eastAsia="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lang w:val="en-US" w:eastAsia="zh-CN"/>
              </w:rPr>
              <w:t>有与制造商有效的衔接及售后保障机制</w:t>
            </w:r>
            <w:r>
              <w:rPr>
                <w:rFonts w:hint="eastAsia" w:ascii="宋体" w:hAnsi="宋体" w:eastAsia="宋体" w:cs="宋体"/>
                <w:b w:val="0"/>
                <w:bCs/>
                <w:color w:val="000000"/>
                <w:sz w:val="21"/>
                <w:szCs w:val="21"/>
                <w:highlight w:val="none"/>
              </w:rPr>
              <w:t>；在免费保修期外维修及其他增值售后服务措施方面能充分为采购人考虑，并对设备的售后保障能起到有效的支持。</w:t>
            </w:r>
          </w:p>
        </w:tc>
      </w:tr>
      <w:tr w14:paraId="1620C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63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2D261B95">
            <w:pPr>
              <w:pStyle w:val="257"/>
              <w:keepNext w:val="0"/>
              <w:keepLines w:val="0"/>
              <w:pageBreakBefore w:val="0"/>
              <w:kinsoku/>
              <w:wordWrap w:val="0"/>
              <w:overflowPunct/>
              <w:topLinePunct w:val="0"/>
              <w:bidi w:val="0"/>
              <w:adjustRightInd/>
              <w:snapToGrid/>
              <w:spacing w:line="400" w:lineRule="exact"/>
              <w:ind w:left="0" w:leftChars="0" w:right="0" w:rightChars="0"/>
              <w:jc w:val="center"/>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5</w:t>
            </w:r>
          </w:p>
        </w:tc>
        <w:tc>
          <w:tcPr>
            <w:tcW w:w="1456"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07FFE515">
            <w:pPr>
              <w:keepNext w:val="0"/>
              <w:keepLines w:val="0"/>
              <w:pageBreakBefore w:val="0"/>
              <w:widowControl w:val="0"/>
              <w:kinsoku/>
              <w:wordWrap w:val="0"/>
              <w:overflowPunct/>
              <w:topLinePunct w:val="0"/>
              <w:autoSpaceDE/>
              <w:autoSpaceDN/>
              <w:bidi w:val="0"/>
              <w:adjustRightInd/>
              <w:snapToGrid/>
              <w:spacing w:line="380" w:lineRule="exact"/>
              <w:ind w:left="0" w:leftChars="0" w:right="0" w:rightChars="0"/>
              <w:jc w:val="center"/>
              <w:textAlignment w:val="auto"/>
              <w:rPr>
                <w:rFonts w:hint="eastAsia" w:ascii="宋体" w:hAnsi="宋体" w:eastAsia="宋体" w:cs="宋体"/>
                <w:b/>
                <w:bCs w:val="0"/>
                <w:color w:val="000000"/>
                <w:spacing w:val="2"/>
                <w:position w:val="15"/>
                <w:sz w:val="21"/>
                <w:szCs w:val="21"/>
                <w:highlight w:val="none"/>
                <w:lang w:eastAsia="zh-CN"/>
              </w:rPr>
            </w:pPr>
            <w:r>
              <w:rPr>
                <w:rFonts w:hint="eastAsia" w:ascii="宋体" w:hAnsi="宋体" w:eastAsia="宋体" w:cs="宋体"/>
                <w:b/>
                <w:bCs w:val="0"/>
                <w:color w:val="000000"/>
                <w:kern w:val="0"/>
                <w:sz w:val="21"/>
                <w:szCs w:val="21"/>
                <w:highlight w:val="none"/>
                <w:lang w:val="en-US" w:eastAsia="zh-CN"/>
              </w:rPr>
              <w:t>履约能力</w:t>
            </w:r>
            <w:r>
              <w:rPr>
                <w:rFonts w:hint="eastAsia" w:ascii="宋体" w:hAnsi="宋体" w:eastAsia="宋体" w:cs="宋体"/>
                <w:b/>
                <w:bCs w:val="0"/>
                <w:color w:val="000000"/>
                <w:kern w:val="0"/>
                <w:sz w:val="21"/>
                <w:szCs w:val="21"/>
                <w:highlight w:val="none"/>
                <w:lang w:eastAsia="zh-Hans"/>
              </w:rPr>
              <w:t>(</w:t>
            </w:r>
            <w:r>
              <w:rPr>
                <w:rFonts w:hint="eastAsia" w:ascii="宋体" w:hAnsi="宋体" w:eastAsia="宋体" w:cs="宋体"/>
                <w:b/>
                <w:bCs w:val="0"/>
                <w:color w:val="000000"/>
                <w:spacing w:val="-3"/>
                <w:sz w:val="21"/>
                <w:szCs w:val="21"/>
                <w:highlight w:val="none"/>
                <w:lang w:val="en-US" w:eastAsia="zh-CN"/>
              </w:rPr>
              <w:t>满分</w:t>
            </w:r>
            <w:r>
              <w:rPr>
                <w:rFonts w:hint="eastAsia" w:ascii="宋体" w:hAnsi="宋体" w:eastAsia="宋体" w:cs="宋体"/>
                <w:b/>
                <w:bCs w:val="0"/>
                <w:color w:val="000000"/>
                <w:kern w:val="0"/>
                <w:sz w:val="21"/>
                <w:szCs w:val="21"/>
                <w:highlight w:val="none"/>
                <w:lang w:val="en-US" w:eastAsia="zh-CN"/>
              </w:rPr>
              <w:t>5</w:t>
            </w:r>
            <w:r>
              <w:rPr>
                <w:rFonts w:hint="eastAsia" w:ascii="宋体" w:hAnsi="宋体" w:eastAsia="宋体" w:cs="宋体"/>
                <w:b/>
                <w:bCs w:val="0"/>
                <w:color w:val="000000"/>
                <w:kern w:val="0"/>
                <w:sz w:val="21"/>
                <w:szCs w:val="21"/>
                <w:highlight w:val="none"/>
                <w:lang w:eastAsia="zh-Hans"/>
              </w:rPr>
              <w:t>分)</w:t>
            </w:r>
          </w:p>
        </w:tc>
        <w:tc>
          <w:tcPr>
            <w:tcW w:w="73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95B6D">
            <w:pPr>
              <w:keepNext w:val="0"/>
              <w:keepLines w:val="0"/>
              <w:pageBreakBefore w:val="0"/>
              <w:widowControl w:val="0"/>
              <w:numPr>
                <w:ilvl w:val="0"/>
                <w:numId w:val="0"/>
              </w:numPr>
              <w:kinsoku/>
              <w:wordWrap w:val="0"/>
              <w:overflowPunct/>
              <w:topLinePunct w:val="0"/>
              <w:autoSpaceDE/>
              <w:autoSpaceDN/>
              <w:bidi w:val="0"/>
              <w:adjustRightInd/>
              <w:snapToGrid/>
              <w:spacing w:line="380" w:lineRule="exact"/>
              <w:ind w:left="105" w:leftChars="50" w:right="113" w:rightChars="0"/>
              <w:textAlignment w:val="auto"/>
              <w:rPr>
                <w:rFonts w:hint="eastAsia" w:ascii="宋体" w:hAnsi="宋体" w:eastAsia="宋体" w:cs="宋体"/>
                <w:b w:val="0"/>
                <w:bCs/>
                <w:snapToGrid/>
                <w:color w:val="000000"/>
                <w:kern w:val="21"/>
                <w:sz w:val="21"/>
                <w:szCs w:val="21"/>
                <w:highlight w:val="none"/>
                <w:lang w:val="en-US" w:eastAsia="zh-CN"/>
              </w:rPr>
            </w:pPr>
            <w:r>
              <w:rPr>
                <w:rFonts w:hint="eastAsia" w:ascii="宋体" w:hAnsi="宋体" w:eastAsia="宋体" w:cs="宋体"/>
                <w:b w:val="0"/>
                <w:bCs/>
                <w:snapToGrid/>
                <w:color w:val="000000"/>
                <w:kern w:val="21"/>
                <w:sz w:val="21"/>
                <w:szCs w:val="21"/>
                <w:highlight w:val="none"/>
                <w:lang w:val="en-US" w:eastAsia="zh-CN"/>
              </w:rPr>
              <w:t>（1）</w:t>
            </w:r>
            <w:r>
              <w:rPr>
                <w:rFonts w:hint="eastAsia" w:ascii="宋体" w:hAnsi="宋体" w:eastAsia="宋体" w:cs="宋体"/>
                <w:color w:val="000000"/>
                <w:sz w:val="21"/>
                <w:szCs w:val="21"/>
                <w:highlight w:val="none"/>
              </w:rPr>
              <w:t>投标人或所投</w:t>
            </w:r>
            <w:r>
              <w:rPr>
                <w:rFonts w:hint="eastAsia" w:ascii="宋体" w:hAnsi="宋体" w:eastAsia="宋体" w:cs="宋体"/>
                <w:color w:val="000000"/>
                <w:sz w:val="21"/>
                <w:szCs w:val="21"/>
                <w:highlight w:val="none"/>
                <w:lang w:val="en-US" w:eastAsia="zh-CN"/>
              </w:rPr>
              <w:t>产品</w:t>
            </w:r>
            <w:r>
              <w:rPr>
                <w:rFonts w:hint="eastAsia" w:ascii="宋体" w:hAnsi="宋体" w:eastAsia="宋体" w:cs="宋体"/>
                <w:color w:val="000000"/>
                <w:sz w:val="21"/>
                <w:szCs w:val="21"/>
                <w:highlight w:val="none"/>
              </w:rPr>
              <w:t>生产厂家通过ISO13485医疗器械质量管理体系认证</w:t>
            </w:r>
            <w:r>
              <w:rPr>
                <w:rFonts w:hint="eastAsia" w:ascii="宋体" w:hAnsi="宋体" w:eastAsia="宋体" w:cs="宋体"/>
                <w:color w:val="000000"/>
                <w:sz w:val="21"/>
                <w:szCs w:val="21"/>
                <w:highlight w:val="none"/>
                <w:lang w:val="en-US" w:eastAsia="zh-CN"/>
              </w:rPr>
              <w:t>的</w:t>
            </w:r>
            <w:r>
              <w:rPr>
                <w:rFonts w:hint="eastAsia" w:ascii="宋体" w:hAnsi="宋体" w:eastAsia="宋体" w:cs="宋体"/>
                <w:color w:val="000000"/>
                <w:sz w:val="21"/>
                <w:szCs w:val="21"/>
                <w:highlight w:val="none"/>
              </w:rPr>
              <w:t>得</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分，</w:t>
            </w:r>
            <w:r>
              <w:rPr>
                <w:rFonts w:hint="eastAsia" w:ascii="宋体" w:hAnsi="宋体" w:eastAsia="宋体" w:cs="宋体"/>
                <w:color w:val="000000"/>
                <w:sz w:val="21"/>
                <w:szCs w:val="21"/>
                <w:highlight w:val="none"/>
                <w:lang w:val="en-US" w:eastAsia="zh-CN"/>
              </w:rPr>
              <w:t>满分1</w:t>
            </w:r>
            <w:r>
              <w:rPr>
                <w:rFonts w:hint="eastAsia" w:ascii="宋体" w:hAnsi="宋体" w:eastAsia="宋体" w:cs="宋体"/>
                <w:color w:val="000000"/>
                <w:sz w:val="21"/>
                <w:szCs w:val="21"/>
                <w:highlight w:val="none"/>
              </w:rPr>
              <w:t>分（</w:t>
            </w:r>
            <w:r>
              <w:rPr>
                <w:rFonts w:hint="eastAsia" w:ascii="宋体" w:hAnsi="宋体" w:eastAsia="宋体" w:cs="宋体"/>
                <w:color w:val="000000"/>
                <w:sz w:val="21"/>
                <w:szCs w:val="21"/>
                <w:highlight w:val="none"/>
                <w:lang w:val="en-US" w:eastAsia="zh-CN"/>
              </w:rPr>
              <w:t>以</w:t>
            </w:r>
            <w:r>
              <w:rPr>
                <w:rFonts w:hint="eastAsia" w:ascii="宋体" w:hAnsi="宋体" w:eastAsia="宋体" w:cs="宋体"/>
                <w:color w:val="000000"/>
                <w:sz w:val="21"/>
                <w:szCs w:val="21"/>
                <w:highlight w:val="none"/>
              </w:rPr>
              <w:t>提供相关有效认证证书复印件加盖</w:t>
            </w:r>
            <w:r>
              <w:rPr>
                <w:rFonts w:hint="eastAsia" w:ascii="宋体" w:hAnsi="宋体" w:eastAsia="宋体" w:cs="宋体"/>
                <w:b w:val="0"/>
                <w:bCs/>
                <w:color w:val="000000"/>
                <w:sz w:val="21"/>
                <w:szCs w:val="21"/>
                <w:highlight w:val="none"/>
                <w:lang w:val="en-US" w:eastAsia="zh-CN"/>
              </w:rPr>
              <w:t>单位公章为准，</w:t>
            </w:r>
            <w:r>
              <w:rPr>
                <w:rFonts w:hint="eastAsia" w:ascii="宋体" w:hAnsi="宋体" w:eastAsia="宋体" w:cs="宋体"/>
                <w:b w:val="0"/>
                <w:bCs/>
                <w:color w:val="000000"/>
                <w:sz w:val="21"/>
                <w:szCs w:val="21"/>
                <w:highlight w:val="none"/>
                <w:lang w:val="en-US"/>
              </w:rPr>
              <w:t>不提供</w:t>
            </w:r>
            <w:r>
              <w:rPr>
                <w:rFonts w:hint="eastAsia" w:ascii="宋体" w:hAnsi="宋体" w:eastAsia="宋体" w:cs="宋体"/>
                <w:b w:val="0"/>
                <w:bCs/>
                <w:color w:val="000000"/>
                <w:sz w:val="21"/>
                <w:szCs w:val="21"/>
                <w:highlight w:val="none"/>
                <w:lang w:val="en-US" w:eastAsia="zh-CN"/>
              </w:rPr>
              <w:t>的</w:t>
            </w:r>
            <w:r>
              <w:rPr>
                <w:rFonts w:hint="eastAsia" w:ascii="宋体" w:hAnsi="宋体" w:eastAsia="宋体" w:cs="宋体"/>
                <w:b w:val="0"/>
                <w:bCs/>
                <w:color w:val="000000"/>
                <w:sz w:val="21"/>
                <w:szCs w:val="21"/>
                <w:highlight w:val="none"/>
                <w:lang w:val="en-US"/>
              </w:rPr>
              <w:t>不得分</w:t>
            </w:r>
            <w:r>
              <w:rPr>
                <w:rFonts w:hint="eastAsia" w:ascii="宋体" w:hAnsi="宋体" w:eastAsia="宋体" w:cs="宋体"/>
                <w:color w:val="000000"/>
                <w:sz w:val="21"/>
                <w:szCs w:val="21"/>
                <w:highlight w:val="none"/>
              </w:rPr>
              <w:t>）</w:t>
            </w:r>
          </w:p>
          <w:p w14:paraId="51D4449C">
            <w:pPr>
              <w:keepNext w:val="0"/>
              <w:keepLines w:val="0"/>
              <w:pageBreakBefore w:val="0"/>
              <w:widowControl w:val="0"/>
              <w:numPr>
                <w:ilvl w:val="0"/>
                <w:numId w:val="0"/>
              </w:numPr>
              <w:kinsoku/>
              <w:wordWrap w:val="0"/>
              <w:overflowPunct/>
              <w:topLinePunct w:val="0"/>
              <w:autoSpaceDE/>
              <w:autoSpaceDN/>
              <w:bidi w:val="0"/>
              <w:adjustRightInd/>
              <w:snapToGrid/>
              <w:spacing w:line="380" w:lineRule="exact"/>
              <w:ind w:left="105" w:leftChars="50" w:right="113" w:rightChars="0"/>
              <w:textAlignment w:val="auto"/>
              <w:rPr>
                <w:rFonts w:hint="eastAsia" w:ascii="宋体" w:hAnsi="宋体" w:eastAsia="宋体" w:cs="宋体"/>
                <w:b w:val="0"/>
                <w:bCs/>
                <w:color w:val="000000"/>
                <w:sz w:val="21"/>
                <w:szCs w:val="21"/>
                <w:highlight w:val="none"/>
                <w:lang w:eastAsia="zh-CN"/>
              </w:rPr>
            </w:pPr>
            <w:r>
              <w:rPr>
                <w:rFonts w:hint="eastAsia" w:ascii="宋体" w:hAnsi="宋体" w:eastAsia="宋体" w:cs="宋体"/>
                <w:b w:val="0"/>
                <w:bCs/>
                <w:snapToGrid/>
                <w:color w:val="000000"/>
                <w:kern w:val="21"/>
                <w:sz w:val="21"/>
                <w:szCs w:val="21"/>
                <w:highlight w:val="none"/>
                <w:lang w:val="en-US" w:eastAsia="zh-CN"/>
              </w:rPr>
              <w:t>（2）2023年以来，具有所投产品同类型产品</w:t>
            </w:r>
            <w:r>
              <w:rPr>
                <w:rFonts w:hint="eastAsia" w:ascii="宋体" w:hAnsi="宋体" w:eastAsia="宋体" w:cs="宋体"/>
                <w:b w:val="0"/>
                <w:bCs/>
                <w:color w:val="000000"/>
                <w:sz w:val="21"/>
                <w:szCs w:val="21"/>
                <w:highlight w:val="none"/>
                <w:lang w:val="en-US" w:eastAsia="zh-CN"/>
              </w:rPr>
              <w:t>销售案例的</w:t>
            </w:r>
            <w:r>
              <w:rPr>
                <w:rFonts w:hint="eastAsia" w:ascii="宋体" w:hAnsi="宋体" w:eastAsia="宋体" w:cs="宋体"/>
                <w:b w:val="0"/>
                <w:bCs/>
                <w:snapToGrid/>
                <w:color w:val="000000"/>
                <w:kern w:val="21"/>
                <w:sz w:val="21"/>
                <w:szCs w:val="21"/>
                <w:highlight w:val="none"/>
                <w:lang w:val="en-US" w:eastAsia="zh-CN"/>
              </w:rPr>
              <w:t>每提供一个得1分，本项满分4分</w:t>
            </w:r>
            <w:r>
              <w:rPr>
                <w:rFonts w:hint="eastAsia" w:ascii="宋体" w:hAnsi="宋体" w:eastAsia="宋体" w:cs="宋体"/>
                <w:b w:val="0"/>
                <w:bCs/>
                <w:color w:val="000000"/>
                <w:sz w:val="21"/>
                <w:szCs w:val="21"/>
                <w:highlight w:val="none"/>
                <w:lang w:val="en-US" w:eastAsia="zh-CN"/>
              </w:rPr>
              <w:t>【</w:t>
            </w:r>
            <w:r>
              <w:rPr>
                <w:rFonts w:hint="eastAsia" w:ascii="宋体" w:hAnsi="宋体" w:eastAsia="宋体" w:cs="宋体"/>
                <w:b w:val="0"/>
                <w:bCs/>
                <w:color w:val="000000"/>
                <w:sz w:val="21"/>
                <w:szCs w:val="21"/>
                <w:highlight w:val="none"/>
              </w:rPr>
              <w:t>无不良记录，以中标、成交通知书或签订的采购合同复印件并加盖公章为准，</w:t>
            </w:r>
            <w:r>
              <w:rPr>
                <w:rFonts w:hint="eastAsia" w:ascii="宋体" w:hAnsi="宋体" w:eastAsia="宋体" w:cs="宋体"/>
                <w:b w:val="0"/>
                <w:bCs/>
                <w:color w:val="000000"/>
                <w:sz w:val="21"/>
                <w:szCs w:val="21"/>
                <w:highlight w:val="none"/>
                <w:lang w:val="en-US"/>
              </w:rPr>
              <w:t>并能清晰反映项目的名称、</w:t>
            </w:r>
            <w:r>
              <w:rPr>
                <w:rFonts w:hint="eastAsia" w:ascii="宋体" w:hAnsi="宋体" w:eastAsia="宋体" w:cs="宋体"/>
                <w:b w:val="0"/>
                <w:bCs/>
                <w:color w:val="000000"/>
                <w:sz w:val="21"/>
                <w:szCs w:val="21"/>
                <w:highlight w:val="none"/>
                <w:lang w:val="en-US" w:eastAsia="zh-CN"/>
              </w:rPr>
              <w:t>型号或</w:t>
            </w:r>
            <w:r>
              <w:rPr>
                <w:rFonts w:hint="eastAsia" w:ascii="宋体" w:hAnsi="宋体" w:eastAsia="宋体" w:cs="宋体"/>
                <w:b w:val="0"/>
                <w:bCs/>
                <w:color w:val="000000"/>
                <w:sz w:val="21"/>
                <w:szCs w:val="21"/>
                <w:highlight w:val="none"/>
                <w:lang w:val="en-US"/>
              </w:rPr>
              <w:t>种类，合同乙方可以是本次投标供应商，也可以是</w:t>
            </w:r>
            <w:r>
              <w:rPr>
                <w:rFonts w:hint="eastAsia" w:ascii="宋体" w:hAnsi="宋体" w:eastAsia="宋体" w:cs="宋体"/>
                <w:b w:val="0"/>
                <w:bCs/>
                <w:color w:val="000000"/>
                <w:sz w:val="21"/>
                <w:szCs w:val="21"/>
                <w:highlight w:val="none"/>
                <w:lang w:val="en-US" w:eastAsia="zh-CN"/>
              </w:rPr>
              <w:t>所投</w:t>
            </w:r>
            <w:r>
              <w:rPr>
                <w:rFonts w:hint="eastAsia" w:ascii="宋体" w:hAnsi="宋体" w:eastAsia="宋体" w:cs="宋体"/>
                <w:b w:val="0"/>
                <w:bCs/>
                <w:color w:val="000000"/>
                <w:sz w:val="21"/>
                <w:szCs w:val="21"/>
                <w:highlight w:val="none"/>
                <w:lang w:val="en-US"/>
              </w:rPr>
              <w:t>产品的生产厂家</w:t>
            </w:r>
            <w:r>
              <w:rPr>
                <w:rFonts w:hint="eastAsia" w:ascii="宋体" w:hAnsi="宋体" w:eastAsia="宋体" w:cs="宋体"/>
                <w:b w:val="0"/>
                <w:bCs/>
                <w:color w:val="000000"/>
                <w:sz w:val="21"/>
                <w:szCs w:val="21"/>
                <w:highlight w:val="none"/>
                <w:lang w:val="en-US" w:eastAsia="zh-CN"/>
              </w:rPr>
              <w:t>（</w:t>
            </w:r>
            <w:r>
              <w:rPr>
                <w:rFonts w:hint="eastAsia" w:ascii="宋体" w:hAnsi="宋体" w:eastAsia="宋体" w:cs="宋体"/>
                <w:b w:val="0"/>
                <w:bCs/>
                <w:color w:val="000000"/>
                <w:sz w:val="21"/>
                <w:szCs w:val="21"/>
                <w:highlight w:val="none"/>
                <w:lang w:val="en-US"/>
              </w:rPr>
              <w:t>或者其他代理商</w:t>
            </w:r>
            <w:r>
              <w:rPr>
                <w:rFonts w:hint="eastAsia" w:ascii="宋体" w:hAnsi="宋体" w:eastAsia="宋体" w:cs="宋体"/>
                <w:b w:val="0"/>
                <w:bCs/>
                <w:color w:val="000000"/>
                <w:sz w:val="21"/>
                <w:szCs w:val="21"/>
                <w:highlight w:val="none"/>
                <w:lang w:val="en-US" w:eastAsia="zh-CN"/>
              </w:rPr>
              <w:t>）</w:t>
            </w:r>
            <w:r>
              <w:rPr>
                <w:rFonts w:hint="eastAsia" w:ascii="宋体" w:hAnsi="宋体" w:eastAsia="宋体" w:cs="宋体"/>
                <w:b w:val="0"/>
                <w:bCs/>
                <w:color w:val="000000"/>
                <w:sz w:val="21"/>
                <w:szCs w:val="21"/>
                <w:highlight w:val="none"/>
                <w:lang w:val="en-US"/>
              </w:rPr>
              <w:t>，不提供</w:t>
            </w:r>
            <w:r>
              <w:rPr>
                <w:rFonts w:hint="eastAsia" w:ascii="宋体" w:hAnsi="宋体" w:eastAsia="宋体" w:cs="宋体"/>
                <w:b w:val="0"/>
                <w:bCs/>
                <w:color w:val="000000"/>
                <w:sz w:val="21"/>
                <w:szCs w:val="21"/>
                <w:highlight w:val="none"/>
                <w:lang w:val="en-US" w:eastAsia="zh-CN"/>
              </w:rPr>
              <w:t>或不能证明的</w:t>
            </w:r>
            <w:r>
              <w:rPr>
                <w:rFonts w:hint="eastAsia" w:ascii="宋体" w:hAnsi="宋体" w:eastAsia="宋体" w:cs="宋体"/>
                <w:b w:val="0"/>
                <w:bCs/>
                <w:color w:val="000000"/>
                <w:sz w:val="21"/>
                <w:szCs w:val="21"/>
                <w:highlight w:val="none"/>
                <w:lang w:val="en-US"/>
              </w:rPr>
              <w:t>不得分</w:t>
            </w:r>
            <w:r>
              <w:rPr>
                <w:rFonts w:hint="eastAsia" w:ascii="宋体" w:hAnsi="宋体" w:eastAsia="宋体" w:cs="宋体"/>
                <w:b w:val="0"/>
                <w:bCs/>
                <w:color w:val="000000"/>
                <w:sz w:val="21"/>
                <w:szCs w:val="21"/>
                <w:highlight w:val="none"/>
                <w:lang w:val="en-US" w:eastAsia="zh-CN"/>
              </w:rPr>
              <w:t>】</w:t>
            </w:r>
            <w:r>
              <w:rPr>
                <w:rFonts w:hint="eastAsia" w:ascii="宋体" w:hAnsi="宋体" w:eastAsia="宋体" w:cs="宋体"/>
                <w:b w:val="0"/>
                <w:bCs/>
                <w:snapToGrid/>
                <w:color w:val="000000"/>
                <w:kern w:val="21"/>
                <w:sz w:val="21"/>
                <w:szCs w:val="21"/>
                <w:highlight w:val="none"/>
                <w:lang w:val="en-US" w:eastAsia="zh-CN"/>
              </w:rPr>
              <w:t>。</w:t>
            </w:r>
          </w:p>
        </w:tc>
      </w:tr>
      <w:tr w14:paraId="0AF39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637"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10D30D94">
            <w:pPr>
              <w:keepNext w:val="0"/>
              <w:keepLines w:val="0"/>
              <w:pageBreakBefore w:val="0"/>
              <w:kinsoku/>
              <w:wordWrap w:val="0"/>
              <w:overflowPunct/>
              <w:topLinePunct w:val="0"/>
              <w:bidi w:val="0"/>
              <w:adjustRightInd/>
              <w:snapToGrid/>
              <w:spacing w:line="400" w:lineRule="exact"/>
              <w:ind w:left="0" w:leftChars="0" w:right="0" w:rightChars="0"/>
              <w:jc w:val="center"/>
              <w:rPr>
                <w:rFonts w:hint="eastAsia" w:ascii="宋体" w:hAnsi="宋体" w:eastAsia="宋体" w:cs="宋体"/>
                <w:b/>
                <w:bCs w:val="0"/>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6</w:t>
            </w:r>
          </w:p>
        </w:tc>
        <w:tc>
          <w:tcPr>
            <w:tcW w:w="1456"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3A2EC65F">
            <w:pPr>
              <w:keepNext w:val="0"/>
              <w:keepLines w:val="0"/>
              <w:pageBreakBefore w:val="0"/>
              <w:widowControl w:val="0"/>
              <w:kinsoku/>
              <w:wordWrap w:val="0"/>
              <w:overflowPunct/>
              <w:topLinePunct w:val="0"/>
              <w:autoSpaceDE/>
              <w:autoSpaceDN/>
              <w:bidi w:val="0"/>
              <w:adjustRightInd/>
              <w:snapToGrid/>
              <w:spacing w:line="380" w:lineRule="exact"/>
              <w:ind w:left="0" w:leftChars="0" w:right="0" w:rightChars="0"/>
              <w:jc w:val="center"/>
              <w:textAlignment w:val="auto"/>
              <w:rPr>
                <w:rFonts w:hint="eastAsia" w:ascii="宋体" w:hAnsi="宋体" w:eastAsia="宋体" w:cs="宋体"/>
                <w:b/>
                <w:bCs w:val="0"/>
                <w:color w:val="000000"/>
                <w:kern w:val="0"/>
                <w:sz w:val="21"/>
                <w:szCs w:val="21"/>
                <w:highlight w:val="none"/>
                <w:lang w:val="en-US" w:eastAsia="zh-CN"/>
              </w:rPr>
            </w:pPr>
            <w:r>
              <w:rPr>
                <w:rFonts w:hint="eastAsia" w:ascii="宋体" w:hAnsi="宋体" w:eastAsia="宋体" w:cs="宋体"/>
                <w:b/>
                <w:bCs w:val="0"/>
                <w:color w:val="000000"/>
                <w:kern w:val="0"/>
                <w:sz w:val="21"/>
                <w:szCs w:val="21"/>
                <w:highlight w:val="none"/>
                <w:lang w:val="en-US" w:eastAsia="zh-CN"/>
              </w:rPr>
              <w:t>政策分</w:t>
            </w:r>
          </w:p>
          <w:p w14:paraId="254D1FF9">
            <w:pPr>
              <w:keepNext w:val="0"/>
              <w:keepLines w:val="0"/>
              <w:pageBreakBefore w:val="0"/>
              <w:widowControl w:val="0"/>
              <w:kinsoku/>
              <w:wordWrap w:val="0"/>
              <w:overflowPunct/>
              <w:topLinePunct w:val="0"/>
              <w:autoSpaceDE/>
              <w:autoSpaceDN/>
              <w:bidi w:val="0"/>
              <w:adjustRightInd/>
              <w:snapToGrid/>
              <w:spacing w:line="380" w:lineRule="exact"/>
              <w:ind w:left="0" w:leftChars="0" w:right="0" w:rightChars="0"/>
              <w:jc w:val="center"/>
              <w:textAlignment w:val="auto"/>
              <w:rPr>
                <w:rFonts w:hint="eastAsia" w:ascii="宋体" w:hAnsi="宋体" w:eastAsia="宋体" w:cs="宋体"/>
                <w:b/>
                <w:bCs w:val="0"/>
                <w:color w:val="000000"/>
                <w:kern w:val="0"/>
                <w:sz w:val="21"/>
                <w:szCs w:val="21"/>
                <w:highlight w:val="none"/>
                <w:lang w:val="en-US" w:eastAsia="zh-CN"/>
              </w:rPr>
            </w:pPr>
            <w:r>
              <w:rPr>
                <w:rFonts w:hint="eastAsia" w:ascii="宋体" w:hAnsi="宋体" w:eastAsia="宋体" w:cs="宋体"/>
                <w:b/>
                <w:bCs w:val="0"/>
                <w:color w:val="000000"/>
                <w:kern w:val="0"/>
                <w:sz w:val="21"/>
                <w:szCs w:val="21"/>
                <w:highlight w:val="none"/>
                <w:lang w:eastAsia="zh-Hans"/>
              </w:rPr>
              <w:t>(</w:t>
            </w:r>
            <w:r>
              <w:rPr>
                <w:rFonts w:hint="eastAsia" w:ascii="宋体" w:hAnsi="宋体" w:eastAsia="宋体" w:cs="宋体"/>
                <w:b/>
                <w:bCs w:val="0"/>
                <w:color w:val="000000"/>
                <w:spacing w:val="-3"/>
                <w:sz w:val="21"/>
                <w:szCs w:val="21"/>
                <w:highlight w:val="none"/>
                <w:lang w:val="en-US" w:eastAsia="zh-CN"/>
              </w:rPr>
              <w:t>满分</w:t>
            </w:r>
            <w:r>
              <w:rPr>
                <w:rFonts w:hint="eastAsia" w:ascii="宋体" w:hAnsi="宋体" w:eastAsia="宋体" w:cs="宋体"/>
                <w:b/>
                <w:bCs w:val="0"/>
                <w:color w:val="000000"/>
                <w:kern w:val="0"/>
                <w:sz w:val="21"/>
                <w:szCs w:val="21"/>
                <w:highlight w:val="none"/>
                <w:lang w:val="en-US" w:eastAsia="zh-CN"/>
              </w:rPr>
              <w:t>1</w:t>
            </w:r>
            <w:r>
              <w:rPr>
                <w:rFonts w:hint="eastAsia" w:ascii="宋体" w:hAnsi="宋体" w:eastAsia="宋体" w:cs="宋体"/>
                <w:b/>
                <w:bCs w:val="0"/>
                <w:color w:val="000000"/>
                <w:kern w:val="0"/>
                <w:sz w:val="21"/>
                <w:szCs w:val="21"/>
                <w:highlight w:val="none"/>
                <w:lang w:eastAsia="zh-Hans"/>
              </w:rPr>
              <w:t>分)</w:t>
            </w:r>
          </w:p>
        </w:tc>
        <w:tc>
          <w:tcPr>
            <w:tcW w:w="73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86DEFF">
            <w:pPr>
              <w:keepNext w:val="0"/>
              <w:keepLines w:val="0"/>
              <w:pageBreakBefore w:val="0"/>
              <w:widowControl w:val="0"/>
              <w:kinsoku/>
              <w:wordWrap w:val="0"/>
              <w:overflowPunct/>
              <w:topLinePunct w:val="0"/>
              <w:autoSpaceDE/>
              <w:autoSpaceDN/>
              <w:bidi w:val="0"/>
              <w:adjustRightInd/>
              <w:snapToGrid/>
              <w:spacing w:line="380" w:lineRule="exact"/>
              <w:ind w:left="105" w:leftChars="50" w:right="0" w:rightChars="0"/>
              <w:textAlignment w:val="auto"/>
              <w:rPr>
                <w:rFonts w:hint="eastAsia" w:ascii="宋体" w:hAnsi="宋体" w:eastAsia="宋体" w:cs="宋体"/>
                <w:b w:val="0"/>
                <w:color w:val="000000"/>
                <w:kern w:val="0"/>
                <w:sz w:val="21"/>
                <w:szCs w:val="21"/>
                <w:highlight w:val="none"/>
                <w:lang w:eastAsia="zh-Hans"/>
              </w:rPr>
            </w:pPr>
            <w:r>
              <w:rPr>
                <w:rFonts w:hint="eastAsia" w:ascii="宋体" w:hAnsi="宋体" w:eastAsia="宋体" w:cs="宋体"/>
                <w:b w:val="0"/>
                <w:color w:val="000000"/>
                <w:kern w:val="0"/>
                <w:sz w:val="21"/>
                <w:szCs w:val="21"/>
                <w:highlight w:val="none"/>
                <w:lang w:eastAsia="zh-Hans"/>
              </w:rPr>
              <w:t>（1）节能产品分：属于财政部《节能产品政府采购品目清单》内优先采购（清单内未标注“★”的品目）的产品[投标文件中提供有效的认证证书复印件及品目清单（标注投标产品在品目清单中所属的品目），并加盖供应商公章或电子签章]，</w:t>
            </w:r>
            <w:r>
              <w:rPr>
                <w:rFonts w:hint="eastAsia" w:ascii="宋体" w:hAnsi="宋体" w:eastAsia="宋体" w:cs="宋体"/>
                <w:bCs/>
                <w:color w:val="000000"/>
                <w:kern w:val="2"/>
                <w:sz w:val="21"/>
                <w:szCs w:val="21"/>
                <w:highlight w:val="none"/>
              </w:rPr>
              <w:t>每项产品得0.</w:t>
            </w:r>
            <w:r>
              <w:rPr>
                <w:rFonts w:hint="eastAsia" w:ascii="宋体" w:hAnsi="宋体" w:eastAsia="宋体" w:cs="宋体"/>
                <w:bCs/>
                <w:color w:val="000000"/>
                <w:kern w:val="2"/>
                <w:sz w:val="21"/>
                <w:szCs w:val="21"/>
                <w:highlight w:val="none"/>
                <w:lang w:val="en-US" w:eastAsia="zh-CN"/>
              </w:rPr>
              <w:t>25</w:t>
            </w:r>
            <w:r>
              <w:rPr>
                <w:rFonts w:hint="eastAsia" w:ascii="宋体" w:hAnsi="宋体" w:eastAsia="宋体" w:cs="宋体"/>
                <w:bCs/>
                <w:color w:val="000000"/>
                <w:kern w:val="2"/>
                <w:sz w:val="21"/>
                <w:szCs w:val="21"/>
                <w:highlight w:val="none"/>
              </w:rPr>
              <w:t>分，满分</w:t>
            </w:r>
            <w:r>
              <w:rPr>
                <w:rFonts w:hint="eastAsia" w:ascii="宋体" w:hAnsi="宋体" w:eastAsia="宋体" w:cs="宋体"/>
                <w:bCs/>
                <w:color w:val="000000"/>
                <w:kern w:val="2"/>
                <w:sz w:val="21"/>
                <w:szCs w:val="21"/>
                <w:highlight w:val="none"/>
                <w:lang w:val="en-US" w:eastAsia="zh-CN"/>
              </w:rPr>
              <w:t>0.5</w:t>
            </w:r>
            <w:r>
              <w:rPr>
                <w:rFonts w:hint="eastAsia" w:ascii="宋体" w:hAnsi="宋体" w:eastAsia="宋体" w:cs="宋体"/>
                <w:bCs/>
                <w:color w:val="000000"/>
                <w:kern w:val="2"/>
                <w:sz w:val="21"/>
                <w:szCs w:val="21"/>
                <w:highlight w:val="none"/>
              </w:rPr>
              <w:t>分</w:t>
            </w:r>
            <w:r>
              <w:rPr>
                <w:rFonts w:hint="eastAsia" w:ascii="宋体" w:hAnsi="宋体" w:eastAsia="宋体" w:cs="宋体"/>
                <w:b w:val="0"/>
                <w:color w:val="000000"/>
                <w:kern w:val="0"/>
                <w:sz w:val="21"/>
                <w:szCs w:val="21"/>
                <w:highlight w:val="none"/>
                <w:lang w:eastAsia="zh-Hans"/>
              </w:rPr>
              <w:t>。非节能产品的不得分。</w:t>
            </w:r>
          </w:p>
          <w:p w14:paraId="7D9E7929">
            <w:pPr>
              <w:keepNext w:val="0"/>
              <w:keepLines w:val="0"/>
              <w:pageBreakBefore w:val="0"/>
              <w:widowControl w:val="0"/>
              <w:kinsoku/>
              <w:wordWrap w:val="0"/>
              <w:overflowPunct/>
              <w:topLinePunct w:val="0"/>
              <w:autoSpaceDE/>
              <w:autoSpaceDN/>
              <w:bidi w:val="0"/>
              <w:adjustRightInd/>
              <w:snapToGrid/>
              <w:spacing w:line="380" w:lineRule="exact"/>
              <w:ind w:left="105" w:leftChars="50" w:right="0" w:rightChars="0"/>
              <w:textAlignment w:val="auto"/>
              <w:rPr>
                <w:rFonts w:hint="eastAsia" w:ascii="宋体" w:hAnsi="宋体" w:eastAsia="宋体" w:cs="宋体"/>
                <w:b w:val="0"/>
                <w:bCs/>
                <w:snapToGrid/>
                <w:color w:val="000000"/>
                <w:kern w:val="21"/>
                <w:sz w:val="21"/>
                <w:szCs w:val="21"/>
                <w:highlight w:val="none"/>
                <w:lang w:val="en-US" w:eastAsia="zh-CN"/>
              </w:rPr>
            </w:pPr>
            <w:r>
              <w:rPr>
                <w:rFonts w:hint="eastAsia" w:ascii="宋体" w:hAnsi="宋体" w:eastAsia="宋体" w:cs="宋体"/>
                <w:b w:val="0"/>
                <w:color w:val="000000"/>
                <w:kern w:val="0"/>
                <w:sz w:val="21"/>
                <w:szCs w:val="21"/>
                <w:highlight w:val="none"/>
                <w:lang w:eastAsia="zh-Hans"/>
              </w:rPr>
              <w:t>（2）环境标志产品分：属于财政部《环境标志产品政府采购品目清单》内的产品[投标文件中提供有效的认证证书复印件及品目清单（标注投标产品在品目清单中所属的品目），并加盖供应商公章或电子签章]，</w:t>
            </w:r>
            <w:r>
              <w:rPr>
                <w:rFonts w:hint="eastAsia" w:ascii="宋体" w:hAnsi="宋体" w:eastAsia="宋体" w:cs="宋体"/>
                <w:bCs/>
                <w:color w:val="000000"/>
                <w:kern w:val="2"/>
                <w:sz w:val="21"/>
                <w:szCs w:val="21"/>
                <w:highlight w:val="none"/>
              </w:rPr>
              <w:t>每项产品得0.</w:t>
            </w:r>
            <w:r>
              <w:rPr>
                <w:rFonts w:hint="eastAsia" w:ascii="宋体" w:hAnsi="宋体" w:eastAsia="宋体" w:cs="宋体"/>
                <w:bCs/>
                <w:color w:val="000000"/>
                <w:kern w:val="2"/>
                <w:sz w:val="21"/>
                <w:szCs w:val="21"/>
                <w:highlight w:val="none"/>
                <w:lang w:val="en-US" w:eastAsia="zh-CN"/>
              </w:rPr>
              <w:t>25</w:t>
            </w:r>
            <w:r>
              <w:rPr>
                <w:rFonts w:hint="eastAsia" w:ascii="宋体" w:hAnsi="宋体" w:eastAsia="宋体" w:cs="宋体"/>
                <w:bCs/>
                <w:color w:val="000000"/>
                <w:kern w:val="2"/>
                <w:sz w:val="21"/>
                <w:szCs w:val="21"/>
                <w:highlight w:val="none"/>
              </w:rPr>
              <w:t>分，满分</w:t>
            </w:r>
            <w:r>
              <w:rPr>
                <w:rFonts w:hint="eastAsia" w:ascii="宋体" w:hAnsi="宋体" w:eastAsia="宋体" w:cs="宋体"/>
                <w:bCs/>
                <w:color w:val="000000"/>
                <w:kern w:val="2"/>
                <w:sz w:val="21"/>
                <w:szCs w:val="21"/>
                <w:highlight w:val="none"/>
                <w:lang w:val="en-US" w:eastAsia="zh-CN"/>
              </w:rPr>
              <w:t>0.5</w:t>
            </w:r>
            <w:r>
              <w:rPr>
                <w:rFonts w:hint="eastAsia" w:ascii="宋体" w:hAnsi="宋体" w:eastAsia="宋体" w:cs="宋体"/>
                <w:bCs/>
                <w:color w:val="000000"/>
                <w:kern w:val="2"/>
                <w:sz w:val="21"/>
                <w:szCs w:val="21"/>
                <w:highlight w:val="none"/>
              </w:rPr>
              <w:t>分</w:t>
            </w:r>
            <w:r>
              <w:rPr>
                <w:rFonts w:hint="eastAsia" w:ascii="宋体" w:hAnsi="宋体" w:eastAsia="宋体" w:cs="宋体"/>
                <w:b w:val="0"/>
                <w:color w:val="000000"/>
                <w:kern w:val="0"/>
                <w:sz w:val="21"/>
                <w:szCs w:val="21"/>
                <w:highlight w:val="none"/>
                <w:lang w:eastAsia="zh-Hans"/>
              </w:rPr>
              <w:t>。非环境标志产品不得分。</w:t>
            </w:r>
          </w:p>
        </w:tc>
      </w:tr>
      <w:tr w14:paraId="1D614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9416" w:type="dxa"/>
            <w:gridSpan w:val="3"/>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5B5AEA5F">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221" w:firstLineChars="100"/>
              <w:textAlignment w:val="auto"/>
              <w:rPr>
                <w:rFonts w:hint="default" w:ascii="宋体" w:hAnsi="宋体" w:eastAsia="宋体" w:cs="宋体"/>
                <w:b w:val="0"/>
                <w:color w:val="000000"/>
                <w:kern w:val="0"/>
                <w:sz w:val="21"/>
                <w:szCs w:val="21"/>
                <w:highlight w:val="none"/>
                <w:lang w:val="en-US" w:eastAsia="zh-CN"/>
              </w:rPr>
            </w:pPr>
            <w:r>
              <w:rPr>
                <w:rFonts w:hint="eastAsia" w:ascii="宋体" w:hAnsi="宋体" w:eastAsia="宋体" w:cs="宋体"/>
                <w:b/>
                <w:color w:val="000000"/>
                <w:spacing w:val="5"/>
                <w:sz w:val="21"/>
                <w:szCs w:val="21"/>
                <w:highlight w:val="none"/>
              </w:rPr>
              <w:t>总得分=1+2+3</w:t>
            </w:r>
            <w:r>
              <w:rPr>
                <w:rFonts w:hint="eastAsia" w:ascii="宋体" w:hAnsi="宋体" w:eastAsia="宋体" w:cs="宋体"/>
                <w:b/>
                <w:color w:val="000000"/>
                <w:spacing w:val="5"/>
                <w:sz w:val="21"/>
                <w:szCs w:val="21"/>
                <w:highlight w:val="none"/>
                <w:lang w:val="en-US" w:eastAsia="zh-CN"/>
              </w:rPr>
              <w:t>+4+5+6</w:t>
            </w:r>
          </w:p>
        </w:tc>
      </w:tr>
    </w:tbl>
    <w:p w14:paraId="00CE4749">
      <w:pPr>
        <w:pStyle w:val="224"/>
        <w:snapToGrid w:val="0"/>
        <w:spacing w:line="288" w:lineRule="auto"/>
        <w:ind w:firstLine="0" w:firstLineChars="0"/>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br w:type="page"/>
      </w:r>
    </w:p>
    <w:p w14:paraId="23491D17">
      <w:pPr>
        <w:spacing w:before="120" w:line="320" w:lineRule="atLeast"/>
        <w:outlineLvl w:val="1"/>
        <w:rPr>
          <w:rFonts w:ascii="Arial" w:hAnsi="Arial" w:cs="Arial"/>
          <w:bCs/>
          <w:color w:val="000000" w:themeColor="text1"/>
          <w:kern w:val="0"/>
          <w:szCs w:val="21"/>
          <w14:textFill>
            <w14:solidFill>
              <w14:schemeClr w14:val="tx1"/>
            </w14:solidFill>
          </w14:textFill>
        </w:rPr>
      </w:pPr>
      <w:r>
        <w:rPr>
          <w:rFonts w:ascii="Arial" w:hAnsi="Arial" w:cs="Arial"/>
          <w:bCs/>
          <w:color w:val="000000" w:themeColor="text1"/>
          <w:kern w:val="0"/>
          <w:szCs w:val="21"/>
          <w14:textFill>
            <w14:solidFill>
              <w14:schemeClr w14:val="tx1"/>
            </w14:solidFill>
          </w14:textFill>
        </w:rPr>
        <w:t>（二）政府采购政策应用说明</w:t>
      </w:r>
    </w:p>
    <w:p w14:paraId="0B70FDED">
      <w:pPr>
        <w:spacing w:before="120" w:line="320" w:lineRule="atLeast"/>
        <w:ind w:firstLine="422" w:firstLineChars="200"/>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1、政策性加分说明</w:t>
      </w:r>
    </w:p>
    <w:p w14:paraId="1882D88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（1）</w:t>
      </w:r>
      <w:r>
        <w:rPr>
          <w:rFonts w:ascii="Arial" w:hAnsi="Arial" w:cs="Arial"/>
          <w:color w:val="000000" w:themeColor="text1"/>
          <w:szCs w:val="21"/>
          <w14:textFill>
            <w14:solidFill>
              <w14:schemeClr w14:val="tx1"/>
            </w14:solidFill>
          </w14:textFill>
        </w:rPr>
        <w:t>节能产品、环境标志产品</w:t>
      </w:r>
    </w:p>
    <w:p w14:paraId="238C8681">
      <w:pPr>
        <w:spacing w:before="120" w:line="320" w:lineRule="atLeast"/>
        <w:ind w:firstLine="420" w:firstLineChars="200"/>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节能、环境标志产品以</w:t>
      </w:r>
      <w:r>
        <w:rPr>
          <w:rFonts w:ascii="Arial" w:hAnsi="Arial" w:cs="Arial"/>
          <w:color w:val="000000" w:themeColor="text1"/>
          <w14:textFill>
            <w14:solidFill>
              <w14:schemeClr w14:val="tx1"/>
            </w14:solidFill>
          </w14:textFill>
        </w:rPr>
        <w:t>国家财政部等部门</w:t>
      </w:r>
      <w:r>
        <w:rPr>
          <w:rFonts w:ascii="Arial" w:hAnsi="Arial" w:cs="Arial"/>
          <w:bCs/>
          <w:color w:val="000000" w:themeColor="text1"/>
          <w:szCs w:val="21"/>
          <w14:textFill>
            <w14:solidFill>
              <w14:schemeClr w14:val="tx1"/>
            </w14:solidFill>
          </w14:textFill>
        </w:rPr>
        <w:t>颁布的</w:t>
      </w:r>
      <w:r>
        <w:rPr>
          <w:rFonts w:ascii="Arial" w:hAnsi="Arial" w:cs="Arial"/>
          <w:color w:val="000000" w:themeColor="text1"/>
          <w14:textFill>
            <w14:solidFill>
              <w14:schemeClr w14:val="tx1"/>
            </w14:solidFill>
          </w14:textFill>
        </w:rPr>
        <w:t>节能产品政府采购品目清单和环境标志产品政府采购品目清单为准</w:t>
      </w:r>
      <w:r>
        <w:rPr>
          <w:rFonts w:ascii="Arial" w:hAnsi="Arial" w:cs="Arial"/>
          <w:bCs/>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t>通过中国政府采购网“节能产品查询”及“环境标志产品查询”进行。</w:t>
      </w:r>
    </w:p>
    <w:p w14:paraId="21DB2A4F">
      <w:pPr>
        <w:spacing w:before="120" w:line="320" w:lineRule="atLeast"/>
        <w:ind w:firstLine="422" w:firstLineChars="200"/>
        <w:rPr>
          <w:rFonts w:ascii="Arial" w:hAnsi="Arial" w:cs="Arial"/>
          <w:b/>
          <w:bCs/>
          <w:color w:val="000000" w:themeColor="text1"/>
          <w:kern w:val="0"/>
          <w:szCs w:val="21"/>
          <w14:textFill>
            <w14:solidFill>
              <w14:schemeClr w14:val="tx1"/>
            </w14:solidFill>
          </w14:textFill>
        </w:rPr>
      </w:pPr>
      <w:r>
        <w:rPr>
          <w:rFonts w:ascii="Arial" w:hAnsi="Arial" w:cs="Arial"/>
          <w:b/>
          <w:bCs/>
          <w:color w:val="000000" w:themeColor="text1"/>
          <w:kern w:val="0"/>
          <w:szCs w:val="21"/>
          <w14:textFill>
            <w14:solidFill>
              <w14:schemeClr w14:val="tx1"/>
            </w14:solidFill>
          </w14:textFill>
        </w:rPr>
        <w:t>2、政策性扣除计算方法</w:t>
      </w:r>
    </w:p>
    <w:p w14:paraId="31846DE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供应商符合小型、微型企业、监狱企业或残疾人福利性单位条件</w:t>
      </w:r>
      <w:r>
        <w:rPr>
          <w:rFonts w:hint="eastAsia" w:ascii="Arial" w:hAnsi="Arial" w:cs="Arial"/>
          <w:color w:val="000000" w:themeColor="text1"/>
          <w:szCs w:val="21"/>
          <w14:textFill>
            <w14:solidFill>
              <w14:schemeClr w14:val="tx1"/>
            </w14:solidFill>
          </w14:textFill>
        </w:rPr>
        <w:t>、本国产品政策</w:t>
      </w:r>
      <w:r>
        <w:rPr>
          <w:rFonts w:ascii="Arial" w:hAnsi="Arial" w:cs="Arial"/>
          <w:color w:val="000000" w:themeColor="text1"/>
          <w:szCs w:val="21"/>
          <w14:textFill>
            <w14:solidFill>
              <w14:schemeClr w14:val="tx1"/>
            </w14:solidFill>
          </w14:textFill>
        </w:rPr>
        <w:t>的，其投标报价将按相应比例进行扣除，用扣除后的价格参与评审（计算价格分）。</w:t>
      </w:r>
    </w:p>
    <w:p w14:paraId="3A775729">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（1）小型、微型企业</w:t>
      </w:r>
    </w:p>
    <w:p w14:paraId="4A0D7E93">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供应商为非联合体的情况下投标报价扣除方式：对小型、微型企业投标报价给予</w:t>
      </w:r>
      <w:r>
        <w:rPr>
          <w:rFonts w:hint="eastAsia" w:ascii="Arial" w:hAnsi="Arial" w:cs="Arial"/>
          <w:color w:val="000000" w:themeColor="text1"/>
          <w:szCs w:val="21"/>
          <w:lang w:val="en-US" w:eastAsia="zh-CN"/>
          <w14:textFill>
            <w14:solidFill>
              <w14:schemeClr w14:val="tx1"/>
            </w14:solidFill>
          </w14:textFill>
        </w:rPr>
        <w:t>1</w:t>
      </w:r>
      <w:r>
        <w:rPr>
          <w:rFonts w:ascii="Arial" w:hAnsi="Arial" w:cs="Arial"/>
          <w:color w:val="000000" w:themeColor="text1"/>
          <w:szCs w:val="21"/>
          <w14:textFill>
            <w14:solidFill>
              <w14:schemeClr w14:val="tx1"/>
            </w14:solidFill>
          </w14:textFill>
        </w:rPr>
        <w:t>0%的扣除，以扣除后的投标报价参与评审（计算价格分）。</w:t>
      </w:r>
    </w:p>
    <w:p w14:paraId="4D1CAB57">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（2）监狱企业</w:t>
      </w:r>
    </w:p>
    <w:p w14:paraId="5B5C555F">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根据财政部、司法部关于政府采购支持监狱企业发展有关问题的通知（财库[2014]68号），监狱企业视同小型、微型企业，享受小型、微型企业评审时</w:t>
      </w:r>
      <w:r>
        <w:rPr>
          <w:rFonts w:ascii="Arial" w:hAnsi="Arial" w:cs="Arial"/>
          <w:bCs/>
          <w:color w:val="000000" w:themeColor="text1"/>
          <w:szCs w:val="21"/>
          <w14:textFill>
            <w14:solidFill>
              <w14:schemeClr w14:val="tx1"/>
            </w14:solidFill>
          </w14:textFill>
        </w:rPr>
        <w:t>投标</w:t>
      </w:r>
      <w:r>
        <w:rPr>
          <w:rFonts w:ascii="Arial" w:hAnsi="Arial" w:cs="Arial"/>
          <w:color w:val="000000" w:themeColor="text1"/>
          <w:szCs w:val="21"/>
          <w14:textFill>
            <w14:solidFill>
              <w14:schemeClr w14:val="tx1"/>
            </w14:solidFill>
          </w14:textFill>
        </w:rPr>
        <w:t>价格扣除</w:t>
      </w:r>
      <w:r>
        <w:rPr>
          <w:rFonts w:hint="eastAsia" w:ascii="Arial" w:hAnsi="Arial" w:cs="Arial"/>
          <w:color w:val="000000" w:themeColor="text1"/>
          <w:szCs w:val="21"/>
          <w:lang w:val="en-US" w:eastAsia="zh-CN"/>
          <w14:textFill>
            <w14:solidFill>
              <w14:schemeClr w14:val="tx1"/>
            </w14:solidFill>
          </w14:textFill>
        </w:rPr>
        <w:t>1</w:t>
      </w:r>
      <w:r>
        <w:rPr>
          <w:rFonts w:ascii="Arial" w:hAnsi="Arial" w:cs="Arial"/>
          <w:color w:val="000000" w:themeColor="text1"/>
          <w:szCs w:val="21"/>
          <w14:textFill>
            <w14:solidFill>
              <w14:schemeClr w14:val="tx1"/>
            </w14:solidFill>
          </w14:textFill>
        </w:rPr>
        <w:t>0%的政府采购政策。</w:t>
      </w:r>
    </w:p>
    <w:p w14:paraId="333D916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（3）残疾人福利性单位</w:t>
      </w:r>
    </w:p>
    <w:p w14:paraId="41B19630">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根据财政部、民政部、中国残疾人联合会三部门发布的关于促进残疾人就业政府采购政策的通知（财库〔2017〕141号），残疾人福利性单位视同小型、微型企业，享受小型、微型企业评标时投标报价扣除</w:t>
      </w:r>
      <w:r>
        <w:rPr>
          <w:rFonts w:hint="eastAsia" w:ascii="Arial" w:hAnsi="Arial" w:cs="Arial"/>
          <w:color w:val="000000" w:themeColor="text1"/>
          <w:szCs w:val="21"/>
          <w:lang w:val="en-US" w:eastAsia="zh-CN"/>
          <w14:textFill>
            <w14:solidFill>
              <w14:schemeClr w14:val="tx1"/>
            </w14:solidFill>
          </w14:textFill>
        </w:rPr>
        <w:t>2</w:t>
      </w:r>
      <w:r>
        <w:rPr>
          <w:rFonts w:ascii="Arial" w:hAnsi="Arial" w:cs="Arial"/>
          <w:color w:val="000000" w:themeColor="text1"/>
          <w:szCs w:val="21"/>
          <w14:textFill>
            <w14:solidFill>
              <w14:schemeClr w14:val="tx1"/>
            </w14:solidFill>
          </w14:textFill>
        </w:rPr>
        <w:t>0%的政府采购政策。供应商既属于残疾人福利性单位又属于小型、微型企业的，其只能享受投标报价一次性</w:t>
      </w:r>
      <w:r>
        <w:rPr>
          <w:rFonts w:hint="eastAsia" w:ascii="Arial" w:hAnsi="Arial" w:cs="Arial"/>
          <w:color w:val="000000" w:themeColor="text1"/>
          <w:szCs w:val="21"/>
          <w:lang w:val="en-US" w:eastAsia="zh-CN"/>
          <w14:textFill>
            <w14:solidFill>
              <w14:schemeClr w14:val="tx1"/>
            </w14:solidFill>
          </w14:textFill>
        </w:rPr>
        <w:t>1</w:t>
      </w:r>
      <w:r>
        <w:rPr>
          <w:rFonts w:ascii="Arial" w:hAnsi="Arial" w:cs="Arial"/>
          <w:color w:val="000000" w:themeColor="text1"/>
          <w:szCs w:val="21"/>
          <w14:textFill>
            <w14:solidFill>
              <w14:schemeClr w14:val="tx1"/>
            </w14:solidFill>
          </w14:textFill>
        </w:rPr>
        <w:t>0%的扣除，不重复享受政策。</w:t>
      </w:r>
    </w:p>
    <w:p w14:paraId="574E2914">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92" w:name="_Hlk60651046"/>
      <w:bookmarkStart w:id="93" w:name="_Hlk60654227"/>
      <w:r>
        <w:rPr>
          <w:rFonts w:ascii="Arial" w:hAnsi="Arial" w:cs="Arial"/>
          <w:color w:val="000000" w:themeColor="text1"/>
          <w:szCs w:val="21"/>
          <w14:textFill>
            <w14:solidFill>
              <w14:schemeClr w14:val="tx1"/>
            </w14:solidFill>
          </w14:textFill>
        </w:rPr>
        <w:t>（4）联合体投标</w:t>
      </w:r>
    </w:p>
    <w:p w14:paraId="636271B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供应商为联合体的情况下投标价格扣除方式：接受大中型企业与小微企业组成联合体的采购项目，对于联合协议约定小微企业的合同份额占到合同总金额 30%以上的，评标时对联合体供应商的报价给予 4%的扣除，用扣除后的价格参加评审。组成联合体的小微企业与联合体内其他企业、分包企业之间不得存在直接控股、管理关系，否则价格不予扣除。</w:t>
      </w:r>
    </w:p>
    <w:p w14:paraId="3E3F7E7D">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（5）中标后分包</w:t>
      </w:r>
    </w:p>
    <w:p w14:paraId="117B0CF1">
      <w:pPr>
        <w:spacing w:before="120" w:line="320" w:lineRule="atLeast"/>
        <w:ind w:firstLine="420" w:firstLineChars="200"/>
        <w:rPr>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允许大中型企业向一家或者多家小微企业分包的采购项目，对于分包意向协议约定小微企业的合同份额占到合同总金额 30%以上的，评标时对大中型企业供应商的报价给予4%的扣除，用扣除后的价格参加评审。接受分包的小微企业与分包企业之间不得存在直接控股、管理关系，否则价格不予扣除。</w:t>
      </w:r>
      <w:bookmarkEnd w:id="92"/>
      <w:bookmarkEnd w:id="93"/>
    </w:p>
    <w:p w14:paraId="05C3429B">
      <w:pPr>
        <w:pStyle w:val="30"/>
        <w:ind w:firstLine="420" w:firstLineChars="200"/>
        <w:rPr>
          <w:color w:val="000000" w:themeColor="text1"/>
          <w14:textFill>
            <w14:solidFill>
              <w14:schemeClr w14:val="tx1"/>
            </w14:solidFill>
          </w14:textFill>
        </w:rPr>
      </w:pPr>
      <w:r>
        <w:rPr>
          <w:rFonts w:hint="eastAsia" w:ascii="Arial" w:hAnsi="Arial" w:cs="Arial"/>
          <w:color w:val="000000" w:themeColor="text1"/>
          <w14:textFill>
            <w14:solidFill>
              <w14:schemeClr w14:val="tx1"/>
            </w14:solidFill>
          </w14:textFill>
        </w:rPr>
        <w:t>（6）本国产品的价格扣除计算：供应商投标</w:t>
      </w:r>
      <w:r>
        <w:rPr>
          <w:rFonts w:ascii="Arial" w:hAnsi="Arial" w:cs="Arial"/>
          <w:color w:val="000000" w:themeColor="text1"/>
          <w14:textFill>
            <w14:solidFill>
              <w14:schemeClr w14:val="tx1"/>
            </w14:solidFill>
          </w14:textFill>
        </w:rPr>
        <w:t>报价将按相应比例进行扣除，用扣除后的价格参与评审（计算价格分）</w:t>
      </w:r>
      <w:r>
        <w:rPr>
          <w:rFonts w:hint="eastAsia" w:ascii="Arial" w:hAnsi="Arial" w:cs="Arial"/>
          <w:color w:val="000000" w:themeColor="text1"/>
          <w14:textFill>
            <w14:solidFill>
              <w14:schemeClr w14:val="tx1"/>
            </w14:solidFill>
          </w14:textFill>
        </w:rPr>
        <w:t>，价格扣除比例分别如下：</w:t>
      </w:r>
    </w:p>
    <w:tbl>
      <w:tblPr>
        <w:tblStyle w:val="54"/>
        <w:tblW w:w="8930"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8"/>
        <w:gridCol w:w="4693"/>
        <w:gridCol w:w="1909"/>
      </w:tblGrid>
      <w:tr w14:paraId="1CD0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dxa"/>
            <w:shd w:val="clear" w:color="auto" w:fill="auto"/>
          </w:tcPr>
          <w:p w14:paraId="2CACDF85">
            <w:pPr>
              <w:rPr>
                <w:color w:val="000000" w:themeColor="text1"/>
                <w14:textFill>
                  <w14:solidFill>
                    <w14:schemeClr w14:val="tx1"/>
                  </w14:solidFill>
                </w14:textFill>
              </w:rPr>
            </w:pPr>
            <w:r>
              <w:rPr>
                <w:rFonts w:hint="eastAsia"/>
                <w:color w:val="000000" w:themeColor="text1"/>
                <w14:textFill>
                  <w14:solidFill>
                    <w14:schemeClr w14:val="tx1"/>
                  </w14:solidFill>
                </w14:textFill>
              </w:rPr>
              <w:t>采购项目或者采购包中为单一产品</w:t>
            </w:r>
          </w:p>
        </w:tc>
        <w:tc>
          <w:tcPr>
            <w:tcW w:w="4693" w:type="dxa"/>
            <w:shd w:val="clear" w:color="auto" w:fill="auto"/>
          </w:tcPr>
          <w:p w14:paraId="3194B49B">
            <w:pPr>
              <w:rPr>
                <w:color w:val="000000" w:themeColor="text1"/>
                <w14:textFill>
                  <w14:solidFill>
                    <w14:schemeClr w14:val="tx1"/>
                  </w14:solidFill>
                </w14:textFill>
              </w:rPr>
            </w:pPr>
            <w:r>
              <w:rPr>
                <w:rFonts w:hint="eastAsia"/>
                <w:color w:val="000000" w:themeColor="text1"/>
                <w14:textFill>
                  <w14:solidFill>
                    <w14:schemeClr w14:val="tx1"/>
                  </w14:solidFill>
                </w14:textFill>
              </w:rPr>
              <w:t>若本项目既有本国产品又有非本国产品参与竞争的，供应商所提供符合本国产品标准的产品</w:t>
            </w:r>
          </w:p>
        </w:tc>
        <w:tc>
          <w:tcPr>
            <w:tcW w:w="1909" w:type="dxa"/>
            <w:vMerge w:val="restart"/>
            <w:shd w:val="clear" w:color="auto" w:fill="auto"/>
          </w:tcPr>
          <w:p w14:paraId="2C7D07A4">
            <w:pPr>
              <w:rPr>
                <w:color w:val="000000" w:themeColor="text1"/>
                <w14:textFill>
                  <w14:solidFill>
                    <w14:schemeClr w14:val="tx1"/>
                  </w14:solidFill>
                </w14:textFill>
              </w:rPr>
            </w:pPr>
            <w:r>
              <w:rPr>
                <w:rFonts w:hint="eastAsia"/>
                <w:color w:val="000000" w:themeColor="text1"/>
                <w14:textFill>
                  <w14:solidFill>
                    <w14:schemeClr w14:val="tx1"/>
                  </w14:solidFill>
                </w14:textFill>
              </w:rPr>
              <w:t>价格扣除全部产品报价的20%</w:t>
            </w:r>
          </w:p>
        </w:tc>
      </w:tr>
      <w:tr w14:paraId="05ADE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dxa"/>
            <w:shd w:val="clear" w:color="auto" w:fill="auto"/>
          </w:tcPr>
          <w:p w14:paraId="0218A3BF">
            <w:pPr>
              <w:rPr>
                <w:color w:val="000000" w:themeColor="text1"/>
                <w14:textFill>
                  <w14:solidFill>
                    <w14:schemeClr w14:val="tx1"/>
                  </w14:solidFill>
                </w14:textFill>
              </w:rPr>
            </w:pPr>
            <w:r>
              <w:rPr>
                <w:rFonts w:hint="eastAsia"/>
                <w:color w:val="000000" w:themeColor="text1"/>
                <w14:textFill>
                  <w14:solidFill>
                    <w14:schemeClr w14:val="tx1"/>
                  </w14:solidFill>
                </w14:textFill>
              </w:rPr>
              <w:t>采购项目或者采购包中含有多种产品</w:t>
            </w:r>
          </w:p>
        </w:tc>
        <w:tc>
          <w:tcPr>
            <w:tcW w:w="4693" w:type="dxa"/>
            <w:shd w:val="clear" w:color="auto" w:fill="auto"/>
          </w:tcPr>
          <w:p w14:paraId="16E86C83">
            <w:pPr>
              <w:rPr>
                <w:color w:val="000000" w:themeColor="text1"/>
                <w14:textFill>
                  <w14:solidFill>
                    <w14:schemeClr w14:val="tx1"/>
                  </w14:solidFill>
                </w14:textFill>
              </w:rPr>
            </w:pPr>
            <w:r>
              <w:rPr>
                <w:rFonts w:hint="eastAsia"/>
                <w:color w:val="000000" w:themeColor="text1"/>
                <w:highlight w:val="none"/>
                <w14:textFill>
                  <w14:solidFill>
                    <w14:schemeClr w14:val="tx1"/>
                  </w14:solidFill>
                </w14:textFill>
              </w:rPr>
              <w:t>若</w:t>
            </w:r>
            <w:r>
              <w:rPr>
                <w:rFonts w:hint="eastAsia"/>
                <w:color w:val="000000" w:themeColor="text1"/>
                <w:highlight w:val="none"/>
                <w:lang w:val="en-US" w:eastAsia="zh-CN"/>
                <w14:textFill>
                  <w14:solidFill>
                    <w14:schemeClr w14:val="tx1"/>
                  </w14:solidFill>
                </w14:textFill>
              </w:rPr>
              <w:t>本项目</w:t>
            </w:r>
            <w:r>
              <w:rPr>
                <w:rFonts w:hint="eastAsia"/>
                <w:color w:val="000000" w:themeColor="text1"/>
                <w:highlight w:val="none"/>
                <w14:textFill>
                  <w14:solidFill>
                    <w14:schemeClr w14:val="tx1"/>
                  </w14:solidFill>
                </w14:textFill>
              </w:rPr>
              <w:t>既有本国产品又有非本国产品参与竞争的</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w:t>
            </w:r>
            <w:r>
              <w:rPr>
                <w:rFonts w:hint="eastAsia"/>
                <w:color w:val="000000" w:themeColor="text1"/>
                <w:highlight w:val="none"/>
                <w:lang w:val="en-US" w:eastAsia="zh-CN"/>
                <w14:textFill>
                  <w14:solidFill>
                    <w14:schemeClr w14:val="tx1"/>
                  </w14:solidFill>
                </w14:textFill>
              </w:rPr>
              <w:t>提供符合</w:t>
            </w:r>
            <w:r>
              <w:rPr>
                <w:rFonts w:hint="eastAsia"/>
                <w:color w:val="000000" w:themeColor="text1"/>
                <w:highlight w:val="none"/>
                <w14:textFill>
                  <w14:solidFill>
                    <w14:schemeClr w14:val="tx1"/>
                  </w14:solidFill>
                </w14:textFill>
              </w:rPr>
              <w:t>本国产品标准的产品成本之和占该供应商提供的全部产品成本之和的比例达到80%以上时</w:t>
            </w:r>
            <w:r>
              <w:rPr>
                <w:rFonts w:hint="eastAsia"/>
                <w:color w:val="000000" w:themeColor="text1"/>
                <w:highlight w:val="none"/>
                <w:lang w:eastAsia="zh-CN"/>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供应商须在投标文件提交《关于符合本国产品标准的成本占比承诺函》。如供应商所有产品均为本国产品且填写《关于符合本国产品标准的声明函》的，无须填写《关于符合本国产品标准的成本占比承诺函》。</w:t>
            </w:r>
          </w:p>
        </w:tc>
        <w:tc>
          <w:tcPr>
            <w:tcW w:w="1909" w:type="dxa"/>
            <w:vMerge w:val="continue"/>
            <w:shd w:val="clear" w:color="auto" w:fill="auto"/>
          </w:tcPr>
          <w:p w14:paraId="39B24215">
            <w:pPr>
              <w:ind w:firstLine="420" w:firstLineChars="200"/>
              <w:rPr>
                <w:color w:val="000000" w:themeColor="text1"/>
                <w14:textFill>
                  <w14:solidFill>
                    <w14:schemeClr w14:val="tx1"/>
                  </w14:solidFill>
                </w14:textFill>
              </w:rPr>
            </w:pPr>
          </w:p>
        </w:tc>
      </w:tr>
      <w:tr w14:paraId="5386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0" w:type="dxa"/>
            <w:gridSpan w:val="3"/>
            <w:shd w:val="clear" w:color="auto" w:fill="auto"/>
          </w:tcPr>
          <w:p w14:paraId="7330D69E">
            <w:pPr>
              <w:rPr>
                <w:color w:val="000000" w:themeColor="text1"/>
                <w14:textFill>
                  <w14:solidFill>
                    <w14:schemeClr w14:val="tx1"/>
                  </w14:solidFill>
                </w14:textFill>
              </w:rPr>
            </w:pPr>
            <w:r>
              <w:rPr>
                <w:rFonts w:hint="eastAsia"/>
                <w:color w:val="000000" w:themeColor="text1"/>
                <w:highlight w:val="none"/>
                <w14:textFill>
                  <w14:solidFill>
                    <w14:schemeClr w14:val="tx1"/>
                  </w14:solidFill>
                </w14:textFill>
              </w:rPr>
              <w:t>注：未提供《关于符合本国产品标准的声明函》</w:t>
            </w:r>
            <w:r>
              <w:rPr>
                <w:rFonts w:hint="eastAsia"/>
                <w:color w:val="000000" w:themeColor="text1"/>
                <w:highlight w:val="none"/>
                <w:lang w:eastAsia="zh-CN"/>
                <w14:textFill>
                  <w14:solidFill>
                    <w14:schemeClr w14:val="tx1"/>
                  </w14:solidFill>
                </w14:textFill>
              </w:rPr>
              <w:t>、</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关于符合本国产品标准的成本占比承诺函》（如适用）</w:t>
            </w:r>
            <w:r>
              <w:rPr>
                <w:rFonts w:hint="eastAsia"/>
                <w:color w:val="000000" w:themeColor="text1"/>
                <w:highlight w:val="none"/>
                <w:lang w:val="en-US" w:eastAsia="zh-CN"/>
                <w14:textFill>
                  <w14:solidFill>
                    <w14:schemeClr w14:val="tx1"/>
                  </w14:solidFill>
                </w14:textFill>
              </w:rPr>
              <w:t>或</w:t>
            </w:r>
            <w:r>
              <w:rPr>
                <w:rFonts w:hint="eastAsia"/>
                <w:color w:val="000000" w:themeColor="text1"/>
                <w:highlight w:val="none"/>
                <w14:textFill>
                  <w14:solidFill>
                    <w14:schemeClr w14:val="tx1"/>
                  </w14:solidFill>
                </w14:textFill>
              </w:rPr>
              <w:t>不符合条件的，不享受价格扣除优惠。</w:t>
            </w:r>
          </w:p>
        </w:tc>
      </w:tr>
    </w:tbl>
    <w:p w14:paraId="29865789">
      <w:pPr>
        <w:spacing w:before="120" w:line="320" w:lineRule="atLeast"/>
        <w:ind w:firstLine="420" w:firstLineChars="200"/>
        <w:rPr>
          <w:rFonts w:ascii="Arial" w:hAnsi="Arial" w:cs="Arial"/>
          <w:color w:val="000000" w:themeColor="text1"/>
          <w:szCs w:val="21"/>
          <w14:textFill>
            <w14:solidFill>
              <w14:schemeClr w14:val="tx1"/>
            </w14:solidFill>
          </w14:textFill>
        </w:rPr>
      </w:pPr>
    </w:p>
    <w:p w14:paraId="20B79AD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（6）评标报价计算</w:t>
      </w:r>
    </w:p>
    <w:p w14:paraId="1D790402">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a.供应商若符合中小企业支持政策的要求，计算公式具体为：评标报价＝投标总报价－（投标总报价*小微企业价格扣除比例）</w:t>
      </w:r>
    </w:p>
    <w:p w14:paraId="01DB7F19">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b.供应商若符合本国产品支持政策的要求，计算公式具体为：评标报价＝投标总报价－（全部产品报价*20%）</w:t>
      </w:r>
    </w:p>
    <w:p w14:paraId="50ED868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c.供应商若同时符合中小企业、本国产品扶持政策的要求，计算公式具体为：评标报价＝投标总报价－（投标总报价*小微企业价格扣除比例）－（全部产品报价*20%）</w:t>
      </w:r>
    </w:p>
    <w:p w14:paraId="17C083DD">
      <w:pPr>
        <w:pStyle w:val="21"/>
        <w:ind w:firstLine="420" w:firstLineChars="200"/>
        <w:rPr>
          <w:rFonts w:ascii="Arial" w:hAnsi="Arial" w:cs="Arial"/>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备注：全部产品是指货物或服务采购项目或采购包中包含的全部货物、服务产品。</w:t>
      </w:r>
    </w:p>
    <w:p w14:paraId="41B04B71">
      <w:pPr>
        <w:spacing w:before="120" w:line="320" w:lineRule="atLeast"/>
        <w:ind w:firstLine="420" w:firstLineChars="200"/>
        <w:rPr>
          <w:rFonts w:ascii="Arial" w:hAnsi="Arial" w:cs="Arial"/>
          <w:bCs/>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w:t>
      </w:r>
      <w:r>
        <w:rPr>
          <w:rFonts w:ascii="Arial" w:hAnsi="Arial" w:cs="Arial"/>
          <w:b/>
          <w:bCs/>
          <w:color w:val="000000" w:themeColor="text1"/>
          <w:kern w:val="0"/>
          <w:szCs w:val="21"/>
          <w14:textFill>
            <w14:solidFill>
              <w14:schemeClr w14:val="tx1"/>
            </w14:solidFill>
          </w14:textFill>
        </w:rPr>
        <w:t>符合政府采购政策的相关条件</w:t>
      </w:r>
    </w:p>
    <w:p w14:paraId="52C3372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（1）小型、微型企业</w:t>
      </w:r>
    </w:p>
    <w:p w14:paraId="06C8F364">
      <w:pPr>
        <w:spacing w:before="120" w:line="320" w:lineRule="atLeast"/>
        <w:ind w:firstLine="420" w:firstLineChars="200"/>
        <w:rPr>
          <w:rFonts w:ascii="Arial" w:hAnsi="Arial" w:cs="Arial"/>
          <w:color w:val="000000" w:themeColor="text1"/>
          <w:szCs w:val="21"/>
          <w14:textFill>
            <w14:solidFill>
              <w14:schemeClr w14:val="tx1"/>
            </w14:solidFill>
          </w14:textFill>
        </w:rPr>
      </w:pPr>
      <w:bookmarkStart w:id="94" w:name="_Hlk60651069"/>
      <w:r>
        <w:rPr>
          <w:rFonts w:ascii="Arial" w:hAnsi="Arial" w:cs="Arial"/>
          <w:color w:val="000000" w:themeColor="text1"/>
          <w:szCs w:val="21"/>
          <w14:textFill>
            <w14:solidFill>
              <w14:schemeClr w14:val="tx1"/>
            </w14:solidFill>
          </w14:textFill>
        </w:rPr>
        <w:t>依照关于印发《政府采购促进中小企业发展管理办法》的通知（财库〔2020〕46号）之规定， 供应商提供的货物、工程或者服务符合下列情形的，享受本办法规定的中小企业扶持政策：</w:t>
      </w:r>
    </w:p>
    <w:p w14:paraId="4044ACDE">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在货物采购项目中，货物由中小企业制造，即货物由中小企业生产且使用该中小企业商号或者注册商标；（供应商提供的货物既有中小企业制造货物，也有大型企业制造货物的，不享受本办法规定的中小企业扶持政策。）</w:t>
      </w:r>
    </w:p>
    <w:p w14:paraId="13098E8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注：供应商根据中小企业划分标准（《关于印发中小企业划型标准规定的通知》（工信部联企业〔2011〕300号）判断是否为中小企业，符合中小企业划分标准的个体工商户，视同中小企业。以联合体形式参加政府采购活动，联合体各方均为中小企业的，联合体视同中小企业。其中，联合体各方均为小微企业的，联合体视同小微企业。</w:t>
      </w:r>
    </w:p>
    <w:bookmarkEnd w:id="94"/>
    <w:p w14:paraId="60B0B5A9">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供应商声明为中小企业的，应按招标文件规定在投标文件中提供声明函。</w:t>
      </w:r>
    </w:p>
    <w:p w14:paraId="06C2CE6B">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（2）监狱企业</w:t>
      </w:r>
    </w:p>
    <w:p w14:paraId="09E660A7">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依照《财政部 司法部关于政府采购支持监狱企业发展有关问题的通知》（财库〔2014〕68号）之规定，监狱企业应当符合以下条件：</w:t>
      </w:r>
    </w:p>
    <w:p w14:paraId="6A8D05B7">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①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1180E47">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②监狱企业参加政府采购活动时，应当提供由省级以上监狱管理局、戒毒管理局（含新疆生产建设兵团）或财政部门出具的属于监狱企业的证明文件，视同小型、微型企业。</w:t>
      </w:r>
    </w:p>
    <w:p w14:paraId="38608F6F">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注：</w:t>
      </w:r>
      <w:r>
        <w:rPr>
          <w:rFonts w:ascii="Arial" w:hAnsi="Arial" w:cs="Arial"/>
          <w:bCs/>
          <w:color w:val="000000" w:themeColor="text1"/>
          <w:szCs w:val="21"/>
          <w14:textFill>
            <w14:solidFill>
              <w14:schemeClr w14:val="tx1"/>
            </w14:solidFill>
          </w14:textFill>
        </w:rPr>
        <w:t>供应商声明为监狱企业的，应按招标文件规定在投标文件中提供相关证明文件。</w:t>
      </w:r>
    </w:p>
    <w:p w14:paraId="7BD100B2">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（3）残疾人福利性单位</w:t>
      </w:r>
    </w:p>
    <w:p w14:paraId="3FB0D1FD">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依照财政部、民政部、中国残疾人联合会三部门发布的《关于促进残疾人就业政府采购政策的通知》（财库〔2017〕141号）之规定，享受政府采购支持政策的残疾人福利性单位应当符合同时满足以下条件：</w:t>
      </w:r>
    </w:p>
    <w:p w14:paraId="2CA81F53">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①安置的残疾人占本单位在职职工人数的比例不低于25%（含25%），并且安置的残疾人人数不少于10人（含10人）；</w:t>
      </w:r>
    </w:p>
    <w:p w14:paraId="5006083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②依法与安置的每位残疾人签订了一年以上（含一年）的劳动合同或服务协议；</w:t>
      </w:r>
    </w:p>
    <w:p w14:paraId="3B248B84">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③为安置的每位残疾人按月足额缴纳了基本养老保险、基本医疗保险、失业保险、工伤保险和生育保险等社会保险费；</w:t>
      </w:r>
    </w:p>
    <w:p w14:paraId="766A7076">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④通过银行等金融机构向安置的每位残疾人，按月支付了不低于单位所在区县适用的经省级人民政府批准的月最低工资标准的工资；</w:t>
      </w:r>
    </w:p>
    <w:p w14:paraId="58B2778A">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⑤提供本单位制造的货物、承担的工程或者服务（以下简称产品），或者提供其他残疾人福利性单位制造的货物（不包括使用非残疾人福利性单位注册商标的货物）。</w:t>
      </w:r>
    </w:p>
    <w:p w14:paraId="429346AF">
      <w:pPr>
        <w:spacing w:before="120" w:line="320" w:lineRule="atLeas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6172B3DC">
      <w:pPr>
        <w:spacing w:before="120" w:line="320" w:lineRule="atLeast"/>
        <w:ind w:firstLine="420" w:firstLineChars="200"/>
        <w:rPr>
          <w:rFonts w:ascii="Arial" w:hAnsi="Arial" w:cs="Arial"/>
          <w:bCs/>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注：符合条件的残疾人福利性单位在参加政府采购活动时，应当提供《残疾人福利性单位声明函》（格式见第六章），并对声明的真实性负责。</w:t>
      </w:r>
    </w:p>
    <w:p w14:paraId="0932CBFF">
      <w:pPr>
        <w:ind w:firstLine="420" w:firstLineChars="200"/>
        <w:rPr>
          <w:rFonts w:ascii="Arial" w:hAnsi="Arial" w:cs="Arial"/>
          <w:b/>
          <w:bCs/>
          <w:color w:val="000000" w:themeColor="text1"/>
          <w:szCs w:val="21"/>
          <w:u w:val="single"/>
          <w14:textFill>
            <w14:solidFill>
              <w14:schemeClr w14:val="tx1"/>
            </w14:solidFill>
          </w14:textFill>
        </w:rPr>
      </w:pPr>
      <w:r>
        <w:rPr>
          <w:rFonts w:hint="eastAsia" w:ascii="Arial" w:hAnsi="Arial" w:cs="Arial"/>
          <w:color w:val="000000" w:themeColor="text1"/>
          <w:szCs w:val="21"/>
          <w14:textFill>
            <w14:solidFill>
              <w14:schemeClr w14:val="tx1"/>
            </w14:solidFill>
          </w14:textFill>
        </w:rPr>
        <w:t>（4）</w:t>
      </w:r>
      <w:r>
        <w:rPr>
          <w:rFonts w:hint="eastAsia" w:ascii="Arial" w:hAnsi="Arial" w:cs="Arial"/>
          <w:b/>
          <w:bCs/>
          <w:color w:val="000000" w:themeColor="text1"/>
          <w:szCs w:val="21"/>
          <w:u w:val="single"/>
          <w14:textFill>
            <w14:solidFill>
              <w14:schemeClr w14:val="tx1"/>
            </w14:solidFill>
          </w14:textFill>
        </w:rPr>
        <w:t>对本国产品的支持政策</w:t>
      </w:r>
    </w:p>
    <w:p w14:paraId="7AD95A08">
      <w:pPr>
        <w:spacing w:before="120" w:line="360" w:lineRule="auto"/>
        <w:ind w:left="819" w:leftChars="190" w:hanging="420" w:hangingChars="20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（4.1）</w:t>
      </w:r>
      <w:r>
        <w:rPr>
          <w:rFonts w:hint="default"/>
          <w:color w:val="000000" w:themeColor="text1"/>
          <w:szCs w:val="21"/>
          <w:highlight w:val="none"/>
          <w:lang w:val="en-US" w:eastAsia="zh-CN"/>
          <w14:textFill>
            <w14:solidFill>
              <w14:schemeClr w14:val="tx1"/>
            </w14:solidFill>
          </w14:textFill>
        </w:rPr>
        <w:t>本国产品标准</w:t>
      </w:r>
    </w:p>
    <w:p w14:paraId="31880D90">
      <w:pPr>
        <w:spacing w:line="276"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“本国产品标准的产品”是指：符合《国务院办公厅关于在政府采购中实施本国产品标准及相关政策的通知》（国办发〔2025〕34号）规定的本国产品标准的产品。</w:t>
      </w:r>
    </w:p>
    <w:p w14:paraId="140E206A">
      <w:pPr>
        <w:spacing w:line="276"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本国产品标准的产品应当符合以下条件：</w:t>
      </w:r>
    </w:p>
    <w:p w14:paraId="79E2DCF0">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r>
        <w:rPr>
          <w:rFonts w:hint="default"/>
          <w:color w:val="000000" w:themeColor="text1"/>
          <w:szCs w:val="21"/>
          <w:highlight w:val="none"/>
          <w:lang w:val="en-US" w:eastAsia="zh-CN"/>
          <w14:textFill>
            <w14:solidFill>
              <w14:schemeClr w14:val="tx1"/>
            </w14:solidFill>
          </w14:textFill>
        </w:rPr>
        <w:t>在中国境内生产</w:t>
      </w:r>
      <w:r>
        <w:rPr>
          <w:rFonts w:hint="eastAsia"/>
          <w:color w:val="000000" w:themeColor="text1"/>
          <w:szCs w:val="21"/>
          <w:highlight w:val="none"/>
          <w:lang w:val="en-US" w:eastAsia="zh-CN"/>
          <w14:textFill>
            <w14:solidFill>
              <w14:schemeClr w14:val="tx1"/>
            </w14:solidFill>
          </w14:textFill>
        </w:rPr>
        <w:t>。</w:t>
      </w:r>
      <w:r>
        <w:rPr>
          <w:rFonts w:hint="default"/>
          <w:color w:val="000000" w:themeColor="text1"/>
          <w:szCs w:val="21"/>
          <w:highlight w:val="none"/>
          <w:lang w:val="en-US" w:eastAsia="zh-CN"/>
          <w14:textFill>
            <w14:solidFill>
              <w14:schemeClr w14:val="tx1"/>
            </w14:solidFill>
          </w14:textFill>
        </w:rPr>
        <w:t>产品应当在中国境内生产，即在中华人民共和国关境内</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（含保税区、综合保税区等海关特殊监管区域）</w:t>
      </w:r>
      <w:r>
        <w:rPr>
          <w:rFonts w:hint="default"/>
          <w:color w:val="000000" w:themeColor="text1"/>
          <w:szCs w:val="21"/>
          <w:highlight w:val="none"/>
          <w:lang w:val="en-US" w:eastAsia="zh-CN"/>
          <w14:textFill>
            <w14:solidFill>
              <w14:schemeClr w14:val="tx1"/>
            </w14:solidFill>
          </w14:textFill>
        </w:rPr>
        <w:t>实现从原材料、组件到产品的属性改变；属性改变是指经过制造、加工或者组装等工序，产生完全不同于原材料、组件的新产品，并具有新的名称和特征（用途），属性改变不包括以下细微操作：</w:t>
      </w:r>
    </w:p>
    <w:p w14:paraId="1508D646">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①为确保产品在运输或者储存期间保持某种状态而进行的操作；</w:t>
      </w:r>
    </w:p>
    <w:p w14:paraId="267DA321">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②为产品运输或者销售进行的包装或者展示；</w:t>
      </w:r>
    </w:p>
    <w:p w14:paraId="5E66D65D">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③在产品或者其包装上粘贴或者印刷品牌、标志、标识以及其他用于区别的标记；</w:t>
      </w:r>
    </w:p>
    <w:p w14:paraId="21704C69">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④简单的上漆、磨光和分装；</w:t>
      </w:r>
    </w:p>
    <w:p w14:paraId="3208A437">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⑤其他不属于属性改变的情形；</w:t>
      </w:r>
    </w:p>
    <w:p w14:paraId="57BA9599">
      <w:pPr>
        <w:spacing w:line="276"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rFonts w:hint="default"/>
          <w:color w:val="000000" w:themeColor="text1"/>
          <w:szCs w:val="21"/>
          <w:highlight w:val="none"/>
          <w:lang w:val="en-US" w:eastAsia="zh-CN"/>
          <w14:textFill>
            <w14:solidFill>
              <w14:schemeClr w14:val="tx1"/>
            </w14:solidFill>
          </w14:textFill>
        </w:rPr>
        <w:t>中国境内生产的组件成本占比达到规定比例</w:t>
      </w:r>
      <w:r>
        <w:rPr>
          <w:rFonts w:hint="eastAsia"/>
          <w:color w:val="000000" w:themeColor="text1"/>
          <w:szCs w:val="21"/>
          <w:highlight w:val="none"/>
          <w:lang w:val="en-US" w:eastAsia="zh-CN"/>
          <w14:textFill>
            <w14:solidFill>
              <w14:schemeClr w14:val="tx1"/>
            </w14:solidFill>
          </w14:textFill>
        </w:rPr>
        <w:t>。</w:t>
      </w:r>
    </w:p>
    <w:p w14:paraId="49B89FB3">
      <w:pPr>
        <w:spacing w:line="276"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①产品在中国境内生产的组件成本占比应当达到规定比例，计算公式为：产品在中国境内生产的组件成本/产品总成本≥规定比例；</w:t>
      </w:r>
    </w:p>
    <w:p w14:paraId="75CCC305">
      <w:pPr>
        <w:spacing w:line="276"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②产品在中国境内生产的组件成本，按照《中国境内生产的组件成本核算基本规则》计算；</w:t>
      </w:r>
    </w:p>
    <w:p w14:paraId="1556E322">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③中国境内生产的组件成本占比相关要求实施前，符合第（1）项条件的产品在政府采购活动中视同本国产品。</w:t>
      </w:r>
    </w:p>
    <w:p w14:paraId="6CD73FF0">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r>
        <w:rPr>
          <w:rFonts w:hint="default"/>
          <w:color w:val="000000" w:themeColor="text1"/>
          <w:szCs w:val="21"/>
          <w:highlight w:val="none"/>
          <w:lang w:val="en-US" w:eastAsia="zh-CN"/>
          <w14:textFill>
            <w14:solidFill>
              <w14:schemeClr w14:val="tx1"/>
            </w14:solidFill>
          </w14:textFill>
        </w:rPr>
        <w:t>特定产品的关键组件和工序在中国境内完成。</w:t>
      </w:r>
    </w:p>
    <w:p w14:paraId="52711DB5">
      <w:pPr>
        <w:spacing w:line="276"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①对特定产品，在符合第（1）项和第（2）项条件的基础上，应当符合财政部会同有关行业主管部门确定的其关键组件、关键工序在中国境内生产、完成等要求；</w:t>
      </w:r>
    </w:p>
    <w:p w14:paraId="6CB32CDB">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②特定产品的关键组件、关键工序符合相关要求实施前，符合第（1）项和第（2）项条件的产品在政府采购活动中视同本国产品。</w:t>
      </w:r>
    </w:p>
    <w:p w14:paraId="458F10E3">
      <w:pPr>
        <w:spacing w:before="120" w:line="360" w:lineRule="auto"/>
        <w:ind w:left="819" w:leftChars="190" w:hanging="420" w:hanging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（4.2）本国产品标准的适用范围</w:t>
      </w:r>
    </w:p>
    <w:p w14:paraId="2C4CDEC3">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57B44B2">
      <w:pPr>
        <w:spacing w:line="276" w:lineRule="auto"/>
        <w:ind w:firstLine="422" w:firstLineChars="200"/>
        <w:rPr>
          <w:rFonts w:hint="default"/>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本项目是否适用对本国产品的支持政策详见投标人须知前附表。</w:t>
      </w:r>
    </w:p>
    <w:p w14:paraId="5AEFB6E9">
      <w:pPr>
        <w:spacing w:line="276" w:lineRule="auto"/>
        <w:ind w:firstLine="420" w:firstLineChars="200"/>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中华人民共和国缔结或者共同参加的国际条约、协定对政府采购中本国产品政策另有规定的，按照有关条约、协定执行。</w:t>
      </w:r>
    </w:p>
    <w:p w14:paraId="0985FC37">
      <w:pPr>
        <w:spacing w:before="120" w:line="320" w:lineRule="atLeast"/>
        <w:ind w:firstLine="420" w:firstLineChars="20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（4.3）价格评审优惠</w:t>
      </w:r>
    </w:p>
    <w:p w14:paraId="58974A0C">
      <w:pPr>
        <w:spacing w:before="120" w:line="320" w:lineRule="atLeast"/>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既有本国产品又有非本国产品参与竞争的，依法对本国产品给予价格评审优惠，对本国产品的报价给予20%的价格扣除，用扣除后的价格参与评审。</w:t>
      </w:r>
    </w:p>
    <w:p w14:paraId="0138916A">
      <w:pPr>
        <w:spacing w:before="120" w:line="320" w:lineRule="atLeast"/>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0274342">
      <w:pPr>
        <w:spacing w:before="120" w:line="320" w:lineRule="atLeast"/>
        <w:ind w:firstLine="420" w:firstLineChars="200"/>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价格扣除比例在第四章评审方法及标准中规定</w:t>
      </w:r>
      <w:r>
        <w:rPr>
          <w:rFonts w:hint="eastAsia"/>
          <w:color w:val="000000" w:themeColor="text1"/>
          <w:szCs w:val="21"/>
          <w:highlight w:val="none"/>
          <w:lang w:eastAsia="zh-CN"/>
          <w14:textFill>
            <w14:solidFill>
              <w14:schemeClr w14:val="tx1"/>
            </w14:solidFill>
          </w14:textFill>
        </w:rPr>
        <w:t>。</w:t>
      </w:r>
    </w:p>
    <w:p w14:paraId="37FA73BC">
      <w:pPr>
        <w:spacing w:before="120" w:line="320" w:lineRule="atLeast"/>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（4.4）政策执行要求</w:t>
      </w:r>
    </w:p>
    <w:p w14:paraId="51299DA6">
      <w:pPr>
        <w:spacing w:before="120" w:line="320" w:lineRule="atLeast"/>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（4.4.1）产品在中国境内生产的组件成本核算规则：产品在中国境内生产的组件成本，按照《中国境内生产的组件成本核算基本规则》计算。</w:t>
      </w:r>
    </w:p>
    <w:p w14:paraId="7C40E5CA">
      <w:pPr>
        <w:spacing w:before="120" w:line="360" w:lineRule="auto"/>
        <w:ind w:firstLine="2520" w:firstLineChars="1200"/>
        <w:rPr>
          <w:rFonts w:hint="eastAsia"/>
          <w:color w:val="000000" w:themeColor="text1"/>
          <w:szCs w:val="21"/>
          <w:highlight w:val="none"/>
          <w:lang w:eastAsia="zh-CN"/>
          <w14:textFill>
            <w14:solidFill>
              <w14:schemeClr w14:val="tx1"/>
            </w14:solidFill>
          </w14:textFill>
        </w:rPr>
      </w:pPr>
      <w:r>
        <w:rPr>
          <w:rFonts w:hint="eastAsia" w:eastAsia="宋体"/>
          <w:color w:val="000000" w:themeColor="text1"/>
          <w:szCs w:val="21"/>
          <w:highlight w:val="none"/>
          <w:lang w:eastAsia="zh-CN"/>
          <w14:textFill>
            <w14:solidFill>
              <w14:schemeClr w14:val="tx1"/>
            </w14:solidFill>
          </w14:textFill>
        </w:rPr>
        <w:t>《中国境内生产的组件成本核算基本规则》</w:t>
      </w:r>
    </w:p>
    <w:p w14:paraId="6B28EBF4">
      <w:pPr>
        <w:spacing w:before="120" w:line="240" w:lineRule="auto"/>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010F5349">
      <w:pPr>
        <w:numPr>
          <w:ilvl w:val="0"/>
          <w:numId w:val="0"/>
        </w:numPr>
        <w:spacing w:before="120" w:line="240" w:lineRule="auto"/>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产品的一级组件是指直接组成产品的组件。产品的二级组件是指直接组成产品一级组件的组件。一级组件不可分解的，视同二级组件。</w:t>
      </w:r>
    </w:p>
    <w:p w14:paraId="2454E3B2">
      <w:pPr>
        <w:numPr>
          <w:ilvl w:val="0"/>
          <w:numId w:val="0"/>
        </w:numPr>
        <w:spacing w:before="120" w:line="240" w:lineRule="auto"/>
        <w:ind w:firstLine="420" w:firstLineChars="200"/>
        <w:rPr>
          <w:rFonts w:hint="eastAsia"/>
          <w:color w:val="000000" w:themeColor="text1"/>
          <w:szCs w:val="21"/>
          <w:highlight w:val="none"/>
          <w14:textFill>
            <w14:solidFill>
              <w14:schemeClr w14:val="tx1"/>
            </w14:solidFill>
          </w14:textFill>
        </w:rPr>
      </w:pPr>
      <w:r>
        <w:rPr>
          <w:rFonts w:hint="eastAsia" w:ascii="Times New Roman" w:eastAsia="宋体"/>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二级组件在中国境内生产的，其全部成本计入中国境内生产的组件成本；二级组件不在中国境内生产的，其成本不计入中国境内生产的组件成本。</w:t>
      </w:r>
    </w:p>
    <w:p w14:paraId="1CC3EDE2">
      <w:pPr>
        <w:spacing w:before="120" w:line="240" w:lineRule="auto"/>
        <w:ind w:firstLine="420" w:firstLineChars="200"/>
        <w:rPr>
          <w:rFonts w:hint="eastAsia"/>
          <w:color w:val="000000" w:themeColor="text1"/>
          <w:szCs w:val="21"/>
          <w:highlight w:val="none"/>
          <w14:textFill>
            <w14:solidFill>
              <w14:schemeClr w14:val="tx1"/>
            </w14:solidFill>
          </w14:textFill>
        </w:rPr>
      </w:pPr>
      <w:r>
        <w:rPr>
          <w:rFonts w:hint="eastAsia" w:ascii="Times New Roman" w:eastAsia="宋体"/>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14:textFill>
            <w14:solidFill>
              <w14:schemeClr w14:val="tx1"/>
            </w14:solidFill>
          </w14:textFill>
        </w:rPr>
        <w:t>产品总成本和组件成本以相关会计核算数据、采购合同、进货记录等为基础进行计算。</w:t>
      </w:r>
    </w:p>
    <w:p w14:paraId="3BFC0372">
      <w:pPr>
        <w:spacing w:before="120" w:line="240"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ascii="Times New Roman" w:eastAsia="宋体"/>
          <w:color w:val="000000" w:themeColor="text1"/>
          <w:szCs w:val="21"/>
          <w:highlight w:val="none"/>
          <w:lang w:val="en-US" w:eastAsia="zh-CN"/>
          <w14:textFill>
            <w14:solidFill>
              <w14:schemeClr w14:val="tx1"/>
            </w14:solidFill>
          </w14:textFill>
        </w:rPr>
        <w:t>4.</w:t>
      </w:r>
      <w:r>
        <w:rPr>
          <w:rFonts w:hint="eastAsia"/>
          <w:color w:val="000000" w:themeColor="text1"/>
          <w:szCs w:val="21"/>
          <w:highlight w:val="none"/>
          <w14:textFill>
            <w14:solidFill>
              <w14:schemeClr w14:val="tx1"/>
            </w14:solidFill>
          </w14:textFill>
        </w:rPr>
        <w:t>需要对成本核算规则予以进一步明确的其他有关事项，由财政部会同有关部门另行规定。</w:t>
      </w:r>
    </w:p>
    <w:p w14:paraId="1D648B0F">
      <w:pPr>
        <w:spacing w:before="120" w:line="320" w:lineRule="atLeast"/>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（4.4.2）证明材料提交与审查：供应商需在投标（响应）文件中对其提供的产品出具《关于符合本国产品标准的声明函》（样式见投标文件格式）或财政部会同有关部门规定的有关证明文件。</w:t>
      </w:r>
      <w:r>
        <w:rPr>
          <w:rFonts w:hint="eastAsia"/>
          <w:b/>
          <w:bCs/>
          <w:color w:val="000000" w:themeColor="text1"/>
          <w:szCs w:val="21"/>
          <w:highlight w:val="none"/>
          <w:lang w:val="en-US" w:eastAsia="zh-CN"/>
          <w14:textFill>
            <w14:solidFill>
              <w14:schemeClr w14:val="tx1"/>
            </w14:solidFill>
          </w14:textFill>
        </w:rPr>
        <w:t>医疗器械产品凭药品监督管理部门授予的准字号注册证直接认定属于在中国境内生产的产品。</w:t>
      </w:r>
      <w:r>
        <w:rPr>
          <w:rFonts w:hint="eastAsia"/>
          <w:color w:val="000000" w:themeColor="text1"/>
          <w:szCs w:val="21"/>
          <w:highlight w:val="none"/>
          <w:lang w:val="en-US" w:eastAsia="zh-CN"/>
          <w14:textFill>
            <w14:solidFill>
              <w14:schemeClr w14:val="tx1"/>
            </w14:solidFill>
          </w14:textFill>
        </w:rPr>
        <w:t>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3809E51B">
      <w:pPr>
        <w:pStyle w:val="21"/>
        <w:ind w:firstLine="420" w:firstLineChars="200"/>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评审委员会应对《声明函》的完整性、准确性进行审查，对《声明函》内容含义不明确、同类事项与投标（响应）文件表述不一致或存在明显文字错误的，应</w:t>
      </w:r>
      <w:r>
        <w:rPr>
          <w:rFonts w:hint="eastAsia" w:cs="Times New Roman"/>
          <w:color w:val="000000" w:themeColor="text1"/>
          <w:kern w:val="2"/>
          <w:sz w:val="21"/>
          <w:szCs w:val="21"/>
          <w:highlight w:val="none"/>
          <w:lang w:val="en-US" w:eastAsia="zh-CN" w:bidi="ar-SA"/>
          <w14:textFill>
            <w14:solidFill>
              <w14:schemeClr w14:val="tx1"/>
            </w14:solidFill>
          </w14:textFill>
        </w:rPr>
        <w:t>当</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以书面形式要求供应商澄清、说明或者补正；</w:t>
      </w:r>
      <w:r>
        <w:rPr>
          <w:rFonts w:hint="eastAsia" w:cs="Times New Roman"/>
          <w:color w:val="000000" w:themeColor="text1"/>
          <w:kern w:val="2"/>
          <w:sz w:val="21"/>
          <w:szCs w:val="21"/>
          <w:highlight w:val="none"/>
          <w:lang w:val="en-US" w:eastAsia="zh-CN" w:bidi="ar-SA"/>
          <w14:textFill>
            <w14:solidFill>
              <w14:schemeClr w14:val="tx1"/>
            </w14:solidFill>
          </w14:textFill>
        </w:rPr>
        <w:t>经</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澄清、说明或者补正后仍不符合要求的，不认定为本国产品。</w:t>
      </w:r>
    </w:p>
    <w:p w14:paraId="6A324CAE">
      <w:pPr>
        <w:pStyle w:val="21"/>
        <w:ind w:firstLine="420" w:firstLineChars="200"/>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澄清补正应当按照“6.3.3澄清、说明或补正”的规定提交。</w:t>
      </w:r>
    </w:p>
    <w:p w14:paraId="3C31F2B2">
      <w:pPr>
        <w:pStyle w:val="21"/>
        <w:ind w:firstLine="420" w:firstLineChars="20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（4.5）成本核算与承诺</w:t>
      </w:r>
    </w:p>
    <w:p w14:paraId="7BEC242D">
      <w:pPr>
        <w:pStyle w:val="21"/>
        <w:ind w:firstLine="420" w:firstLineChars="20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供应商应依据《中国境内生产的组件成本核算基本规则》核算产品成本占比，并对核算结果负责，按要求提交《</w:t>
      </w:r>
      <w:r>
        <w:rPr>
          <w:rFonts w:hint="eastAsia" w:cs="Times New Roman"/>
          <w:color w:val="000000" w:themeColor="text1"/>
          <w:kern w:val="2"/>
          <w:sz w:val="21"/>
          <w:szCs w:val="21"/>
          <w:highlight w:val="none"/>
          <w:lang w:val="en-US" w:eastAsia="zh-CN" w:bidi="ar-SA"/>
          <w14:textFill>
            <w14:solidFill>
              <w14:schemeClr w14:val="tx1"/>
            </w14:solidFill>
          </w14:textFill>
        </w:rPr>
        <w:t>关于符合</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本国产品</w:t>
      </w:r>
      <w:r>
        <w:rPr>
          <w:rFonts w:hint="eastAsia" w:cs="Times New Roman"/>
          <w:color w:val="000000" w:themeColor="text1"/>
          <w:kern w:val="2"/>
          <w:sz w:val="21"/>
          <w:szCs w:val="21"/>
          <w:highlight w:val="none"/>
          <w:lang w:val="en-US" w:eastAsia="zh-CN" w:bidi="ar-SA"/>
          <w14:textFill>
            <w14:solidFill>
              <w14:schemeClr w14:val="tx1"/>
            </w14:solidFill>
          </w14:textFill>
        </w:rPr>
        <w:t>标准的</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成本占比承诺函》</w:t>
      </w:r>
      <w:r>
        <w:rPr>
          <w:rFonts w:hint="eastAsia" w:cs="Times New Roman"/>
          <w:color w:val="000000" w:themeColor="text1"/>
          <w:kern w:val="2"/>
          <w:sz w:val="21"/>
          <w:szCs w:val="21"/>
          <w:highlight w:val="none"/>
          <w:lang w:val="en-US" w:eastAsia="zh-CN" w:bidi="ar-SA"/>
          <w14:textFill>
            <w14:solidFill>
              <w14:schemeClr w14:val="tx1"/>
            </w14:solidFill>
          </w14:textFill>
        </w:rPr>
        <w:t>（如适用）</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（参考模板</w:t>
      </w:r>
      <w:r>
        <w:rPr>
          <w:rFonts w:hint="eastAsia" w:cs="Times New Roman"/>
          <w:color w:val="000000" w:themeColor="text1"/>
          <w:kern w:val="2"/>
          <w:sz w:val="21"/>
          <w:szCs w:val="21"/>
          <w:highlight w:val="none"/>
          <w:lang w:val="en-US" w:eastAsia="zh-CN" w:bidi="ar-SA"/>
          <w14:textFill>
            <w14:solidFill>
              <w14:schemeClr w14:val="tx1"/>
            </w14:solidFill>
          </w14:textFill>
        </w:rPr>
        <w:t>详见投标文件格式</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）。相关成本核算的原始凭证应妥善留存，以备核查。采购人可在履约验收环节对相关材料进行抽查。</w:t>
      </w:r>
    </w:p>
    <w:p w14:paraId="3ECD5861">
      <w:pPr>
        <w:spacing w:before="120" w:line="320" w:lineRule="atLeast"/>
        <w:ind w:firstLine="420" w:firstLineChars="20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4.6争议处理</w:t>
      </w:r>
    </w:p>
    <w:p w14:paraId="64FDF187">
      <w:pPr>
        <w:spacing w:before="120" w:line="320" w:lineRule="atLeast"/>
        <w:ind w:firstLine="420" w:firstLineChars="200"/>
        <w:rPr>
          <w:rFonts w:ascii="Arial" w:hAnsi="Arial" w:cs="Arial"/>
          <w:b/>
          <w:bCs/>
          <w:color w:val="000000" w:themeColor="text1"/>
          <w:kern w:val="0"/>
          <w:szCs w:val="21"/>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0C5F972B">
      <w:pP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br w:type="page"/>
      </w:r>
      <w:r>
        <w:rPr>
          <w:rFonts w:ascii="Arial" w:hAnsi="Arial" w:cs="Arial"/>
          <w:color w:val="000000" w:themeColor="text1"/>
          <w:szCs w:val="21"/>
          <w14:textFill>
            <w14:solidFill>
              <w14:schemeClr w14:val="tx1"/>
            </w14:solidFill>
          </w14:textFill>
        </w:rPr>
        <w:t>附表</w:t>
      </w:r>
    </w:p>
    <w:p w14:paraId="394EF1EB">
      <w:pPr>
        <w:spacing w:line="528" w:lineRule="exact"/>
        <w:ind w:firstLine="280" w:firstLineChars="100"/>
        <w:jc w:val="center"/>
        <w:rPr>
          <w:rFonts w:ascii="Arial" w:hAnsi="Arial" w:cs="Arial"/>
          <w:color w:val="000000" w:themeColor="text1"/>
          <w:sz w:val="28"/>
          <w:szCs w:val="28"/>
          <w14:textFill>
            <w14:solidFill>
              <w14:schemeClr w14:val="tx1"/>
            </w14:solidFill>
          </w14:textFill>
        </w:rPr>
      </w:pPr>
      <w:r>
        <w:rPr>
          <w:rFonts w:ascii="Arial" w:hAnsi="Arial" w:cs="Arial"/>
          <w:color w:val="000000" w:themeColor="text1"/>
          <w:sz w:val="28"/>
          <w:szCs w:val="28"/>
          <w14:textFill>
            <w14:solidFill>
              <w14:schemeClr w14:val="tx1"/>
            </w14:solidFill>
          </w14:textFill>
        </w:rPr>
        <w:t>中小微企业划型标准</w:t>
      </w:r>
    </w:p>
    <w:tbl>
      <w:tblPr>
        <w:tblStyle w:val="54"/>
        <w:tblW w:w="9197" w:type="dxa"/>
        <w:tblInd w:w="250" w:type="dxa"/>
        <w:tblLayout w:type="fixed"/>
        <w:tblCellMar>
          <w:top w:w="0" w:type="dxa"/>
          <w:left w:w="108" w:type="dxa"/>
          <w:bottom w:w="0" w:type="dxa"/>
          <w:right w:w="108" w:type="dxa"/>
        </w:tblCellMar>
      </w:tblPr>
      <w:tblGrid>
        <w:gridCol w:w="1446"/>
        <w:gridCol w:w="1701"/>
        <w:gridCol w:w="1134"/>
        <w:gridCol w:w="1976"/>
        <w:gridCol w:w="1720"/>
        <w:gridCol w:w="1220"/>
      </w:tblGrid>
      <w:tr w14:paraId="523324D6">
        <w:tblPrEx>
          <w:tblCellMar>
            <w:top w:w="0" w:type="dxa"/>
            <w:left w:w="108" w:type="dxa"/>
            <w:bottom w:w="0" w:type="dxa"/>
            <w:right w:w="108" w:type="dxa"/>
          </w:tblCellMar>
        </w:tblPrEx>
        <w:trPr>
          <w:trHeight w:val="279" w:hRule="atLeast"/>
        </w:trPr>
        <w:tc>
          <w:tcPr>
            <w:tcW w:w="1446" w:type="dxa"/>
            <w:tcBorders>
              <w:top w:val="single" w:color="auto" w:sz="4" w:space="0"/>
              <w:left w:val="single" w:color="auto" w:sz="4" w:space="0"/>
              <w:bottom w:val="single" w:color="auto" w:sz="4" w:space="0"/>
              <w:right w:val="single" w:color="auto" w:sz="4" w:space="0"/>
            </w:tcBorders>
            <w:vAlign w:val="center"/>
          </w:tcPr>
          <w:p w14:paraId="2525BDA1">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行业名称</w:t>
            </w:r>
          </w:p>
        </w:tc>
        <w:tc>
          <w:tcPr>
            <w:tcW w:w="1701" w:type="dxa"/>
            <w:tcBorders>
              <w:top w:val="single" w:color="auto" w:sz="4" w:space="0"/>
              <w:left w:val="nil"/>
              <w:bottom w:val="single" w:color="auto" w:sz="4" w:space="0"/>
              <w:right w:val="single" w:color="auto" w:sz="4" w:space="0"/>
            </w:tcBorders>
            <w:vAlign w:val="center"/>
          </w:tcPr>
          <w:p w14:paraId="741888FC">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指标名称</w:t>
            </w:r>
          </w:p>
        </w:tc>
        <w:tc>
          <w:tcPr>
            <w:tcW w:w="1134" w:type="dxa"/>
            <w:tcBorders>
              <w:top w:val="single" w:color="auto" w:sz="4" w:space="0"/>
              <w:left w:val="nil"/>
              <w:bottom w:val="single" w:color="auto" w:sz="4" w:space="0"/>
              <w:right w:val="single" w:color="auto" w:sz="4" w:space="0"/>
            </w:tcBorders>
            <w:vAlign w:val="center"/>
          </w:tcPr>
          <w:p w14:paraId="1FA64215">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计量单位</w:t>
            </w:r>
          </w:p>
        </w:tc>
        <w:tc>
          <w:tcPr>
            <w:tcW w:w="1976" w:type="dxa"/>
            <w:tcBorders>
              <w:top w:val="single" w:color="auto" w:sz="4" w:space="0"/>
              <w:left w:val="nil"/>
              <w:bottom w:val="single" w:color="auto" w:sz="4" w:space="0"/>
              <w:right w:val="single" w:color="auto" w:sz="4" w:space="0"/>
            </w:tcBorders>
            <w:vAlign w:val="center"/>
          </w:tcPr>
          <w:p w14:paraId="7B1E6D93">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中型</w:t>
            </w:r>
          </w:p>
        </w:tc>
        <w:tc>
          <w:tcPr>
            <w:tcW w:w="1720" w:type="dxa"/>
            <w:tcBorders>
              <w:top w:val="single" w:color="auto" w:sz="4" w:space="0"/>
              <w:left w:val="nil"/>
              <w:bottom w:val="single" w:color="auto" w:sz="4" w:space="0"/>
              <w:right w:val="single" w:color="auto" w:sz="4" w:space="0"/>
            </w:tcBorders>
            <w:vAlign w:val="center"/>
          </w:tcPr>
          <w:p w14:paraId="3CC0A6B9">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小型</w:t>
            </w:r>
          </w:p>
        </w:tc>
        <w:tc>
          <w:tcPr>
            <w:tcW w:w="1220" w:type="dxa"/>
            <w:tcBorders>
              <w:top w:val="single" w:color="auto" w:sz="4" w:space="0"/>
              <w:left w:val="nil"/>
              <w:bottom w:val="single" w:color="auto" w:sz="4" w:space="0"/>
              <w:right w:val="single" w:color="auto" w:sz="4" w:space="0"/>
            </w:tcBorders>
            <w:vAlign w:val="center"/>
          </w:tcPr>
          <w:p w14:paraId="142B7331">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微型</w:t>
            </w:r>
          </w:p>
        </w:tc>
      </w:tr>
      <w:tr w14:paraId="7D7D83FC">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vAlign w:val="bottom"/>
          </w:tcPr>
          <w:p w14:paraId="3E4968DC">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农、林、牧、渔</w:t>
            </w:r>
          </w:p>
        </w:tc>
        <w:tc>
          <w:tcPr>
            <w:tcW w:w="1701" w:type="dxa"/>
            <w:tcBorders>
              <w:top w:val="nil"/>
              <w:left w:val="nil"/>
              <w:bottom w:val="single" w:color="auto" w:sz="4" w:space="0"/>
              <w:right w:val="single" w:color="auto" w:sz="4" w:space="0"/>
            </w:tcBorders>
            <w:vAlign w:val="center"/>
          </w:tcPr>
          <w:p w14:paraId="41E15167">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245C6E5E">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5C915419">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500≤Y＜20000</w:t>
            </w:r>
          </w:p>
        </w:tc>
        <w:tc>
          <w:tcPr>
            <w:tcW w:w="1720" w:type="dxa"/>
            <w:tcBorders>
              <w:top w:val="nil"/>
              <w:left w:val="nil"/>
              <w:bottom w:val="single" w:color="auto" w:sz="4" w:space="0"/>
              <w:right w:val="single" w:color="auto" w:sz="4" w:space="0"/>
            </w:tcBorders>
            <w:vAlign w:val="center"/>
          </w:tcPr>
          <w:p w14:paraId="474C5DEA">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50≤Y＜500</w:t>
            </w:r>
          </w:p>
        </w:tc>
        <w:tc>
          <w:tcPr>
            <w:tcW w:w="1220" w:type="dxa"/>
            <w:tcBorders>
              <w:top w:val="nil"/>
              <w:left w:val="nil"/>
              <w:bottom w:val="single" w:color="auto" w:sz="4" w:space="0"/>
              <w:right w:val="single" w:color="auto" w:sz="4" w:space="0"/>
            </w:tcBorders>
            <w:vAlign w:val="center"/>
          </w:tcPr>
          <w:p w14:paraId="3447E500">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Y＜50</w:t>
            </w:r>
          </w:p>
        </w:tc>
      </w:tr>
      <w:tr w14:paraId="654C472C">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37CA7394">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工业</w:t>
            </w:r>
          </w:p>
        </w:tc>
        <w:tc>
          <w:tcPr>
            <w:tcW w:w="1701" w:type="dxa"/>
            <w:tcBorders>
              <w:top w:val="nil"/>
              <w:left w:val="nil"/>
              <w:bottom w:val="single" w:color="auto" w:sz="4" w:space="0"/>
              <w:right w:val="single" w:color="auto" w:sz="4" w:space="0"/>
            </w:tcBorders>
            <w:vAlign w:val="center"/>
          </w:tcPr>
          <w:p w14:paraId="3EB89BAD">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15BC2691">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人</w:t>
            </w:r>
          </w:p>
        </w:tc>
        <w:tc>
          <w:tcPr>
            <w:tcW w:w="1976" w:type="dxa"/>
            <w:tcBorders>
              <w:top w:val="nil"/>
              <w:left w:val="nil"/>
              <w:bottom w:val="single" w:color="auto" w:sz="4" w:space="0"/>
              <w:right w:val="single" w:color="auto" w:sz="4" w:space="0"/>
            </w:tcBorders>
            <w:vAlign w:val="center"/>
          </w:tcPr>
          <w:p w14:paraId="5BB8EC8B">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300≤X＜1000</w:t>
            </w:r>
          </w:p>
        </w:tc>
        <w:tc>
          <w:tcPr>
            <w:tcW w:w="1720" w:type="dxa"/>
            <w:tcBorders>
              <w:top w:val="nil"/>
              <w:left w:val="nil"/>
              <w:bottom w:val="single" w:color="auto" w:sz="4" w:space="0"/>
              <w:right w:val="single" w:color="auto" w:sz="4" w:space="0"/>
            </w:tcBorders>
            <w:vAlign w:val="center"/>
          </w:tcPr>
          <w:p w14:paraId="7E83DFF8">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20≤X＜300</w:t>
            </w:r>
          </w:p>
        </w:tc>
        <w:tc>
          <w:tcPr>
            <w:tcW w:w="1220" w:type="dxa"/>
            <w:tcBorders>
              <w:top w:val="nil"/>
              <w:left w:val="nil"/>
              <w:bottom w:val="single" w:color="auto" w:sz="4" w:space="0"/>
              <w:right w:val="single" w:color="auto" w:sz="4" w:space="0"/>
            </w:tcBorders>
            <w:vAlign w:val="center"/>
          </w:tcPr>
          <w:p w14:paraId="50FFAD91">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X＜20</w:t>
            </w:r>
          </w:p>
        </w:tc>
      </w:tr>
      <w:tr w14:paraId="0AB3CF5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463762A">
            <w:pPr>
              <w:widowControl/>
              <w:jc w:val="left"/>
              <w:rPr>
                <w:rFonts w:ascii="Arial" w:hAnsi="Arial" w:cs="Arial"/>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21DB06B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60D5A9FA">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1F0DFE41">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2000≤Y＜40000</w:t>
            </w:r>
          </w:p>
        </w:tc>
        <w:tc>
          <w:tcPr>
            <w:tcW w:w="1720" w:type="dxa"/>
            <w:tcBorders>
              <w:top w:val="nil"/>
              <w:left w:val="nil"/>
              <w:bottom w:val="single" w:color="auto" w:sz="4" w:space="0"/>
              <w:right w:val="single" w:color="auto" w:sz="4" w:space="0"/>
            </w:tcBorders>
            <w:vAlign w:val="center"/>
          </w:tcPr>
          <w:p w14:paraId="43C77E93">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300≤Y＜2000</w:t>
            </w:r>
          </w:p>
        </w:tc>
        <w:tc>
          <w:tcPr>
            <w:tcW w:w="1220" w:type="dxa"/>
            <w:tcBorders>
              <w:top w:val="nil"/>
              <w:left w:val="nil"/>
              <w:bottom w:val="single" w:color="auto" w:sz="4" w:space="0"/>
              <w:right w:val="single" w:color="auto" w:sz="4" w:space="0"/>
            </w:tcBorders>
            <w:vAlign w:val="center"/>
          </w:tcPr>
          <w:p w14:paraId="6B6616FD">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Y＜300</w:t>
            </w:r>
          </w:p>
        </w:tc>
      </w:tr>
      <w:tr w14:paraId="7509A85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2CEDA6FA">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建筑业</w:t>
            </w:r>
          </w:p>
        </w:tc>
        <w:tc>
          <w:tcPr>
            <w:tcW w:w="1701" w:type="dxa"/>
            <w:tcBorders>
              <w:top w:val="nil"/>
              <w:left w:val="nil"/>
              <w:bottom w:val="single" w:color="auto" w:sz="4" w:space="0"/>
              <w:right w:val="single" w:color="auto" w:sz="4" w:space="0"/>
            </w:tcBorders>
            <w:vAlign w:val="center"/>
          </w:tcPr>
          <w:p w14:paraId="573C0D1B">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646EF92B">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5233358D">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6000≤Y＜80000</w:t>
            </w:r>
          </w:p>
        </w:tc>
        <w:tc>
          <w:tcPr>
            <w:tcW w:w="1720" w:type="dxa"/>
            <w:tcBorders>
              <w:top w:val="nil"/>
              <w:left w:val="nil"/>
              <w:bottom w:val="single" w:color="auto" w:sz="4" w:space="0"/>
              <w:right w:val="single" w:color="auto" w:sz="4" w:space="0"/>
            </w:tcBorders>
            <w:vAlign w:val="center"/>
          </w:tcPr>
          <w:p w14:paraId="30C081B8">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300≤Y＜6000</w:t>
            </w:r>
          </w:p>
        </w:tc>
        <w:tc>
          <w:tcPr>
            <w:tcW w:w="1220" w:type="dxa"/>
            <w:tcBorders>
              <w:top w:val="nil"/>
              <w:left w:val="nil"/>
              <w:bottom w:val="single" w:color="auto" w:sz="4" w:space="0"/>
              <w:right w:val="single" w:color="auto" w:sz="4" w:space="0"/>
            </w:tcBorders>
            <w:vAlign w:val="center"/>
          </w:tcPr>
          <w:p w14:paraId="47C6F927">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Y＜300</w:t>
            </w:r>
          </w:p>
        </w:tc>
      </w:tr>
      <w:tr w14:paraId="1A74474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CDBBDDF">
            <w:pPr>
              <w:widowControl/>
              <w:jc w:val="left"/>
              <w:rPr>
                <w:rFonts w:ascii="Arial" w:hAnsi="Arial" w:cs="Arial"/>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40564302">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资产总额（Z）</w:t>
            </w:r>
          </w:p>
        </w:tc>
        <w:tc>
          <w:tcPr>
            <w:tcW w:w="1134" w:type="dxa"/>
            <w:tcBorders>
              <w:top w:val="nil"/>
              <w:left w:val="nil"/>
              <w:bottom w:val="single" w:color="auto" w:sz="4" w:space="0"/>
              <w:right w:val="single" w:color="auto" w:sz="4" w:space="0"/>
            </w:tcBorders>
            <w:vAlign w:val="center"/>
          </w:tcPr>
          <w:p w14:paraId="02F4CA7C">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31CABFCD">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5000≤Z＜80000</w:t>
            </w:r>
          </w:p>
        </w:tc>
        <w:tc>
          <w:tcPr>
            <w:tcW w:w="1720" w:type="dxa"/>
            <w:tcBorders>
              <w:top w:val="nil"/>
              <w:left w:val="nil"/>
              <w:bottom w:val="single" w:color="auto" w:sz="4" w:space="0"/>
              <w:right w:val="single" w:color="auto" w:sz="4" w:space="0"/>
            </w:tcBorders>
            <w:vAlign w:val="center"/>
          </w:tcPr>
          <w:p w14:paraId="0B4071DF">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300≤Z＜5000</w:t>
            </w:r>
          </w:p>
        </w:tc>
        <w:tc>
          <w:tcPr>
            <w:tcW w:w="1220" w:type="dxa"/>
            <w:tcBorders>
              <w:top w:val="nil"/>
              <w:left w:val="nil"/>
              <w:bottom w:val="single" w:color="auto" w:sz="4" w:space="0"/>
              <w:right w:val="single" w:color="auto" w:sz="4" w:space="0"/>
            </w:tcBorders>
            <w:vAlign w:val="center"/>
          </w:tcPr>
          <w:p w14:paraId="0447141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Z＜300</w:t>
            </w:r>
          </w:p>
        </w:tc>
      </w:tr>
      <w:tr w14:paraId="124D275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FF121CC">
            <w:pPr>
              <w:widowControl/>
              <w:ind w:firstLine="315" w:firstLineChars="15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批发业</w:t>
            </w:r>
          </w:p>
        </w:tc>
        <w:tc>
          <w:tcPr>
            <w:tcW w:w="1701" w:type="dxa"/>
            <w:tcBorders>
              <w:top w:val="nil"/>
              <w:left w:val="nil"/>
              <w:bottom w:val="single" w:color="auto" w:sz="4" w:space="0"/>
              <w:right w:val="single" w:color="auto" w:sz="4" w:space="0"/>
            </w:tcBorders>
            <w:vAlign w:val="center"/>
          </w:tcPr>
          <w:p w14:paraId="4D030D32">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14FA2B85">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人</w:t>
            </w:r>
          </w:p>
        </w:tc>
        <w:tc>
          <w:tcPr>
            <w:tcW w:w="1976" w:type="dxa"/>
            <w:tcBorders>
              <w:top w:val="nil"/>
              <w:left w:val="nil"/>
              <w:bottom w:val="single" w:color="auto" w:sz="4" w:space="0"/>
              <w:right w:val="single" w:color="auto" w:sz="4" w:space="0"/>
            </w:tcBorders>
            <w:vAlign w:val="center"/>
          </w:tcPr>
          <w:p w14:paraId="070CED74">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20≤X＜200</w:t>
            </w:r>
          </w:p>
        </w:tc>
        <w:tc>
          <w:tcPr>
            <w:tcW w:w="1720" w:type="dxa"/>
            <w:tcBorders>
              <w:top w:val="nil"/>
              <w:left w:val="nil"/>
              <w:bottom w:val="single" w:color="auto" w:sz="4" w:space="0"/>
              <w:right w:val="single" w:color="auto" w:sz="4" w:space="0"/>
            </w:tcBorders>
            <w:vAlign w:val="center"/>
          </w:tcPr>
          <w:p w14:paraId="7ED3AE4C">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5≤X＜20</w:t>
            </w:r>
          </w:p>
        </w:tc>
        <w:tc>
          <w:tcPr>
            <w:tcW w:w="1220" w:type="dxa"/>
            <w:tcBorders>
              <w:top w:val="nil"/>
              <w:left w:val="nil"/>
              <w:bottom w:val="single" w:color="auto" w:sz="4" w:space="0"/>
              <w:right w:val="single" w:color="auto" w:sz="4" w:space="0"/>
            </w:tcBorders>
            <w:vAlign w:val="center"/>
          </w:tcPr>
          <w:p w14:paraId="180F482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X＜5</w:t>
            </w:r>
          </w:p>
        </w:tc>
      </w:tr>
      <w:tr w14:paraId="3F40DF46">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30DC2083">
            <w:pPr>
              <w:widowControl/>
              <w:jc w:val="left"/>
              <w:rPr>
                <w:rFonts w:ascii="Arial" w:hAnsi="Arial" w:cs="Arial"/>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584709BB">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4EBB370F">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179EAD1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5000≤Y＜40000</w:t>
            </w:r>
          </w:p>
        </w:tc>
        <w:tc>
          <w:tcPr>
            <w:tcW w:w="1720" w:type="dxa"/>
            <w:tcBorders>
              <w:top w:val="nil"/>
              <w:left w:val="nil"/>
              <w:bottom w:val="single" w:color="auto" w:sz="4" w:space="0"/>
              <w:right w:val="single" w:color="auto" w:sz="4" w:space="0"/>
            </w:tcBorders>
            <w:vAlign w:val="center"/>
          </w:tcPr>
          <w:p w14:paraId="5D5C822E">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1000≤Y＜5000</w:t>
            </w:r>
          </w:p>
        </w:tc>
        <w:tc>
          <w:tcPr>
            <w:tcW w:w="1220" w:type="dxa"/>
            <w:tcBorders>
              <w:top w:val="nil"/>
              <w:left w:val="nil"/>
              <w:bottom w:val="single" w:color="auto" w:sz="4" w:space="0"/>
              <w:right w:val="single" w:color="auto" w:sz="4" w:space="0"/>
            </w:tcBorders>
            <w:vAlign w:val="center"/>
          </w:tcPr>
          <w:p w14:paraId="7C056E85">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Y＜1000</w:t>
            </w:r>
          </w:p>
        </w:tc>
      </w:tr>
      <w:tr w14:paraId="768E5F82">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51FCE46">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零售业</w:t>
            </w:r>
          </w:p>
        </w:tc>
        <w:tc>
          <w:tcPr>
            <w:tcW w:w="1701" w:type="dxa"/>
            <w:tcBorders>
              <w:top w:val="nil"/>
              <w:left w:val="nil"/>
              <w:bottom w:val="single" w:color="auto" w:sz="4" w:space="0"/>
              <w:right w:val="single" w:color="auto" w:sz="4" w:space="0"/>
            </w:tcBorders>
            <w:vAlign w:val="center"/>
          </w:tcPr>
          <w:p w14:paraId="6CCF025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64E1840F">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人</w:t>
            </w:r>
          </w:p>
        </w:tc>
        <w:tc>
          <w:tcPr>
            <w:tcW w:w="1976" w:type="dxa"/>
            <w:tcBorders>
              <w:top w:val="nil"/>
              <w:left w:val="nil"/>
              <w:bottom w:val="single" w:color="auto" w:sz="4" w:space="0"/>
              <w:right w:val="single" w:color="auto" w:sz="4" w:space="0"/>
            </w:tcBorders>
            <w:vAlign w:val="center"/>
          </w:tcPr>
          <w:p w14:paraId="5E8C528D">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50≤X＜300</w:t>
            </w:r>
          </w:p>
        </w:tc>
        <w:tc>
          <w:tcPr>
            <w:tcW w:w="1720" w:type="dxa"/>
            <w:tcBorders>
              <w:top w:val="nil"/>
              <w:left w:val="nil"/>
              <w:bottom w:val="single" w:color="auto" w:sz="4" w:space="0"/>
              <w:right w:val="single" w:color="auto" w:sz="4" w:space="0"/>
            </w:tcBorders>
            <w:vAlign w:val="center"/>
          </w:tcPr>
          <w:p w14:paraId="077F9BE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10≤X＜50</w:t>
            </w:r>
          </w:p>
        </w:tc>
        <w:tc>
          <w:tcPr>
            <w:tcW w:w="1220" w:type="dxa"/>
            <w:tcBorders>
              <w:top w:val="nil"/>
              <w:left w:val="nil"/>
              <w:bottom w:val="single" w:color="auto" w:sz="4" w:space="0"/>
              <w:right w:val="single" w:color="auto" w:sz="4" w:space="0"/>
            </w:tcBorders>
            <w:vAlign w:val="center"/>
          </w:tcPr>
          <w:p w14:paraId="40BDFD24">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X＜10</w:t>
            </w:r>
          </w:p>
        </w:tc>
      </w:tr>
      <w:tr w14:paraId="4E5EB25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1667F71A">
            <w:pPr>
              <w:widowControl/>
              <w:jc w:val="left"/>
              <w:rPr>
                <w:rFonts w:ascii="Arial" w:hAnsi="Arial" w:cs="Arial"/>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2B2EE763">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55FDFBA4">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44691377">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500≤Y＜20000</w:t>
            </w:r>
          </w:p>
        </w:tc>
        <w:tc>
          <w:tcPr>
            <w:tcW w:w="1720" w:type="dxa"/>
            <w:tcBorders>
              <w:top w:val="nil"/>
              <w:left w:val="nil"/>
              <w:bottom w:val="single" w:color="auto" w:sz="4" w:space="0"/>
              <w:right w:val="single" w:color="auto" w:sz="4" w:space="0"/>
            </w:tcBorders>
            <w:vAlign w:val="center"/>
          </w:tcPr>
          <w:p w14:paraId="122B3F27">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100≤Y＜500</w:t>
            </w:r>
          </w:p>
        </w:tc>
        <w:tc>
          <w:tcPr>
            <w:tcW w:w="1220" w:type="dxa"/>
            <w:tcBorders>
              <w:top w:val="nil"/>
              <w:left w:val="nil"/>
              <w:bottom w:val="single" w:color="auto" w:sz="4" w:space="0"/>
              <w:right w:val="single" w:color="auto" w:sz="4" w:space="0"/>
            </w:tcBorders>
            <w:vAlign w:val="center"/>
          </w:tcPr>
          <w:p w14:paraId="1D4B41EE">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Y＜100</w:t>
            </w:r>
          </w:p>
        </w:tc>
      </w:tr>
      <w:tr w14:paraId="30C51226">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228BF596">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交通运输业</w:t>
            </w:r>
          </w:p>
        </w:tc>
        <w:tc>
          <w:tcPr>
            <w:tcW w:w="1701" w:type="dxa"/>
            <w:tcBorders>
              <w:top w:val="nil"/>
              <w:left w:val="nil"/>
              <w:bottom w:val="single" w:color="auto" w:sz="4" w:space="0"/>
              <w:right w:val="single" w:color="auto" w:sz="4" w:space="0"/>
            </w:tcBorders>
            <w:vAlign w:val="center"/>
          </w:tcPr>
          <w:p w14:paraId="4AE9426C">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5D61152A">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人</w:t>
            </w:r>
          </w:p>
        </w:tc>
        <w:tc>
          <w:tcPr>
            <w:tcW w:w="1976" w:type="dxa"/>
            <w:tcBorders>
              <w:top w:val="nil"/>
              <w:left w:val="nil"/>
              <w:bottom w:val="single" w:color="auto" w:sz="4" w:space="0"/>
              <w:right w:val="single" w:color="auto" w:sz="4" w:space="0"/>
            </w:tcBorders>
            <w:vAlign w:val="center"/>
          </w:tcPr>
          <w:p w14:paraId="471685C8">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300≤X＜1000</w:t>
            </w:r>
          </w:p>
        </w:tc>
        <w:tc>
          <w:tcPr>
            <w:tcW w:w="1720" w:type="dxa"/>
            <w:tcBorders>
              <w:top w:val="nil"/>
              <w:left w:val="nil"/>
              <w:bottom w:val="single" w:color="auto" w:sz="4" w:space="0"/>
              <w:right w:val="single" w:color="auto" w:sz="4" w:space="0"/>
            </w:tcBorders>
            <w:vAlign w:val="center"/>
          </w:tcPr>
          <w:p w14:paraId="3EC4155E">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20≤X＜300</w:t>
            </w:r>
          </w:p>
        </w:tc>
        <w:tc>
          <w:tcPr>
            <w:tcW w:w="1220" w:type="dxa"/>
            <w:tcBorders>
              <w:top w:val="nil"/>
              <w:left w:val="nil"/>
              <w:bottom w:val="single" w:color="auto" w:sz="4" w:space="0"/>
              <w:right w:val="single" w:color="auto" w:sz="4" w:space="0"/>
            </w:tcBorders>
            <w:vAlign w:val="center"/>
          </w:tcPr>
          <w:p w14:paraId="0F225EE8">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X＜20</w:t>
            </w:r>
          </w:p>
        </w:tc>
      </w:tr>
      <w:tr w14:paraId="56886D6C">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3179222E">
            <w:pPr>
              <w:widowControl/>
              <w:jc w:val="left"/>
              <w:rPr>
                <w:rFonts w:ascii="Arial" w:hAnsi="Arial" w:cs="Arial"/>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0026D651">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57B7F4D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2C0C3AE9">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3000≤Y＜30000</w:t>
            </w:r>
          </w:p>
        </w:tc>
        <w:tc>
          <w:tcPr>
            <w:tcW w:w="1720" w:type="dxa"/>
            <w:tcBorders>
              <w:top w:val="nil"/>
              <w:left w:val="nil"/>
              <w:bottom w:val="single" w:color="auto" w:sz="4" w:space="0"/>
              <w:right w:val="single" w:color="auto" w:sz="4" w:space="0"/>
            </w:tcBorders>
            <w:vAlign w:val="center"/>
          </w:tcPr>
          <w:p w14:paraId="6702805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200≤Y＜3000</w:t>
            </w:r>
          </w:p>
        </w:tc>
        <w:tc>
          <w:tcPr>
            <w:tcW w:w="1220" w:type="dxa"/>
            <w:tcBorders>
              <w:top w:val="nil"/>
              <w:left w:val="nil"/>
              <w:bottom w:val="single" w:color="auto" w:sz="4" w:space="0"/>
              <w:right w:val="single" w:color="auto" w:sz="4" w:space="0"/>
            </w:tcBorders>
            <w:vAlign w:val="center"/>
          </w:tcPr>
          <w:p w14:paraId="47EC40D7">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Y＜200</w:t>
            </w:r>
          </w:p>
        </w:tc>
      </w:tr>
      <w:tr w14:paraId="51FCA4F4">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BDB37B9">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仓储业</w:t>
            </w:r>
          </w:p>
        </w:tc>
        <w:tc>
          <w:tcPr>
            <w:tcW w:w="1701" w:type="dxa"/>
            <w:tcBorders>
              <w:top w:val="nil"/>
              <w:left w:val="nil"/>
              <w:bottom w:val="single" w:color="auto" w:sz="4" w:space="0"/>
              <w:right w:val="single" w:color="auto" w:sz="4" w:space="0"/>
            </w:tcBorders>
            <w:vAlign w:val="center"/>
          </w:tcPr>
          <w:p w14:paraId="735CFE84">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5473D9C8">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人</w:t>
            </w:r>
          </w:p>
        </w:tc>
        <w:tc>
          <w:tcPr>
            <w:tcW w:w="1976" w:type="dxa"/>
            <w:tcBorders>
              <w:top w:val="nil"/>
              <w:left w:val="nil"/>
              <w:bottom w:val="single" w:color="auto" w:sz="4" w:space="0"/>
              <w:right w:val="single" w:color="auto" w:sz="4" w:space="0"/>
            </w:tcBorders>
            <w:vAlign w:val="center"/>
          </w:tcPr>
          <w:p w14:paraId="16ACACEE">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100≤X＜200</w:t>
            </w:r>
          </w:p>
        </w:tc>
        <w:tc>
          <w:tcPr>
            <w:tcW w:w="1720" w:type="dxa"/>
            <w:tcBorders>
              <w:top w:val="nil"/>
              <w:left w:val="nil"/>
              <w:bottom w:val="single" w:color="auto" w:sz="4" w:space="0"/>
              <w:right w:val="single" w:color="auto" w:sz="4" w:space="0"/>
            </w:tcBorders>
            <w:vAlign w:val="center"/>
          </w:tcPr>
          <w:p w14:paraId="408433F5">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20≤X＜100</w:t>
            </w:r>
          </w:p>
        </w:tc>
        <w:tc>
          <w:tcPr>
            <w:tcW w:w="1220" w:type="dxa"/>
            <w:tcBorders>
              <w:top w:val="nil"/>
              <w:left w:val="nil"/>
              <w:bottom w:val="single" w:color="auto" w:sz="4" w:space="0"/>
              <w:right w:val="single" w:color="auto" w:sz="4" w:space="0"/>
            </w:tcBorders>
            <w:vAlign w:val="center"/>
          </w:tcPr>
          <w:p w14:paraId="68DFCD05">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X＜20</w:t>
            </w:r>
          </w:p>
        </w:tc>
      </w:tr>
      <w:tr w14:paraId="5D9868E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4E6AC840">
            <w:pPr>
              <w:widowControl/>
              <w:jc w:val="left"/>
              <w:rPr>
                <w:rFonts w:ascii="Arial" w:hAnsi="Arial" w:cs="Arial"/>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1874FF47">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7C47F05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3EAADA68">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1000≤Y＜30000</w:t>
            </w:r>
          </w:p>
        </w:tc>
        <w:tc>
          <w:tcPr>
            <w:tcW w:w="1720" w:type="dxa"/>
            <w:tcBorders>
              <w:top w:val="nil"/>
              <w:left w:val="nil"/>
              <w:bottom w:val="single" w:color="auto" w:sz="4" w:space="0"/>
              <w:right w:val="single" w:color="auto" w:sz="4" w:space="0"/>
            </w:tcBorders>
            <w:vAlign w:val="center"/>
          </w:tcPr>
          <w:p w14:paraId="6677AD5C">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100≤Y＜1000</w:t>
            </w:r>
          </w:p>
        </w:tc>
        <w:tc>
          <w:tcPr>
            <w:tcW w:w="1220" w:type="dxa"/>
            <w:tcBorders>
              <w:top w:val="nil"/>
              <w:left w:val="nil"/>
              <w:bottom w:val="single" w:color="auto" w:sz="4" w:space="0"/>
              <w:right w:val="single" w:color="auto" w:sz="4" w:space="0"/>
            </w:tcBorders>
            <w:vAlign w:val="center"/>
          </w:tcPr>
          <w:p w14:paraId="45BA02EC">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Y＜100</w:t>
            </w:r>
          </w:p>
        </w:tc>
      </w:tr>
      <w:tr w14:paraId="5C6FE1E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2D4B210">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邮政业</w:t>
            </w:r>
          </w:p>
        </w:tc>
        <w:tc>
          <w:tcPr>
            <w:tcW w:w="1701" w:type="dxa"/>
            <w:tcBorders>
              <w:top w:val="nil"/>
              <w:left w:val="nil"/>
              <w:bottom w:val="single" w:color="auto" w:sz="4" w:space="0"/>
              <w:right w:val="single" w:color="auto" w:sz="4" w:space="0"/>
            </w:tcBorders>
            <w:vAlign w:val="center"/>
          </w:tcPr>
          <w:p w14:paraId="103ED78F">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74906A33">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人</w:t>
            </w:r>
          </w:p>
        </w:tc>
        <w:tc>
          <w:tcPr>
            <w:tcW w:w="1976" w:type="dxa"/>
            <w:tcBorders>
              <w:top w:val="nil"/>
              <w:left w:val="nil"/>
              <w:bottom w:val="single" w:color="auto" w:sz="4" w:space="0"/>
              <w:right w:val="single" w:color="auto" w:sz="4" w:space="0"/>
            </w:tcBorders>
            <w:vAlign w:val="center"/>
          </w:tcPr>
          <w:p w14:paraId="2F8A629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300≤X＜1000</w:t>
            </w:r>
          </w:p>
        </w:tc>
        <w:tc>
          <w:tcPr>
            <w:tcW w:w="1720" w:type="dxa"/>
            <w:tcBorders>
              <w:top w:val="nil"/>
              <w:left w:val="nil"/>
              <w:bottom w:val="single" w:color="auto" w:sz="4" w:space="0"/>
              <w:right w:val="single" w:color="auto" w:sz="4" w:space="0"/>
            </w:tcBorders>
            <w:vAlign w:val="center"/>
          </w:tcPr>
          <w:p w14:paraId="44ECCFDB">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20≤X＜300</w:t>
            </w:r>
          </w:p>
        </w:tc>
        <w:tc>
          <w:tcPr>
            <w:tcW w:w="1220" w:type="dxa"/>
            <w:tcBorders>
              <w:top w:val="nil"/>
              <w:left w:val="nil"/>
              <w:bottom w:val="single" w:color="auto" w:sz="4" w:space="0"/>
              <w:right w:val="single" w:color="auto" w:sz="4" w:space="0"/>
            </w:tcBorders>
            <w:vAlign w:val="center"/>
          </w:tcPr>
          <w:p w14:paraId="53D1E3F2">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X＜20</w:t>
            </w:r>
          </w:p>
        </w:tc>
      </w:tr>
      <w:tr w14:paraId="005C76D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B7B26AC">
            <w:pPr>
              <w:widowControl/>
              <w:jc w:val="left"/>
              <w:rPr>
                <w:rFonts w:ascii="Arial" w:hAnsi="Arial" w:cs="Arial"/>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39AA3A7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1F6968D7">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147D29A0">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2000≤Y＜30000</w:t>
            </w:r>
          </w:p>
        </w:tc>
        <w:tc>
          <w:tcPr>
            <w:tcW w:w="1720" w:type="dxa"/>
            <w:tcBorders>
              <w:top w:val="nil"/>
              <w:left w:val="nil"/>
              <w:bottom w:val="single" w:color="auto" w:sz="4" w:space="0"/>
              <w:right w:val="single" w:color="auto" w:sz="4" w:space="0"/>
            </w:tcBorders>
            <w:vAlign w:val="center"/>
          </w:tcPr>
          <w:p w14:paraId="207983E3">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100≤Y＜2000</w:t>
            </w:r>
          </w:p>
        </w:tc>
        <w:tc>
          <w:tcPr>
            <w:tcW w:w="1220" w:type="dxa"/>
            <w:tcBorders>
              <w:top w:val="nil"/>
              <w:left w:val="nil"/>
              <w:bottom w:val="single" w:color="auto" w:sz="4" w:space="0"/>
              <w:right w:val="single" w:color="auto" w:sz="4" w:space="0"/>
            </w:tcBorders>
            <w:vAlign w:val="center"/>
          </w:tcPr>
          <w:p w14:paraId="0F9230E5">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Y＜100</w:t>
            </w:r>
          </w:p>
        </w:tc>
      </w:tr>
      <w:tr w14:paraId="175659E7">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1640C4F3">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住宿业</w:t>
            </w:r>
          </w:p>
        </w:tc>
        <w:tc>
          <w:tcPr>
            <w:tcW w:w="1701" w:type="dxa"/>
            <w:tcBorders>
              <w:top w:val="nil"/>
              <w:left w:val="nil"/>
              <w:bottom w:val="single" w:color="auto" w:sz="4" w:space="0"/>
              <w:right w:val="single" w:color="auto" w:sz="4" w:space="0"/>
            </w:tcBorders>
            <w:vAlign w:val="center"/>
          </w:tcPr>
          <w:p w14:paraId="29D4B4CC">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7425F9ED">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人</w:t>
            </w:r>
          </w:p>
        </w:tc>
        <w:tc>
          <w:tcPr>
            <w:tcW w:w="1976" w:type="dxa"/>
            <w:tcBorders>
              <w:top w:val="nil"/>
              <w:left w:val="nil"/>
              <w:bottom w:val="single" w:color="auto" w:sz="4" w:space="0"/>
              <w:right w:val="single" w:color="auto" w:sz="4" w:space="0"/>
            </w:tcBorders>
            <w:vAlign w:val="center"/>
          </w:tcPr>
          <w:p w14:paraId="7CF471E0">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100≤X＜300</w:t>
            </w:r>
          </w:p>
        </w:tc>
        <w:tc>
          <w:tcPr>
            <w:tcW w:w="1720" w:type="dxa"/>
            <w:tcBorders>
              <w:top w:val="nil"/>
              <w:left w:val="nil"/>
              <w:bottom w:val="single" w:color="auto" w:sz="4" w:space="0"/>
              <w:right w:val="single" w:color="auto" w:sz="4" w:space="0"/>
            </w:tcBorders>
            <w:vAlign w:val="center"/>
          </w:tcPr>
          <w:p w14:paraId="3FF5728B">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10≤X＜100</w:t>
            </w:r>
          </w:p>
        </w:tc>
        <w:tc>
          <w:tcPr>
            <w:tcW w:w="1220" w:type="dxa"/>
            <w:tcBorders>
              <w:top w:val="nil"/>
              <w:left w:val="nil"/>
              <w:bottom w:val="single" w:color="auto" w:sz="4" w:space="0"/>
              <w:right w:val="single" w:color="auto" w:sz="4" w:space="0"/>
            </w:tcBorders>
            <w:vAlign w:val="center"/>
          </w:tcPr>
          <w:p w14:paraId="53A74963">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X＜10</w:t>
            </w:r>
          </w:p>
        </w:tc>
      </w:tr>
      <w:tr w14:paraId="7A5D983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0969C2FB">
            <w:pPr>
              <w:widowControl/>
              <w:jc w:val="left"/>
              <w:rPr>
                <w:rFonts w:ascii="Arial" w:hAnsi="Arial" w:cs="Arial"/>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2ED79EF9">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037945E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4278113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2000≤Y＜10000</w:t>
            </w:r>
          </w:p>
        </w:tc>
        <w:tc>
          <w:tcPr>
            <w:tcW w:w="1720" w:type="dxa"/>
            <w:tcBorders>
              <w:top w:val="nil"/>
              <w:left w:val="nil"/>
              <w:bottom w:val="single" w:color="auto" w:sz="4" w:space="0"/>
              <w:right w:val="single" w:color="auto" w:sz="4" w:space="0"/>
            </w:tcBorders>
            <w:vAlign w:val="center"/>
          </w:tcPr>
          <w:p w14:paraId="01805B0A">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100≤Y＜2000</w:t>
            </w:r>
          </w:p>
        </w:tc>
        <w:tc>
          <w:tcPr>
            <w:tcW w:w="1220" w:type="dxa"/>
            <w:tcBorders>
              <w:top w:val="nil"/>
              <w:left w:val="nil"/>
              <w:bottom w:val="single" w:color="auto" w:sz="4" w:space="0"/>
              <w:right w:val="single" w:color="auto" w:sz="4" w:space="0"/>
            </w:tcBorders>
            <w:vAlign w:val="center"/>
          </w:tcPr>
          <w:p w14:paraId="416D6E74">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Y＜100</w:t>
            </w:r>
          </w:p>
        </w:tc>
      </w:tr>
      <w:tr w14:paraId="575048A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04DF8B57">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餐饮业</w:t>
            </w:r>
          </w:p>
        </w:tc>
        <w:tc>
          <w:tcPr>
            <w:tcW w:w="1701" w:type="dxa"/>
            <w:tcBorders>
              <w:top w:val="nil"/>
              <w:left w:val="nil"/>
              <w:bottom w:val="single" w:color="auto" w:sz="4" w:space="0"/>
              <w:right w:val="single" w:color="auto" w:sz="4" w:space="0"/>
            </w:tcBorders>
            <w:vAlign w:val="center"/>
          </w:tcPr>
          <w:p w14:paraId="7E3E995E">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5FA09448">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人</w:t>
            </w:r>
          </w:p>
        </w:tc>
        <w:tc>
          <w:tcPr>
            <w:tcW w:w="1976" w:type="dxa"/>
            <w:tcBorders>
              <w:top w:val="nil"/>
              <w:left w:val="nil"/>
              <w:bottom w:val="single" w:color="auto" w:sz="4" w:space="0"/>
              <w:right w:val="single" w:color="auto" w:sz="4" w:space="0"/>
            </w:tcBorders>
            <w:vAlign w:val="center"/>
          </w:tcPr>
          <w:p w14:paraId="74F0801F">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100≤X＜300</w:t>
            </w:r>
          </w:p>
        </w:tc>
        <w:tc>
          <w:tcPr>
            <w:tcW w:w="1720" w:type="dxa"/>
            <w:tcBorders>
              <w:top w:val="nil"/>
              <w:left w:val="nil"/>
              <w:bottom w:val="single" w:color="auto" w:sz="4" w:space="0"/>
              <w:right w:val="single" w:color="auto" w:sz="4" w:space="0"/>
            </w:tcBorders>
            <w:vAlign w:val="center"/>
          </w:tcPr>
          <w:p w14:paraId="481CA88C">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10≤X＜100</w:t>
            </w:r>
          </w:p>
        </w:tc>
        <w:tc>
          <w:tcPr>
            <w:tcW w:w="1220" w:type="dxa"/>
            <w:tcBorders>
              <w:top w:val="nil"/>
              <w:left w:val="nil"/>
              <w:bottom w:val="single" w:color="auto" w:sz="4" w:space="0"/>
              <w:right w:val="single" w:color="auto" w:sz="4" w:space="0"/>
            </w:tcBorders>
            <w:vAlign w:val="center"/>
          </w:tcPr>
          <w:p w14:paraId="040E6F5B">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X＜10</w:t>
            </w:r>
          </w:p>
        </w:tc>
      </w:tr>
      <w:tr w14:paraId="59780666">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06E6ACEF">
            <w:pPr>
              <w:widowControl/>
              <w:jc w:val="left"/>
              <w:rPr>
                <w:rFonts w:ascii="Arial" w:hAnsi="Arial" w:cs="Arial"/>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6091E195">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20AA3DBC">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4DB67BF4">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2000≤Y＜10000</w:t>
            </w:r>
          </w:p>
        </w:tc>
        <w:tc>
          <w:tcPr>
            <w:tcW w:w="1720" w:type="dxa"/>
            <w:tcBorders>
              <w:top w:val="nil"/>
              <w:left w:val="nil"/>
              <w:bottom w:val="single" w:color="auto" w:sz="4" w:space="0"/>
              <w:right w:val="single" w:color="auto" w:sz="4" w:space="0"/>
            </w:tcBorders>
            <w:vAlign w:val="center"/>
          </w:tcPr>
          <w:p w14:paraId="36ABCD84">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100≤Y＜2000</w:t>
            </w:r>
          </w:p>
        </w:tc>
        <w:tc>
          <w:tcPr>
            <w:tcW w:w="1220" w:type="dxa"/>
            <w:tcBorders>
              <w:top w:val="nil"/>
              <w:left w:val="nil"/>
              <w:bottom w:val="single" w:color="auto" w:sz="4" w:space="0"/>
              <w:right w:val="single" w:color="auto" w:sz="4" w:space="0"/>
            </w:tcBorders>
            <w:vAlign w:val="center"/>
          </w:tcPr>
          <w:p w14:paraId="367AB4F3">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Y＜100</w:t>
            </w:r>
          </w:p>
        </w:tc>
      </w:tr>
      <w:tr w14:paraId="322739B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4FF9CA05">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信息传输业</w:t>
            </w:r>
          </w:p>
        </w:tc>
        <w:tc>
          <w:tcPr>
            <w:tcW w:w="1701" w:type="dxa"/>
            <w:tcBorders>
              <w:top w:val="nil"/>
              <w:left w:val="nil"/>
              <w:bottom w:val="single" w:color="auto" w:sz="4" w:space="0"/>
              <w:right w:val="single" w:color="auto" w:sz="4" w:space="0"/>
            </w:tcBorders>
            <w:vAlign w:val="center"/>
          </w:tcPr>
          <w:p w14:paraId="1123BC21">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011159EF">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人</w:t>
            </w:r>
          </w:p>
        </w:tc>
        <w:tc>
          <w:tcPr>
            <w:tcW w:w="1976" w:type="dxa"/>
            <w:tcBorders>
              <w:top w:val="nil"/>
              <w:left w:val="nil"/>
              <w:bottom w:val="single" w:color="auto" w:sz="4" w:space="0"/>
              <w:right w:val="single" w:color="auto" w:sz="4" w:space="0"/>
            </w:tcBorders>
            <w:vAlign w:val="center"/>
          </w:tcPr>
          <w:p w14:paraId="13A954C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100≤X＜2000</w:t>
            </w:r>
          </w:p>
        </w:tc>
        <w:tc>
          <w:tcPr>
            <w:tcW w:w="1720" w:type="dxa"/>
            <w:tcBorders>
              <w:top w:val="nil"/>
              <w:left w:val="nil"/>
              <w:bottom w:val="single" w:color="auto" w:sz="4" w:space="0"/>
              <w:right w:val="single" w:color="auto" w:sz="4" w:space="0"/>
            </w:tcBorders>
            <w:vAlign w:val="center"/>
          </w:tcPr>
          <w:p w14:paraId="0D47B9E1">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10≤X＜100</w:t>
            </w:r>
          </w:p>
        </w:tc>
        <w:tc>
          <w:tcPr>
            <w:tcW w:w="1220" w:type="dxa"/>
            <w:tcBorders>
              <w:top w:val="nil"/>
              <w:left w:val="nil"/>
              <w:bottom w:val="single" w:color="auto" w:sz="4" w:space="0"/>
              <w:right w:val="single" w:color="auto" w:sz="4" w:space="0"/>
            </w:tcBorders>
            <w:vAlign w:val="center"/>
          </w:tcPr>
          <w:p w14:paraId="5E5556B8">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X＜10</w:t>
            </w:r>
          </w:p>
        </w:tc>
      </w:tr>
      <w:tr w14:paraId="051D5F9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145622E0">
            <w:pPr>
              <w:widowControl/>
              <w:jc w:val="left"/>
              <w:rPr>
                <w:rFonts w:ascii="Arial" w:hAnsi="Arial" w:cs="Arial"/>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41092B19">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4A96ABD9">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310E1B1F">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1000≤Y＜100000</w:t>
            </w:r>
          </w:p>
        </w:tc>
        <w:tc>
          <w:tcPr>
            <w:tcW w:w="1720" w:type="dxa"/>
            <w:tcBorders>
              <w:top w:val="nil"/>
              <w:left w:val="nil"/>
              <w:bottom w:val="single" w:color="auto" w:sz="4" w:space="0"/>
              <w:right w:val="single" w:color="auto" w:sz="4" w:space="0"/>
            </w:tcBorders>
            <w:vAlign w:val="center"/>
          </w:tcPr>
          <w:p w14:paraId="56C55178">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100≤Y＜1000</w:t>
            </w:r>
          </w:p>
        </w:tc>
        <w:tc>
          <w:tcPr>
            <w:tcW w:w="1220" w:type="dxa"/>
            <w:tcBorders>
              <w:top w:val="nil"/>
              <w:left w:val="nil"/>
              <w:bottom w:val="single" w:color="auto" w:sz="4" w:space="0"/>
              <w:right w:val="single" w:color="auto" w:sz="4" w:space="0"/>
            </w:tcBorders>
            <w:vAlign w:val="center"/>
          </w:tcPr>
          <w:p w14:paraId="392A7E9C">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Y＜100</w:t>
            </w:r>
          </w:p>
        </w:tc>
      </w:tr>
      <w:tr w14:paraId="71AA39FD">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8777711">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软件和信息技术服务业</w:t>
            </w:r>
          </w:p>
        </w:tc>
        <w:tc>
          <w:tcPr>
            <w:tcW w:w="1701" w:type="dxa"/>
            <w:tcBorders>
              <w:top w:val="nil"/>
              <w:left w:val="nil"/>
              <w:bottom w:val="single" w:color="auto" w:sz="4" w:space="0"/>
              <w:right w:val="single" w:color="auto" w:sz="4" w:space="0"/>
            </w:tcBorders>
            <w:vAlign w:val="center"/>
          </w:tcPr>
          <w:p w14:paraId="3BC58842">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7FC3B2DA">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人</w:t>
            </w:r>
          </w:p>
        </w:tc>
        <w:tc>
          <w:tcPr>
            <w:tcW w:w="1976" w:type="dxa"/>
            <w:tcBorders>
              <w:top w:val="nil"/>
              <w:left w:val="nil"/>
              <w:bottom w:val="single" w:color="auto" w:sz="4" w:space="0"/>
              <w:right w:val="single" w:color="auto" w:sz="4" w:space="0"/>
            </w:tcBorders>
            <w:vAlign w:val="center"/>
          </w:tcPr>
          <w:p w14:paraId="2F5085D9">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100≤X＜300</w:t>
            </w:r>
          </w:p>
        </w:tc>
        <w:tc>
          <w:tcPr>
            <w:tcW w:w="1720" w:type="dxa"/>
            <w:tcBorders>
              <w:top w:val="nil"/>
              <w:left w:val="nil"/>
              <w:bottom w:val="single" w:color="auto" w:sz="4" w:space="0"/>
              <w:right w:val="single" w:color="auto" w:sz="4" w:space="0"/>
            </w:tcBorders>
            <w:vAlign w:val="center"/>
          </w:tcPr>
          <w:p w14:paraId="6D1384D3">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10≤X＜100</w:t>
            </w:r>
          </w:p>
        </w:tc>
        <w:tc>
          <w:tcPr>
            <w:tcW w:w="1220" w:type="dxa"/>
            <w:tcBorders>
              <w:top w:val="nil"/>
              <w:left w:val="nil"/>
              <w:bottom w:val="single" w:color="auto" w:sz="4" w:space="0"/>
              <w:right w:val="single" w:color="auto" w:sz="4" w:space="0"/>
            </w:tcBorders>
            <w:vAlign w:val="center"/>
          </w:tcPr>
          <w:p w14:paraId="55ECDE5F">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X＜10</w:t>
            </w:r>
          </w:p>
        </w:tc>
      </w:tr>
      <w:tr w14:paraId="4976A52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5111805E">
            <w:pPr>
              <w:widowControl/>
              <w:jc w:val="left"/>
              <w:rPr>
                <w:rFonts w:ascii="Arial" w:hAnsi="Arial" w:cs="Arial"/>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52B6D9D3">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0E03CC7C">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14A57AD2">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1000≤Y＜10000</w:t>
            </w:r>
          </w:p>
        </w:tc>
        <w:tc>
          <w:tcPr>
            <w:tcW w:w="1720" w:type="dxa"/>
            <w:tcBorders>
              <w:top w:val="nil"/>
              <w:left w:val="nil"/>
              <w:bottom w:val="single" w:color="auto" w:sz="4" w:space="0"/>
              <w:right w:val="single" w:color="auto" w:sz="4" w:space="0"/>
            </w:tcBorders>
            <w:vAlign w:val="center"/>
          </w:tcPr>
          <w:p w14:paraId="169A2BED">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50≤Y＜1000</w:t>
            </w:r>
          </w:p>
        </w:tc>
        <w:tc>
          <w:tcPr>
            <w:tcW w:w="1220" w:type="dxa"/>
            <w:tcBorders>
              <w:top w:val="nil"/>
              <w:left w:val="nil"/>
              <w:bottom w:val="single" w:color="auto" w:sz="4" w:space="0"/>
              <w:right w:val="single" w:color="auto" w:sz="4" w:space="0"/>
            </w:tcBorders>
            <w:vAlign w:val="center"/>
          </w:tcPr>
          <w:p w14:paraId="3C28B8D2">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Y＜50</w:t>
            </w:r>
          </w:p>
        </w:tc>
      </w:tr>
      <w:tr w14:paraId="74DFB0E6">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35578863">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房地产开发经营</w:t>
            </w:r>
          </w:p>
        </w:tc>
        <w:tc>
          <w:tcPr>
            <w:tcW w:w="1701" w:type="dxa"/>
            <w:tcBorders>
              <w:top w:val="nil"/>
              <w:left w:val="nil"/>
              <w:bottom w:val="single" w:color="auto" w:sz="4" w:space="0"/>
              <w:right w:val="single" w:color="auto" w:sz="4" w:space="0"/>
            </w:tcBorders>
            <w:vAlign w:val="center"/>
          </w:tcPr>
          <w:p w14:paraId="367EBB18">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6FDF1927">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5711074B">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1000≤Y＜200000</w:t>
            </w:r>
          </w:p>
        </w:tc>
        <w:tc>
          <w:tcPr>
            <w:tcW w:w="1720" w:type="dxa"/>
            <w:tcBorders>
              <w:top w:val="nil"/>
              <w:left w:val="nil"/>
              <w:bottom w:val="single" w:color="auto" w:sz="4" w:space="0"/>
              <w:right w:val="single" w:color="auto" w:sz="4" w:space="0"/>
            </w:tcBorders>
            <w:vAlign w:val="center"/>
          </w:tcPr>
          <w:p w14:paraId="088B194D">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100≤X＜1000</w:t>
            </w:r>
          </w:p>
        </w:tc>
        <w:tc>
          <w:tcPr>
            <w:tcW w:w="1220" w:type="dxa"/>
            <w:tcBorders>
              <w:top w:val="nil"/>
              <w:left w:val="nil"/>
              <w:bottom w:val="single" w:color="auto" w:sz="4" w:space="0"/>
              <w:right w:val="single" w:color="auto" w:sz="4" w:space="0"/>
            </w:tcBorders>
            <w:vAlign w:val="center"/>
          </w:tcPr>
          <w:p w14:paraId="7442869E">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X＜100</w:t>
            </w:r>
          </w:p>
        </w:tc>
      </w:tr>
      <w:tr w14:paraId="231D675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1229F289">
            <w:pPr>
              <w:widowControl/>
              <w:jc w:val="left"/>
              <w:rPr>
                <w:rFonts w:ascii="Arial" w:hAnsi="Arial" w:cs="Arial"/>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62BEBCBE">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资产总额（Z）</w:t>
            </w:r>
          </w:p>
        </w:tc>
        <w:tc>
          <w:tcPr>
            <w:tcW w:w="1134" w:type="dxa"/>
            <w:tcBorders>
              <w:top w:val="nil"/>
              <w:left w:val="nil"/>
              <w:bottom w:val="single" w:color="auto" w:sz="4" w:space="0"/>
              <w:right w:val="single" w:color="auto" w:sz="4" w:space="0"/>
            </w:tcBorders>
            <w:vAlign w:val="center"/>
          </w:tcPr>
          <w:p w14:paraId="3DFF750D">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4685A753">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5000≤Z＜10000</w:t>
            </w:r>
          </w:p>
        </w:tc>
        <w:tc>
          <w:tcPr>
            <w:tcW w:w="1720" w:type="dxa"/>
            <w:tcBorders>
              <w:top w:val="nil"/>
              <w:left w:val="nil"/>
              <w:bottom w:val="single" w:color="auto" w:sz="4" w:space="0"/>
              <w:right w:val="single" w:color="auto" w:sz="4" w:space="0"/>
            </w:tcBorders>
            <w:vAlign w:val="center"/>
          </w:tcPr>
          <w:p w14:paraId="0060C8B1">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2000≤Y＜5000</w:t>
            </w:r>
          </w:p>
        </w:tc>
        <w:tc>
          <w:tcPr>
            <w:tcW w:w="1220" w:type="dxa"/>
            <w:tcBorders>
              <w:top w:val="nil"/>
              <w:left w:val="nil"/>
              <w:bottom w:val="single" w:color="auto" w:sz="4" w:space="0"/>
              <w:right w:val="single" w:color="auto" w:sz="4" w:space="0"/>
            </w:tcBorders>
            <w:vAlign w:val="center"/>
          </w:tcPr>
          <w:p w14:paraId="2BA14A84">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Y＜2000</w:t>
            </w:r>
          </w:p>
        </w:tc>
      </w:tr>
      <w:tr w14:paraId="21D028B8">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3E0963BE">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物业管理</w:t>
            </w:r>
          </w:p>
        </w:tc>
        <w:tc>
          <w:tcPr>
            <w:tcW w:w="1701" w:type="dxa"/>
            <w:tcBorders>
              <w:top w:val="nil"/>
              <w:left w:val="nil"/>
              <w:bottom w:val="single" w:color="auto" w:sz="4" w:space="0"/>
              <w:right w:val="single" w:color="auto" w:sz="4" w:space="0"/>
            </w:tcBorders>
            <w:vAlign w:val="center"/>
          </w:tcPr>
          <w:p w14:paraId="7BD3BF8E">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4BB233F5">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人</w:t>
            </w:r>
          </w:p>
        </w:tc>
        <w:tc>
          <w:tcPr>
            <w:tcW w:w="1976" w:type="dxa"/>
            <w:tcBorders>
              <w:top w:val="nil"/>
              <w:left w:val="nil"/>
              <w:bottom w:val="single" w:color="auto" w:sz="4" w:space="0"/>
              <w:right w:val="single" w:color="auto" w:sz="4" w:space="0"/>
            </w:tcBorders>
            <w:vAlign w:val="center"/>
          </w:tcPr>
          <w:p w14:paraId="0F1DE4A2">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300≤X＜1000</w:t>
            </w:r>
          </w:p>
        </w:tc>
        <w:tc>
          <w:tcPr>
            <w:tcW w:w="1720" w:type="dxa"/>
            <w:tcBorders>
              <w:top w:val="nil"/>
              <w:left w:val="nil"/>
              <w:bottom w:val="single" w:color="auto" w:sz="4" w:space="0"/>
              <w:right w:val="single" w:color="auto" w:sz="4" w:space="0"/>
            </w:tcBorders>
            <w:vAlign w:val="center"/>
          </w:tcPr>
          <w:p w14:paraId="1DF8B745">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100≤X＜300</w:t>
            </w:r>
          </w:p>
        </w:tc>
        <w:tc>
          <w:tcPr>
            <w:tcW w:w="1220" w:type="dxa"/>
            <w:tcBorders>
              <w:top w:val="nil"/>
              <w:left w:val="nil"/>
              <w:bottom w:val="single" w:color="auto" w:sz="4" w:space="0"/>
              <w:right w:val="single" w:color="auto" w:sz="4" w:space="0"/>
            </w:tcBorders>
            <w:vAlign w:val="center"/>
          </w:tcPr>
          <w:p w14:paraId="5F8D3460">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X＜100</w:t>
            </w:r>
          </w:p>
        </w:tc>
      </w:tr>
      <w:tr w14:paraId="7018BCF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A37E14A">
            <w:pPr>
              <w:widowControl/>
              <w:jc w:val="left"/>
              <w:rPr>
                <w:rFonts w:ascii="Arial" w:hAnsi="Arial" w:cs="Arial"/>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4D0DB433">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2A8C81B6">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33ECE033">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1000≤Y＜5000</w:t>
            </w:r>
          </w:p>
        </w:tc>
        <w:tc>
          <w:tcPr>
            <w:tcW w:w="1720" w:type="dxa"/>
            <w:tcBorders>
              <w:top w:val="nil"/>
              <w:left w:val="nil"/>
              <w:bottom w:val="single" w:color="auto" w:sz="4" w:space="0"/>
              <w:right w:val="single" w:color="auto" w:sz="4" w:space="0"/>
            </w:tcBorders>
            <w:vAlign w:val="center"/>
          </w:tcPr>
          <w:p w14:paraId="6E679FC0">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500≤Y＜1000</w:t>
            </w:r>
          </w:p>
        </w:tc>
        <w:tc>
          <w:tcPr>
            <w:tcW w:w="1220" w:type="dxa"/>
            <w:tcBorders>
              <w:top w:val="nil"/>
              <w:left w:val="nil"/>
              <w:bottom w:val="single" w:color="auto" w:sz="4" w:space="0"/>
              <w:right w:val="single" w:color="auto" w:sz="4" w:space="0"/>
            </w:tcBorders>
            <w:vAlign w:val="center"/>
          </w:tcPr>
          <w:p w14:paraId="1384C27A">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Y＜500</w:t>
            </w:r>
          </w:p>
        </w:tc>
      </w:tr>
      <w:tr w14:paraId="58B4B24D">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46242A87">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租赁和商务服务业</w:t>
            </w:r>
          </w:p>
        </w:tc>
        <w:tc>
          <w:tcPr>
            <w:tcW w:w="1701" w:type="dxa"/>
            <w:tcBorders>
              <w:top w:val="nil"/>
              <w:left w:val="nil"/>
              <w:bottom w:val="single" w:color="auto" w:sz="4" w:space="0"/>
              <w:right w:val="single" w:color="auto" w:sz="4" w:space="0"/>
            </w:tcBorders>
            <w:vAlign w:val="center"/>
          </w:tcPr>
          <w:p w14:paraId="4F9CD0C2">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74B840E2">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人</w:t>
            </w:r>
          </w:p>
        </w:tc>
        <w:tc>
          <w:tcPr>
            <w:tcW w:w="1976" w:type="dxa"/>
            <w:tcBorders>
              <w:top w:val="nil"/>
              <w:left w:val="nil"/>
              <w:bottom w:val="single" w:color="auto" w:sz="4" w:space="0"/>
              <w:right w:val="single" w:color="auto" w:sz="4" w:space="0"/>
            </w:tcBorders>
            <w:vAlign w:val="center"/>
          </w:tcPr>
          <w:p w14:paraId="17403FB7">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100≤X＜300</w:t>
            </w:r>
          </w:p>
        </w:tc>
        <w:tc>
          <w:tcPr>
            <w:tcW w:w="1720" w:type="dxa"/>
            <w:tcBorders>
              <w:top w:val="nil"/>
              <w:left w:val="nil"/>
              <w:bottom w:val="single" w:color="auto" w:sz="4" w:space="0"/>
              <w:right w:val="single" w:color="auto" w:sz="4" w:space="0"/>
            </w:tcBorders>
            <w:vAlign w:val="center"/>
          </w:tcPr>
          <w:p w14:paraId="1399C224">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10≤X＜100</w:t>
            </w:r>
          </w:p>
        </w:tc>
        <w:tc>
          <w:tcPr>
            <w:tcW w:w="1220" w:type="dxa"/>
            <w:tcBorders>
              <w:top w:val="nil"/>
              <w:left w:val="nil"/>
              <w:bottom w:val="single" w:color="auto" w:sz="4" w:space="0"/>
              <w:right w:val="single" w:color="auto" w:sz="4" w:space="0"/>
            </w:tcBorders>
            <w:vAlign w:val="center"/>
          </w:tcPr>
          <w:p w14:paraId="57356A4F">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X＜10</w:t>
            </w:r>
          </w:p>
        </w:tc>
      </w:tr>
      <w:tr w14:paraId="0F3E6FC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95A84AE">
            <w:pPr>
              <w:widowControl/>
              <w:jc w:val="left"/>
              <w:rPr>
                <w:rFonts w:ascii="Arial" w:hAnsi="Arial" w:cs="Arial"/>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6442B048">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资产总额（Z）</w:t>
            </w:r>
          </w:p>
        </w:tc>
        <w:tc>
          <w:tcPr>
            <w:tcW w:w="1134" w:type="dxa"/>
            <w:tcBorders>
              <w:top w:val="nil"/>
              <w:left w:val="nil"/>
              <w:bottom w:val="single" w:color="auto" w:sz="4" w:space="0"/>
              <w:right w:val="single" w:color="auto" w:sz="4" w:space="0"/>
            </w:tcBorders>
            <w:vAlign w:val="center"/>
          </w:tcPr>
          <w:p w14:paraId="158B166D">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万元</w:t>
            </w:r>
          </w:p>
        </w:tc>
        <w:tc>
          <w:tcPr>
            <w:tcW w:w="1976" w:type="dxa"/>
            <w:tcBorders>
              <w:top w:val="nil"/>
              <w:left w:val="nil"/>
              <w:bottom w:val="single" w:color="auto" w:sz="4" w:space="0"/>
              <w:right w:val="single" w:color="auto" w:sz="4" w:space="0"/>
            </w:tcBorders>
            <w:vAlign w:val="center"/>
          </w:tcPr>
          <w:p w14:paraId="69F5A4A1">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8000≤Z＜120000</w:t>
            </w:r>
          </w:p>
        </w:tc>
        <w:tc>
          <w:tcPr>
            <w:tcW w:w="1720" w:type="dxa"/>
            <w:tcBorders>
              <w:top w:val="nil"/>
              <w:left w:val="nil"/>
              <w:bottom w:val="single" w:color="auto" w:sz="4" w:space="0"/>
              <w:right w:val="single" w:color="auto" w:sz="4" w:space="0"/>
            </w:tcBorders>
            <w:vAlign w:val="center"/>
          </w:tcPr>
          <w:p w14:paraId="2C0F7F39">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100≤Z＜8000</w:t>
            </w:r>
          </w:p>
        </w:tc>
        <w:tc>
          <w:tcPr>
            <w:tcW w:w="1220" w:type="dxa"/>
            <w:tcBorders>
              <w:top w:val="nil"/>
              <w:left w:val="nil"/>
              <w:bottom w:val="single" w:color="auto" w:sz="4" w:space="0"/>
              <w:right w:val="single" w:color="auto" w:sz="4" w:space="0"/>
            </w:tcBorders>
            <w:vAlign w:val="center"/>
          </w:tcPr>
          <w:p w14:paraId="3F244A6D">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Y＜100</w:t>
            </w:r>
          </w:p>
        </w:tc>
      </w:tr>
      <w:tr w14:paraId="4D3EB243">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vAlign w:val="bottom"/>
          </w:tcPr>
          <w:p w14:paraId="014FCBED">
            <w:pPr>
              <w:widowControl/>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其他未列明行业</w:t>
            </w:r>
          </w:p>
        </w:tc>
        <w:tc>
          <w:tcPr>
            <w:tcW w:w="1701" w:type="dxa"/>
            <w:tcBorders>
              <w:top w:val="nil"/>
              <w:left w:val="nil"/>
              <w:bottom w:val="single" w:color="auto" w:sz="4" w:space="0"/>
              <w:right w:val="single" w:color="auto" w:sz="4" w:space="0"/>
            </w:tcBorders>
            <w:vAlign w:val="center"/>
          </w:tcPr>
          <w:p w14:paraId="088EBBC2">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0B7E7CD1">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人</w:t>
            </w:r>
          </w:p>
        </w:tc>
        <w:tc>
          <w:tcPr>
            <w:tcW w:w="1976" w:type="dxa"/>
            <w:tcBorders>
              <w:top w:val="nil"/>
              <w:left w:val="nil"/>
              <w:bottom w:val="single" w:color="auto" w:sz="4" w:space="0"/>
              <w:right w:val="single" w:color="auto" w:sz="4" w:space="0"/>
            </w:tcBorders>
            <w:vAlign w:val="center"/>
          </w:tcPr>
          <w:p w14:paraId="245B2B8E">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100≤X＜300</w:t>
            </w:r>
          </w:p>
        </w:tc>
        <w:tc>
          <w:tcPr>
            <w:tcW w:w="1720" w:type="dxa"/>
            <w:tcBorders>
              <w:top w:val="nil"/>
              <w:left w:val="nil"/>
              <w:bottom w:val="single" w:color="auto" w:sz="4" w:space="0"/>
              <w:right w:val="single" w:color="auto" w:sz="4" w:space="0"/>
            </w:tcBorders>
            <w:vAlign w:val="center"/>
          </w:tcPr>
          <w:p w14:paraId="6F02EBA3">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10≤X＜100</w:t>
            </w:r>
          </w:p>
        </w:tc>
        <w:tc>
          <w:tcPr>
            <w:tcW w:w="1220" w:type="dxa"/>
            <w:tcBorders>
              <w:top w:val="nil"/>
              <w:left w:val="nil"/>
              <w:bottom w:val="single" w:color="auto" w:sz="4" w:space="0"/>
              <w:right w:val="single" w:color="auto" w:sz="4" w:space="0"/>
            </w:tcBorders>
            <w:vAlign w:val="center"/>
          </w:tcPr>
          <w:p w14:paraId="14683922">
            <w:pPr>
              <w:widowControl/>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X＜10</w:t>
            </w:r>
          </w:p>
        </w:tc>
      </w:tr>
    </w:tbl>
    <w:p w14:paraId="38422743">
      <w:pPr>
        <w:spacing w:line="360" w:lineRule="auto"/>
        <w:ind w:firstLine="525" w:firstLineChars="25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说明：上述标准参照《关于印发中小企业划型标准规定的通知》（工信部联企业[2011]300号），大型、中型和小型企业须同时满足所列指标的下限，否则下划一档；微型企业只须满足所列指标中的一项即可。</w:t>
      </w:r>
    </w:p>
    <w:p w14:paraId="1EC122A6">
      <w:pPr>
        <w:spacing w:line="360" w:lineRule="auto"/>
        <w:rPr>
          <w:rFonts w:ascii="Arial" w:hAnsi="Arial" w:cs="Arial"/>
          <w:color w:val="000000" w:themeColor="text1"/>
          <w:sz w:val="28"/>
          <w:szCs w:val="28"/>
          <w14:textFill>
            <w14:solidFill>
              <w14:schemeClr w14:val="tx1"/>
            </w14:solidFill>
          </w14:textFill>
        </w:rPr>
      </w:pPr>
      <w:r>
        <w:rPr>
          <w:rFonts w:ascii="Arial" w:hAnsi="Arial" w:cs="Arial"/>
          <w:color w:val="000000" w:themeColor="text1"/>
          <w:szCs w:val="21"/>
          <w14:textFill>
            <w14:solidFill>
              <w14:schemeClr w14:val="tx1"/>
            </w14:solidFill>
          </w14:textFill>
        </w:rPr>
        <w:br w:type="page"/>
      </w:r>
      <w:bookmarkStart w:id="95" w:name="_Hlk132788258"/>
      <w:r>
        <w:rPr>
          <w:rFonts w:ascii="Arial" w:hAnsi="Arial" w:cs="Arial"/>
          <w:color w:val="000000" w:themeColor="text1"/>
          <w:sz w:val="28"/>
          <w:szCs w:val="28"/>
          <w14:textFill>
            <w14:solidFill>
              <w14:schemeClr w14:val="tx1"/>
            </w14:solidFill>
          </w14:textFill>
        </w:rPr>
        <w:t>附：</w:t>
      </w:r>
    </w:p>
    <w:p w14:paraId="2DF051A4">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position w:val="-335"/>
          <w:sz w:val="20"/>
          <w:szCs w:val="20"/>
          <w14:textFill>
            <w14:solidFill>
              <w14:schemeClr w14:val="tx1"/>
            </w14:solidFill>
          </w14:textFill>
        </w:rPr>
        <w:drawing>
          <wp:inline distT="0" distB="0" distL="114300" distR="114300">
            <wp:extent cx="5302885" cy="7731760"/>
            <wp:effectExtent l="0" t="0" r="12065" b="254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20"/>
                    <a:stretch>
                      <a:fillRect/>
                    </a:stretch>
                  </pic:blipFill>
                  <pic:spPr>
                    <a:xfrm>
                      <a:off x="0" y="0"/>
                      <a:ext cx="5302885" cy="7731760"/>
                    </a:xfrm>
                    <a:prstGeom prst="rect">
                      <a:avLst/>
                    </a:prstGeom>
                    <a:noFill/>
                    <a:ln>
                      <a:noFill/>
                    </a:ln>
                  </pic:spPr>
                </pic:pic>
              </a:graphicData>
            </a:graphic>
          </wp:inline>
        </w:drawing>
      </w:r>
    </w:p>
    <w:bookmarkEnd w:id="95"/>
    <w:p w14:paraId="429A9D59">
      <w:pPr>
        <w:rPr>
          <w:rFonts w:ascii="Arial" w:hAnsi="Arial" w:cs="Arial"/>
          <w:color w:val="000000" w:themeColor="text1"/>
          <w14:textFill>
            <w14:solidFill>
              <w14:schemeClr w14:val="tx1"/>
            </w14:solidFill>
          </w14:textFill>
        </w:rPr>
      </w:pPr>
    </w:p>
    <w:p w14:paraId="5BC3C49C">
      <w:pPr>
        <w:spacing w:before="120" w:line="320" w:lineRule="atLeast"/>
        <w:rPr>
          <w:rFonts w:ascii="Arial" w:hAnsi="Arial" w:cs="Arial"/>
          <w:bCs/>
          <w:color w:val="000000" w:themeColor="text1"/>
          <w:szCs w:val="21"/>
          <w14:textFill>
            <w14:solidFill>
              <w14:schemeClr w14:val="tx1"/>
            </w14:solidFill>
          </w14:textFill>
        </w:rPr>
      </w:pPr>
    </w:p>
    <w:bookmarkEnd w:id="78"/>
    <w:p w14:paraId="1F58CAF4">
      <w:pPr>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br w:type="page"/>
      </w:r>
    </w:p>
    <w:p w14:paraId="155E845C">
      <w:pPr>
        <w:spacing w:line="528" w:lineRule="exact"/>
        <w:ind w:firstLine="280" w:firstLineChars="100"/>
        <w:jc w:val="center"/>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t>节能产品政府采购品目清单</w:t>
      </w:r>
    </w:p>
    <w:p w14:paraId="524CDBDB">
      <w:pPr>
        <w:spacing w:line="151" w:lineRule="exact"/>
      </w:pPr>
    </w:p>
    <w:tbl>
      <w:tblPr>
        <w:tblStyle w:val="258"/>
        <w:tblW w:w="9737" w:type="dxa"/>
        <w:tblInd w:w="-47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7"/>
        <w:gridCol w:w="1050"/>
        <w:gridCol w:w="1786"/>
        <w:gridCol w:w="1691"/>
        <w:gridCol w:w="4623"/>
      </w:tblGrid>
      <w:tr w14:paraId="3CA8C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587" w:type="dxa"/>
            <w:vAlign w:val="top"/>
          </w:tcPr>
          <w:p w14:paraId="0A315357">
            <w:pPr>
              <w:pStyle w:val="257"/>
              <w:spacing w:before="128" w:line="224" w:lineRule="auto"/>
              <w:ind w:left="91"/>
              <w:jc w:val="center"/>
              <w:rPr>
                <w:rFonts w:hint="default" w:ascii="Arial" w:hAnsi="Arial" w:eastAsia="宋体" w:cs="Arial"/>
                <w:sz w:val="21"/>
                <w:szCs w:val="21"/>
              </w:rPr>
            </w:pPr>
            <w:r>
              <w:rPr>
                <w:rFonts w:hint="default" w:ascii="Arial" w:hAnsi="Arial" w:eastAsia="宋体" w:cs="Arial"/>
                <w:b/>
                <w:bCs/>
                <w:spacing w:val="-9"/>
                <w:sz w:val="21"/>
                <w:szCs w:val="21"/>
              </w:rPr>
              <w:t>品目</w:t>
            </w:r>
          </w:p>
          <w:p w14:paraId="598A6C7F">
            <w:pPr>
              <w:pStyle w:val="257"/>
              <w:spacing w:before="45" w:line="222" w:lineRule="auto"/>
              <w:ind w:left="72"/>
              <w:jc w:val="center"/>
              <w:rPr>
                <w:rFonts w:hint="default" w:ascii="Arial" w:hAnsi="Arial" w:eastAsia="宋体" w:cs="Arial"/>
                <w:sz w:val="21"/>
                <w:szCs w:val="21"/>
              </w:rPr>
            </w:pPr>
            <w:r>
              <w:rPr>
                <w:rFonts w:hint="default" w:ascii="Arial" w:hAnsi="Arial" w:eastAsia="宋体" w:cs="Arial"/>
                <w:b/>
                <w:bCs/>
                <w:spacing w:val="-4"/>
                <w:sz w:val="21"/>
                <w:szCs w:val="21"/>
              </w:rPr>
              <w:t>序号</w:t>
            </w:r>
          </w:p>
        </w:tc>
        <w:tc>
          <w:tcPr>
            <w:tcW w:w="4527" w:type="dxa"/>
            <w:gridSpan w:val="3"/>
            <w:vAlign w:val="top"/>
          </w:tcPr>
          <w:p w14:paraId="66D4BAAC">
            <w:pPr>
              <w:pStyle w:val="257"/>
              <w:spacing w:before="285" w:line="223" w:lineRule="auto"/>
              <w:ind w:left="2226"/>
              <w:rPr>
                <w:rFonts w:hint="default" w:ascii="Arial" w:hAnsi="Arial" w:eastAsia="宋体" w:cs="Arial"/>
                <w:sz w:val="21"/>
                <w:szCs w:val="21"/>
              </w:rPr>
            </w:pPr>
            <w:r>
              <w:rPr>
                <w:rFonts w:hint="default" w:ascii="Arial" w:hAnsi="Arial" w:eastAsia="宋体" w:cs="Arial"/>
                <w:b/>
                <w:bCs/>
                <w:spacing w:val="-5"/>
                <w:sz w:val="21"/>
                <w:szCs w:val="21"/>
              </w:rPr>
              <w:t>名称</w:t>
            </w:r>
          </w:p>
        </w:tc>
        <w:tc>
          <w:tcPr>
            <w:tcW w:w="4623" w:type="dxa"/>
            <w:vAlign w:val="top"/>
          </w:tcPr>
          <w:p w14:paraId="3A2744A3">
            <w:pPr>
              <w:pStyle w:val="257"/>
              <w:spacing w:before="285" w:line="220" w:lineRule="auto"/>
              <w:ind w:left="939"/>
              <w:rPr>
                <w:rFonts w:hint="default" w:ascii="Arial" w:hAnsi="Arial" w:eastAsia="宋体" w:cs="Arial"/>
                <w:sz w:val="21"/>
                <w:szCs w:val="21"/>
              </w:rPr>
            </w:pPr>
            <w:r>
              <w:rPr>
                <w:rFonts w:hint="default" w:ascii="Arial" w:hAnsi="Arial" w:eastAsia="宋体" w:cs="Arial"/>
                <w:b/>
                <w:bCs/>
                <w:spacing w:val="-4"/>
                <w:sz w:val="21"/>
                <w:szCs w:val="21"/>
              </w:rPr>
              <w:t>依据的标准</w:t>
            </w:r>
          </w:p>
        </w:tc>
      </w:tr>
      <w:tr w14:paraId="690AD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587" w:type="dxa"/>
            <w:vMerge w:val="restart"/>
            <w:tcBorders>
              <w:bottom w:val="nil"/>
            </w:tcBorders>
            <w:vAlign w:val="top"/>
          </w:tcPr>
          <w:p w14:paraId="1228478B">
            <w:pPr>
              <w:spacing w:line="246" w:lineRule="auto"/>
              <w:rPr>
                <w:rFonts w:hint="default" w:ascii="Arial" w:hAnsi="Arial" w:eastAsia="宋体" w:cs="Arial"/>
                <w:sz w:val="21"/>
                <w:szCs w:val="21"/>
              </w:rPr>
            </w:pPr>
          </w:p>
          <w:p w14:paraId="07C59DD1">
            <w:pPr>
              <w:spacing w:line="247" w:lineRule="auto"/>
              <w:rPr>
                <w:rFonts w:hint="default" w:ascii="Arial" w:hAnsi="Arial" w:eastAsia="宋体" w:cs="Arial"/>
                <w:sz w:val="21"/>
                <w:szCs w:val="21"/>
              </w:rPr>
            </w:pPr>
          </w:p>
          <w:p w14:paraId="3A849AFF">
            <w:pPr>
              <w:spacing w:line="247" w:lineRule="auto"/>
              <w:rPr>
                <w:rFonts w:hint="default" w:ascii="Arial" w:hAnsi="Arial" w:eastAsia="宋体" w:cs="Arial"/>
                <w:sz w:val="21"/>
                <w:szCs w:val="21"/>
              </w:rPr>
            </w:pPr>
          </w:p>
          <w:p w14:paraId="29D73DF7">
            <w:pPr>
              <w:spacing w:line="247" w:lineRule="auto"/>
              <w:rPr>
                <w:rFonts w:hint="default" w:ascii="Arial" w:hAnsi="Arial" w:eastAsia="宋体" w:cs="Arial"/>
                <w:sz w:val="21"/>
                <w:szCs w:val="21"/>
              </w:rPr>
            </w:pPr>
          </w:p>
          <w:p w14:paraId="1C83C889">
            <w:pPr>
              <w:pStyle w:val="257"/>
              <w:spacing w:before="62" w:line="258" w:lineRule="exact"/>
              <w:ind w:left="257"/>
              <w:rPr>
                <w:rFonts w:hint="default" w:ascii="Arial" w:hAnsi="Arial" w:eastAsia="宋体" w:cs="Arial"/>
                <w:sz w:val="21"/>
                <w:szCs w:val="21"/>
              </w:rPr>
            </w:pPr>
            <w:r>
              <w:rPr>
                <w:rFonts w:hint="default" w:ascii="Arial" w:hAnsi="Arial" w:eastAsia="宋体" w:cs="Arial"/>
                <w:position w:val="1"/>
                <w:sz w:val="21"/>
                <w:szCs w:val="21"/>
              </w:rPr>
              <w:t>1</w:t>
            </w:r>
          </w:p>
        </w:tc>
        <w:tc>
          <w:tcPr>
            <w:tcW w:w="1050" w:type="dxa"/>
            <w:vMerge w:val="restart"/>
            <w:tcBorders>
              <w:bottom w:val="nil"/>
            </w:tcBorders>
            <w:vAlign w:val="top"/>
          </w:tcPr>
          <w:p w14:paraId="4C2387A2">
            <w:pPr>
              <w:spacing w:line="277" w:lineRule="auto"/>
              <w:rPr>
                <w:rFonts w:hint="default" w:ascii="Arial" w:hAnsi="Arial" w:eastAsia="宋体" w:cs="Arial"/>
                <w:sz w:val="21"/>
                <w:szCs w:val="21"/>
              </w:rPr>
            </w:pPr>
          </w:p>
          <w:p w14:paraId="6CE6E9A5">
            <w:pPr>
              <w:spacing w:line="277" w:lineRule="auto"/>
              <w:rPr>
                <w:rFonts w:hint="default" w:ascii="Arial" w:hAnsi="Arial" w:eastAsia="宋体" w:cs="Arial"/>
                <w:sz w:val="21"/>
                <w:szCs w:val="21"/>
              </w:rPr>
            </w:pPr>
          </w:p>
          <w:p w14:paraId="5F3A6CB2">
            <w:pPr>
              <w:spacing w:line="278" w:lineRule="auto"/>
              <w:rPr>
                <w:rFonts w:hint="default" w:ascii="Arial" w:hAnsi="Arial" w:eastAsia="宋体" w:cs="Arial"/>
                <w:sz w:val="21"/>
                <w:szCs w:val="21"/>
              </w:rPr>
            </w:pPr>
          </w:p>
          <w:p w14:paraId="561B9496">
            <w:pPr>
              <w:pStyle w:val="257"/>
              <w:spacing w:before="62" w:line="304" w:lineRule="auto"/>
              <w:ind w:left="14" w:right="8" w:hanging="5"/>
              <w:rPr>
                <w:rFonts w:hint="default" w:ascii="Arial" w:hAnsi="Arial" w:eastAsia="宋体" w:cs="Arial"/>
                <w:sz w:val="21"/>
                <w:szCs w:val="21"/>
              </w:rPr>
            </w:pPr>
            <w:r>
              <w:rPr>
                <w:rFonts w:hint="default" w:ascii="Arial" w:hAnsi="Arial" w:eastAsia="宋体" w:cs="Arial"/>
                <w:spacing w:val="5"/>
                <w:sz w:val="21"/>
                <w:szCs w:val="21"/>
              </w:rPr>
              <w:t>A020101</w:t>
            </w:r>
            <w:r>
              <w:rPr>
                <w:rFonts w:hint="default" w:ascii="Arial" w:hAnsi="Arial" w:eastAsia="宋体" w:cs="Arial"/>
                <w:spacing w:val="-43"/>
                <w:sz w:val="21"/>
                <w:szCs w:val="21"/>
              </w:rPr>
              <w:t xml:space="preserve"> </w:t>
            </w:r>
            <w:r>
              <w:rPr>
                <w:rFonts w:hint="default" w:ascii="Arial" w:hAnsi="Arial" w:eastAsia="宋体" w:cs="Arial"/>
                <w:spacing w:val="5"/>
                <w:sz w:val="21"/>
                <w:szCs w:val="21"/>
              </w:rPr>
              <w:t>计算</w:t>
            </w:r>
            <w:r>
              <w:rPr>
                <w:rFonts w:hint="default" w:ascii="Arial" w:hAnsi="Arial" w:eastAsia="宋体" w:cs="Arial"/>
                <w:sz w:val="21"/>
                <w:szCs w:val="21"/>
              </w:rPr>
              <w:t xml:space="preserve"> </w:t>
            </w:r>
            <w:r>
              <w:rPr>
                <w:rFonts w:hint="default" w:ascii="Arial" w:hAnsi="Arial" w:eastAsia="宋体" w:cs="Arial"/>
                <w:spacing w:val="6"/>
                <w:sz w:val="21"/>
                <w:szCs w:val="21"/>
              </w:rPr>
              <w:t>机设备</w:t>
            </w:r>
          </w:p>
        </w:tc>
        <w:tc>
          <w:tcPr>
            <w:tcW w:w="1786" w:type="dxa"/>
            <w:vAlign w:val="top"/>
          </w:tcPr>
          <w:p w14:paraId="4ABE0E89">
            <w:pPr>
              <w:pStyle w:val="257"/>
              <w:spacing w:before="155" w:line="304" w:lineRule="auto"/>
              <w:ind w:left="17" w:right="10" w:firstLine="1"/>
              <w:rPr>
                <w:rFonts w:hint="default" w:ascii="Arial" w:hAnsi="Arial" w:eastAsia="宋体" w:cs="Arial"/>
                <w:sz w:val="21"/>
                <w:szCs w:val="21"/>
              </w:rPr>
            </w:pPr>
            <w:r>
              <w:rPr>
                <w:rFonts w:hint="default" w:ascii="Arial" w:hAnsi="Arial" w:eastAsia="宋体" w:cs="Arial"/>
                <w:spacing w:val="3"/>
                <w:sz w:val="21"/>
                <w:szCs w:val="21"/>
              </w:rPr>
              <w:t>★A02010104 台式计</w:t>
            </w:r>
            <w:r>
              <w:rPr>
                <w:rFonts w:hint="default" w:ascii="Arial" w:hAnsi="Arial" w:eastAsia="宋体" w:cs="Arial"/>
                <w:spacing w:val="12"/>
                <w:sz w:val="21"/>
                <w:szCs w:val="21"/>
              </w:rPr>
              <w:t xml:space="preserve"> </w:t>
            </w:r>
            <w:r>
              <w:rPr>
                <w:rFonts w:hint="default" w:ascii="Arial" w:hAnsi="Arial" w:eastAsia="宋体" w:cs="Arial"/>
                <w:spacing w:val="4"/>
                <w:sz w:val="21"/>
                <w:szCs w:val="21"/>
              </w:rPr>
              <w:t>算机</w:t>
            </w:r>
          </w:p>
        </w:tc>
        <w:tc>
          <w:tcPr>
            <w:tcW w:w="1691" w:type="dxa"/>
            <w:vAlign w:val="top"/>
          </w:tcPr>
          <w:p w14:paraId="22F9EE17">
            <w:pPr>
              <w:rPr>
                <w:rFonts w:hint="default" w:ascii="Arial" w:hAnsi="Arial" w:eastAsia="宋体" w:cs="Arial"/>
                <w:sz w:val="21"/>
                <w:szCs w:val="21"/>
              </w:rPr>
            </w:pPr>
          </w:p>
        </w:tc>
        <w:tc>
          <w:tcPr>
            <w:tcW w:w="4623" w:type="dxa"/>
            <w:vAlign w:val="top"/>
          </w:tcPr>
          <w:p w14:paraId="184594AE">
            <w:pPr>
              <w:pStyle w:val="257"/>
              <w:spacing w:before="156" w:line="304" w:lineRule="auto"/>
              <w:ind w:left="19" w:right="11" w:firstLine="3"/>
              <w:rPr>
                <w:rFonts w:hint="default" w:ascii="Arial" w:hAnsi="Arial" w:eastAsia="宋体" w:cs="Arial"/>
                <w:sz w:val="21"/>
                <w:szCs w:val="21"/>
              </w:rPr>
            </w:pPr>
            <w:r>
              <w:rPr>
                <w:rFonts w:hint="default" w:ascii="Arial" w:hAnsi="Arial" w:eastAsia="宋体" w:cs="Arial"/>
                <w:spacing w:val="19"/>
                <w:sz w:val="21"/>
                <w:szCs w:val="21"/>
              </w:rPr>
              <w:t>《微型计算机能效限定值及能效</w:t>
            </w:r>
            <w:r>
              <w:rPr>
                <w:rFonts w:hint="default" w:ascii="Arial" w:hAnsi="Arial" w:eastAsia="宋体" w:cs="Arial"/>
                <w:spacing w:val="2"/>
                <w:sz w:val="21"/>
                <w:szCs w:val="21"/>
              </w:rPr>
              <w:t xml:space="preserve"> </w:t>
            </w:r>
            <w:r>
              <w:rPr>
                <w:rFonts w:hint="default" w:ascii="Arial" w:hAnsi="Arial" w:eastAsia="宋体" w:cs="Arial"/>
                <w:spacing w:val="6"/>
                <w:sz w:val="21"/>
                <w:szCs w:val="21"/>
              </w:rPr>
              <w:t>等级》（</w:t>
            </w:r>
            <w:r>
              <w:rPr>
                <w:rFonts w:hint="default" w:ascii="Arial" w:hAnsi="Arial" w:eastAsia="宋体" w:cs="Arial"/>
                <w:sz w:val="21"/>
                <w:szCs w:val="21"/>
              </w:rPr>
              <w:t>GB</w:t>
            </w:r>
            <w:r>
              <w:rPr>
                <w:rFonts w:hint="default" w:ascii="Arial" w:hAnsi="Arial" w:eastAsia="宋体" w:cs="Arial"/>
                <w:spacing w:val="6"/>
                <w:sz w:val="21"/>
                <w:szCs w:val="21"/>
              </w:rPr>
              <w:t xml:space="preserve"> 28380）</w:t>
            </w:r>
          </w:p>
        </w:tc>
      </w:tr>
      <w:tr w14:paraId="3F33F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trPr>
        <w:tc>
          <w:tcPr>
            <w:tcW w:w="587" w:type="dxa"/>
            <w:vMerge w:val="continue"/>
            <w:tcBorders>
              <w:top w:val="nil"/>
              <w:bottom w:val="nil"/>
            </w:tcBorders>
            <w:vAlign w:val="top"/>
          </w:tcPr>
          <w:p w14:paraId="0625F8B3">
            <w:pPr>
              <w:rPr>
                <w:rFonts w:hint="default" w:ascii="Arial" w:hAnsi="Arial" w:eastAsia="宋体" w:cs="Arial"/>
                <w:sz w:val="21"/>
                <w:szCs w:val="21"/>
              </w:rPr>
            </w:pPr>
          </w:p>
        </w:tc>
        <w:tc>
          <w:tcPr>
            <w:tcW w:w="1050" w:type="dxa"/>
            <w:vMerge w:val="continue"/>
            <w:tcBorders>
              <w:top w:val="nil"/>
              <w:bottom w:val="nil"/>
            </w:tcBorders>
            <w:vAlign w:val="top"/>
          </w:tcPr>
          <w:p w14:paraId="40B80048">
            <w:pPr>
              <w:rPr>
                <w:rFonts w:hint="default" w:ascii="Arial" w:hAnsi="Arial" w:eastAsia="宋体" w:cs="Arial"/>
                <w:sz w:val="21"/>
                <w:szCs w:val="21"/>
              </w:rPr>
            </w:pPr>
          </w:p>
        </w:tc>
        <w:tc>
          <w:tcPr>
            <w:tcW w:w="1786" w:type="dxa"/>
            <w:vAlign w:val="top"/>
          </w:tcPr>
          <w:p w14:paraId="6B92F9DE">
            <w:pPr>
              <w:pStyle w:val="257"/>
              <w:spacing w:before="108" w:line="293" w:lineRule="auto"/>
              <w:ind w:left="15" w:right="10" w:firstLine="3"/>
              <w:rPr>
                <w:rFonts w:hint="default" w:ascii="Arial" w:hAnsi="Arial" w:eastAsia="宋体" w:cs="Arial"/>
                <w:sz w:val="21"/>
                <w:szCs w:val="21"/>
              </w:rPr>
            </w:pPr>
            <w:r>
              <w:rPr>
                <w:rFonts w:hint="default" w:ascii="Arial" w:hAnsi="Arial" w:eastAsia="宋体" w:cs="Arial"/>
                <w:spacing w:val="3"/>
                <w:sz w:val="21"/>
                <w:szCs w:val="21"/>
              </w:rPr>
              <w:t>★A02010105 便携式</w:t>
            </w:r>
            <w:r>
              <w:rPr>
                <w:rFonts w:hint="default" w:ascii="Arial" w:hAnsi="Arial" w:eastAsia="宋体" w:cs="Arial"/>
                <w:spacing w:val="12"/>
                <w:sz w:val="21"/>
                <w:szCs w:val="21"/>
              </w:rPr>
              <w:t xml:space="preserve"> </w:t>
            </w:r>
            <w:r>
              <w:rPr>
                <w:rFonts w:hint="default" w:ascii="Arial" w:hAnsi="Arial" w:eastAsia="宋体" w:cs="Arial"/>
                <w:spacing w:val="6"/>
                <w:sz w:val="21"/>
                <w:szCs w:val="21"/>
              </w:rPr>
              <w:t>计算机</w:t>
            </w:r>
          </w:p>
        </w:tc>
        <w:tc>
          <w:tcPr>
            <w:tcW w:w="1691" w:type="dxa"/>
            <w:vAlign w:val="top"/>
          </w:tcPr>
          <w:p w14:paraId="14E453B6">
            <w:pPr>
              <w:rPr>
                <w:rFonts w:hint="default" w:ascii="Arial" w:hAnsi="Arial" w:eastAsia="宋体" w:cs="Arial"/>
                <w:sz w:val="21"/>
                <w:szCs w:val="21"/>
              </w:rPr>
            </w:pPr>
          </w:p>
        </w:tc>
        <w:tc>
          <w:tcPr>
            <w:tcW w:w="4623" w:type="dxa"/>
            <w:vAlign w:val="top"/>
          </w:tcPr>
          <w:p w14:paraId="194ACF51">
            <w:pPr>
              <w:pStyle w:val="257"/>
              <w:spacing w:before="108" w:line="293" w:lineRule="auto"/>
              <w:ind w:left="19" w:right="11" w:firstLine="3"/>
              <w:rPr>
                <w:rFonts w:hint="default" w:ascii="Arial" w:hAnsi="Arial" w:eastAsia="宋体" w:cs="Arial"/>
                <w:sz w:val="21"/>
                <w:szCs w:val="21"/>
              </w:rPr>
            </w:pPr>
            <w:r>
              <w:rPr>
                <w:rFonts w:hint="default" w:ascii="Arial" w:hAnsi="Arial" w:eastAsia="宋体" w:cs="Arial"/>
                <w:spacing w:val="19"/>
                <w:sz w:val="21"/>
                <w:szCs w:val="21"/>
              </w:rPr>
              <w:t>《微型计算机能效限定值及能效</w:t>
            </w:r>
            <w:r>
              <w:rPr>
                <w:rFonts w:hint="default" w:ascii="Arial" w:hAnsi="Arial" w:eastAsia="宋体" w:cs="Arial"/>
                <w:spacing w:val="2"/>
                <w:sz w:val="21"/>
                <w:szCs w:val="21"/>
              </w:rPr>
              <w:t xml:space="preserve"> </w:t>
            </w:r>
            <w:r>
              <w:rPr>
                <w:rFonts w:hint="default" w:ascii="Arial" w:hAnsi="Arial" w:eastAsia="宋体" w:cs="Arial"/>
                <w:spacing w:val="6"/>
                <w:sz w:val="21"/>
                <w:szCs w:val="21"/>
              </w:rPr>
              <w:t>等级》（</w:t>
            </w:r>
            <w:r>
              <w:rPr>
                <w:rFonts w:hint="default" w:ascii="Arial" w:hAnsi="Arial" w:eastAsia="宋体" w:cs="Arial"/>
                <w:sz w:val="21"/>
                <w:szCs w:val="21"/>
              </w:rPr>
              <w:t>GB</w:t>
            </w:r>
            <w:r>
              <w:rPr>
                <w:rFonts w:hint="default" w:ascii="Arial" w:hAnsi="Arial" w:eastAsia="宋体" w:cs="Arial"/>
                <w:spacing w:val="6"/>
                <w:sz w:val="21"/>
                <w:szCs w:val="21"/>
              </w:rPr>
              <w:t xml:space="preserve"> 28380）</w:t>
            </w:r>
          </w:p>
        </w:tc>
      </w:tr>
      <w:tr w14:paraId="5F48FD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587" w:type="dxa"/>
            <w:vMerge w:val="continue"/>
            <w:tcBorders>
              <w:top w:val="nil"/>
            </w:tcBorders>
            <w:vAlign w:val="top"/>
          </w:tcPr>
          <w:p w14:paraId="5AD3B477">
            <w:pPr>
              <w:rPr>
                <w:rFonts w:hint="default" w:ascii="Arial" w:hAnsi="Arial" w:eastAsia="宋体" w:cs="Arial"/>
                <w:sz w:val="21"/>
                <w:szCs w:val="21"/>
              </w:rPr>
            </w:pPr>
          </w:p>
        </w:tc>
        <w:tc>
          <w:tcPr>
            <w:tcW w:w="1050" w:type="dxa"/>
            <w:vMerge w:val="continue"/>
            <w:tcBorders>
              <w:top w:val="nil"/>
            </w:tcBorders>
            <w:vAlign w:val="top"/>
          </w:tcPr>
          <w:p w14:paraId="0C5EF5BF">
            <w:pPr>
              <w:rPr>
                <w:rFonts w:hint="default" w:ascii="Arial" w:hAnsi="Arial" w:eastAsia="宋体" w:cs="Arial"/>
                <w:sz w:val="21"/>
                <w:szCs w:val="21"/>
              </w:rPr>
            </w:pPr>
          </w:p>
        </w:tc>
        <w:tc>
          <w:tcPr>
            <w:tcW w:w="1786" w:type="dxa"/>
            <w:vAlign w:val="top"/>
          </w:tcPr>
          <w:p w14:paraId="0E8D6FD6">
            <w:pPr>
              <w:pStyle w:val="257"/>
              <w:spacing w:before="128" w:line="301" w:lineRule="auto"/>
              <w:ind w:left="15" w:right="10" w:firstLine="3"/>
              <w:rPr>
                <w:rFonts w:hint="default" w:ascii="Arial" w:hAnsi="Arial" w:eastAsia="宋体" w:cs="Arial"/>
                <w:sz w:val="21"/>
                <w:szCs w:val="21"/>
              </w:rPr>
            </w:pPr>
            <w:r>
              <w:rPr>
                <w:rFonts w:hint="default" w:ascii="Arial" w:hAnsi="Arial" w:eastAsia="宋体" w:cs="Arial"/>
                <w:spacing w:val="3"/>
                <w:sz w:val="21"/>
                <w:szCs w:val="21"/>
              </w:rPr>
              <w:t>★A02010107 平板式</w:t>
            </w:r>
            <w:r>
              <w:rPr>
                <w:rFonts w:hint="default" w:ascii="Arial" w:hAnsi="Arial" w:eastAsia="宋体" w:cs="Arial"/>
                <w:spacing w:val="12"/>
                <w:sz w:val="21"/>
                <w:szCs w:val="21"/>
              </w:rPr>
              <w:t xml:space="preserve"> </w:t>
            </w:r>
            <w:r>
              <w:rPr>
                <w:rFonts w:hint="default" w:ascii="Arial" w:hAnsi="Arial" w:eastAsia="宋体" w:cs="Arial"/>
                <w:spacing w:val="8"/>
                <w:sz w:val="21"/>
                <w:szCs w:val="21"/>
              </w:rPr>
              <w:t>微型计算机</w:t>
            </w:r>
          </w:p>
        </w:tc>
        <w:tc>
          <w:tcPr>
            <w:tcW w:w="1691" w:type="dxa"/>
            <w:vAlign w:val="top"/>
          </w:tcPr>
          <w:p w14:paraId="1D7B8C81">
            <w:pPr>
              <w:rPr>
                <w:rFonts w:hint="default" w:ascii="Arial" w:hAnsi="Arial" w:eastAsia="宋体" w:cs="Arial"/>
                <w:sz w:val="21"/>
                <w:szCs w:val="21"/>
              </w:rPr>
            </w:pPr>
          </w:p>
        </w:tc>
        <w:tc>
          <w:tcPr>
            <w:tcW w:w="4623" w:type="dxa"/>
            <w:vAlign w:val="top"/>
          </w:tcPr>
          <w:p w14:paraId="7C74F5E3">
            <w:pPr>
              <w:pStyle w:val="257"/>
              <w:spacing w:before="128" w:line="301" w:lineRule="auto"/>
              <w:ind w:left="19" w:right="11" w:firstLine="3"/>
              <w:rPr>
                <w:rFonts w:hint="default" w:ascii="Arial" w:hAnsi="Arial" w:eastAsia="宋体" w:cs="Arial"/>
                <w:sz w:val="21"/>
                <w:szCs w:val="21"/>
              </w:rPr>
            </w:pPr>
            <w:r>
              <w:rPr>
                <w:rFonts w:hint="default" w:ascii="Arial" w:hAnsi="Arial" w:eastAsia="宋体" w:cs="Arial"/>
                <w:spacing w:val="19"/>
                <w:sz w:val="21"/>
                <w:szCs w:val="21"/>
              </w:rPr>
              <w:t>《微型计算机能效限定值及能效</w:t>
            </w:r>
            <w:r>
              <w:rPr>
                <w:rFonts w:hint="default" w:ascii="Arial" w:hAnsi="Arial" w:eastAsia="宋体" w:cs="Arial"/>
                <w:spacing w:val="2"/>
                <w:sz w:val="21"/>
                <w:szCs w:val="21"/>
              </w:rPr>
              <w:t xml:space="preserve"> </w:t>
            </w:r>
            <w:r>
              <w:rPr>
                <w:rFonts w:hint="default" w:ascii="Arial" w:hAnsi="Arial" w:eastAsia="宋体" w:cs="Arial"/>
                <w:spacing w:val="6"/>
                <w:sz w:val="21"/>
                <w:szCs w:val="21"/>
              </w:rPr>
              <w:t>等级》（</w:t>
            </w:r>
            <w:r>
              <w:rPr>
                <w:rFonts w:hint="default" w:ascii="Arial" w:hAnsi="Arial" w:eastAsia="宋体" w:cs="Arial"/>
                <w:sz w:val="21"/>
                <w:szCs w:val="21"/>
              </w:rPr>
              <w:t>GB</w:t>
            </w:r>
            <w:r>
              <w:rPr>
                <w:rFonts w:hint="default" w:ascii="Arial" w:hAnsi="Arial" w:eastAsia="宋体" w:cs="Arial"/>
                <w:spacing w:val="6"/>
                <w:sz w:val="21"/>
                <w:szCs w:val="21"/>
              </w:rPr>
              <w:t xml:space="preserve"> 28380）</w:t>
            </w:r>
          </w:p>
        </w:tc>
      </w:tr>
      <w:tr w14:paraId="53F2F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87" w:type="dxa"/>
            <w:vMerge w:val="restart"/>
            <w:tcBorders>
              <w:bottom w:val="nil"/>
            </w:tcBorders>
            <w:vAlign w:val="top"/>
          </w:tcPr>
          <w:p w14:paraId="42DEF06C">
            <w:pPr>
              <w:spacing w:line="250" w:lineRule="auto"/>
              <w:rPr>
                <w:rFonts w:hint="default" w:ascii="Arial" w:hAnsi="Arial" w:eastAsia="宋体" w:cs="Arial"/>
                <w:sz w:val="21"/>
                <w:szCs w:val="21"/>
              </w:rPr>
            </w:pPr>
          </w:p>
          <w:p w14:paraId="2DF3F2B3">
            <w:pPr>
              <w:spacing w:line="251" w:lineRule="auto"/>
              <w:rPr>
                <w:rFonts w:hint="default" w:ascii="Arial" w:hAnsi="Arial" w:eastAsia="宋体" w:cs="Arial"/>
                <w:sz w:val="21"/>
                <w:szCs w:val="21"/>
              </w:rPr>
            </w:pPr>
          </w:p>
          <w:p w14:paraId="13EAE6DA">
            <w:pPr>
              <w:spacing w:line="251" w:lineRule="auto"/>
              <w:rPr>
                <w:rFonts w:hint="default" w:ascii="Arial" w:hAnsi="Arial" w:eastAsia="宋体" w:cs="Arial"/>
                <w:sz w:val="21"/>
                <w:szCs w:val="21"/>
              </w:rPr>
            </w:pPr>
          </w:p>
          <w:p w14:paraId="4DBFEF75">
            <w:pPr>
              <w:spacing w:line="251" w:lineRule="auto"/>
              <w:rPr>
                <w:rFonts w:hint="default" w:ascii="Arial" w:hAnsi="Arial" w:eastAsia="宋体" w:cs="Arial"/>
                <w:sz w:val="21"/>
                <w:szCs w:val="21"/>
              </w:rPr>
            </w:pPr>
          </w:p>
          <w:p w14:paraId="6709EF03">
            <w:pPr>
              <w:spacing w:line="251" w:lineRule="auto"/>
              <w:rPr>
                <w:rFonts w:hint="default" w:ascii="Arial" w:hAnsi="Arial" w:eastAsia="宋体" w:cs="Arial"/>
                <w:sz w:val="21"/>
                <w:szCs w:val="21"/>
              </w:rPr>
            </w:pPr>
          </w:p>
          <w:p w14:paraId="66613EC7">
            <w:pPr>
              <w:spacing w:line="251" w:lineRule="auto"/>
              <w:rPr>
                <w:rFonts w:hint="default" w:ascii="Arial" w:hAnsi="Arial" w:eastAsia="宋体" w:cs="Arial"/>
                <w:sz w:val="21"/>
                <w:szCs w:val="21"/>
              </w:rPr>
            </w:pPr>
          </w:p>
          <w:p w14:paraId="4946EADF">
            <w:pPr>
              <w:spacing w:line="251" w:lineRule="auto"/>
              <w:rPr>
                <w:rFonts w:hint="default" w:ascii="Arial" w:hAnsi="Arial" w:eastAsia="宋体" w:cs="Arial"/>
                <w:sz w:val="21"/>
                <w:szCs w:val="21"/>
              </w:rPr>
            </w:pPr>
          </w:p>
          <w:p w14:paraId="07C8A2A9">
            <w:pPr>
              <w:spacing w:line="251" w:lineRule="auto"/>
              <w:rPr>
                <w:rFonts w:hint="default" w:ascii="Arial" w:hAnsi="Arial" w:eastAsia="宋体" w:cs="Arial"/>
                <w:sz w:val="21"/>
                <w:szCs w:val="21"/>
              </w:rPr>
            </w:pPr>
          </w:p>
          <w:p w14:paraId="554BC166">
            <w:pPr>
              <w:pStyle w:val="257"/>
              <w:spacing w:before="61" w:line="258" w:lineRule="exact"/>
              <w:ind w:left="245"/>
              <w:rPr>
                <w:rFonts w:hint="default" w:ascii="Arial" w:hAnsi="Arial" w:eastAsia="宋体" w:cs="Arial"/>
                <w:sz w:val="21"/>
                <w:szCs w:val="21"/>
              </w:rPr>
            </w:pPr>
            <w:r>
              <w:rPr>
                <w:rFonts w:hint="default" w:ascii="Arial" w:hAnsi="Arial" w:eastAsia="宋体" w:cs="Arial"/>
                <w:position w:val="1"/>
                <w:sz w:val="21"/>
                <w:szCs w:val="21"/>
              </w:rPr>
              <w:t>2</w:t>
            </w:r>
          </w:p>
        </w:tc>
        <w:tc>
          <w:tcPr>
            <w:tcW w:w="1050" w:type="dxa"/>
            <w:vMerge w:val="restart"/>
            <w:tcBorders>
              <w:bottom w:val="nil"/>
            </w:tcBorders>
            <w:vAlign w:val="top"/>
          </w:tcPr>
          <w:p w14:paraId="57CB3C0F">
            <w:pPr>
              <w:spacing w:line="264" w:lineRule="auto"/>
              <w:rPr>
                <w:rFonts w:hint="default" w:ascii="Arial" w:hAnsi="Arial" w:eastAsia="宋体" w:cs="Arial"/>
                <w:sz w:val="21"/>
                <w:szCs w:val="21"/>
              </w:rPr>
            </w:pPr>
          </w:p>
          <w:p w14:paraId="3F33C448">
            <w:pPr>
              <w:spacing w:line="264" w:lineRule="auto"/>
              <w:rPr>
                <w:rFonts w:hint="default" w:ascii="Arial" w:hAnsi="Arial" w:eastAsia="宋体" w:cs="Arial"/>
                <w:sz w:val="21"/>
                <w:szCs w:val="21"/>
              </w:rPr>
            </w:pPr>
          </w:p>
          <w:p w14:paraId="6C6EE0C6">
            <w:pPr>
              <w:spacing w:line="264" w:lineRule="auto"/>
              <w:rPr>
                <w:rFonts w:hint="default" w:ascii="Arial" w:hAnsi="Arial" w:eastAsia="宋体" w:cs="Arial"/>
                <w:sz w:val="21"/>
                <w:szCs w:val="21"/>
              </w:rPr>
            </w:pPr>
          </w:p>
          <w:p w14:paraId="01ADF2A1">
            <w:pPr>
              <w:spacing w:line="265" w:lineRule="auto"/>
              <w:rPr>
                <w:rFonts w:hint="default" w:ascii="Arial" w:hAnsi="Arial" w:eastAsia="宋体" w:cs="Arial"/>
                <w:sz w:val="21"/>
                <w:szCs w:val="21"/>
              </w:rPr>
            </w:pPr>
          </w:p>
          <w:p w14:paraId="428C943E">
            <w:pPr>
              <w:spacing w:line="265" w:lineRule="auto"/>
              <w:rPr>
                <w:rFonts w:hint="default" w:ascii="Arial" w:hAnsi="Arial" w:eastAsia="宋体" w:cs="Arial"/>
                <w:sz w:val="21"/>
                <w:szCs w:val="21"/>
              </w:rPr>
            </w:pPr>
          </w:p>
          <w:p w14:paraId="03F5F8D9">
            <w:pPr>
              <w:spacing w:line="265" w:lineRule="auto"/>
              <w:rPr>
                <w:rFonts w:hint="default" w:ascii="Arial" w:hAnsi="Arial" w:eastAsia="宋体" w:cs="Arial"/>
                <w:sz w:val="21"/>
                <w:szCs w:val="21"/>
              </w:rPr>
            </w:pPr>
          </w:p>
          <w:p w14:paraId="66753446">
            <w:pPr>
              <w:spacing w:line="265" w:lineRule="auto"/>
              <w:rPr>
                <w:rFonts w:hint="default" w:ascii="Arial" w:hAnsi="Arial" w:eastAsia="宋体" w:cs="Arial"/>
                <w:sz w:val="21"/>
                <w:szCs w:val="21"/>
              </w:rPr>
            </w:pPr>
          </w:p>
          <w:p w14:paraId="5CDCB347">
            <w:pPr>
              <w:pStyle w:val="257"/>
              <w:spacing w:before="62" w:line="304" w:lineRule="auto"/>
              <w:ind w:left="14" w:right="8" w:hanging="5"/>
              <w:rPr>
                <w:rFonts w:hint="default" w:ascii="Arial" w:hAnsi="Arial" w:eastAsia="宋体" w:cs="Arial"/>
                <w:sz w:val="21"/>
                <w:szCs w:val="21"/>
              </w:rPr>
            </w:pPr>
            <w:r>
              <w:rPr>
                <w:rFonts w:hint="default" w:ascii="Arial" w:hAnsi="Arial" w:eastAsia="宋体" w:cs="Arial"/>
                <w:spacing w:val="5"/>
                <w:sz w:val="21"/>
                <w:szCs w:val="21"/>
              </w:rPr>
              <w:t>A020106</w:t>
            </w:r>
            <w:r>
              <w:rPr>
                <w:rFonts w:hint="default" w:ascii="Arial" w:hAnsi="Arial" w:eastAsia="宋体" w:cs="Arial"/>
                <w:spacing w:val="-43"/>
                <w:sz w:val="21"/>
                <w:szCs w:val="21"/>
              </w:rPr>
              <w:t xml:space="preserve"> </w:t>
            </w:r>
            <w:r>
              <w:rPr>
                <w:rFonts w:hint="default" w:ascii="Arial" w:hAnsi="Arial" w:eastAsia="宋体" w:cs="Arial"/>
                <w:spacing w:val="5"/>
                <w:sz w:val="21"/>
                <w:szCs w:val="21"/>
              </w:rPr>
              <w:t>输入</w:t>
            </w:r>
            <w:r>
              <w:rPr>
                <w:rFonts w:hint="default" w:ascii="Arial" w:hAnsi="Arial" w:eastAsia="宋体" w:cs="Arial"/>
                <w:sz w:val="21"/>
                <w:szCs w:val="21"/>
              </w:rPr>
              <w:t xml:space="preserve"> </w:t>
            </w:r>
            <w:r>
              <w:rPr>
                <w:rFonts w:hint="default" w:ascii="Arial" w:hAnsi="Arial" w:eastAsia="宋体" w:cs="Arial"/>
                <w:spacing w:val="7"/>
                <w:sz w:val="21"/>
                <w:szCs w:val="21"/>
              </w:rPr>
              <w:t>输出设备</w:t>
            </w:r>
          </w:p>
        </w:tc>
        <w:tc>
          <w:tcPr>
            <w:tcW w:w="1786" w:type="dxa"/>
            <w:vMerge w:val="restart"/>
            <w:tcBorders>
              <w:bottom w:val="nil"/>
            </w:tcBorders>
            <w:vAlign w:val="top"/>
          </w:tcPr>
          <w:p w14:paraId="6337D827">
            <w:pPr>
              <w:spacing w:line="315" w:lineRule="auto"/>
              <w:rPr>
                <w:rFonts w:hint="default" w:ascii="Arial" w:hAnsi="Arial" w:eastAsia="宋体" w:cs="Arial"/>
                <w:sz w:val="21"/>
                <w:szCs w:val="21"/>
              </w:rPr>
            </w:pPr>
          </w:p>
          <w:p w14:paraId="7A823806">
            <w:pPr>
              <w:spacing w:line="315" w:lineRule="auto"/>
              <w:rPr>
                <w:rFonts w:hint="default" w:ascii="Arial" w:hAnsi="Arial" w:eastAsia="宋体" w:cs="Arial"/>
                <w:sz w:val="21"/>
                <w:szCs w:val="21"/>
              </w:rPr>
            </w:pPr>
          </w:p>
          <w:p w14:paraId="3D3BFA49">
            <w:pPr>
              <w:spacing w:line="315" w:lineRule="auto"/>
              <w:rPr>
                <w:rFonts w:hint="default" w:ascii="Arial" w:hAnsi="Arial" w:eastAsia="宋体" w:cs="Arial"/>
                <w:sz w:val="21"/>
                <w:szCs w:val="21"/>
              </w:rPr>
            </w:pPr>
          </w:p>
          <w:p w14:paraId="25EE30A5">
            <w:pPr>
              <w:pStyle w:val="257"/>
              <w:spacing w:before="62" w:line="229" w:lineRule="auto"/>
              <w:ind w:left="9"/>
              <w:rPr>
                <w:rFonts w:hint="default" w:ascii="Arial" w:hAnsi="Arial" w:eastAsia="宋体" w:cs="Arial"/>
                <w:sz w:val="21"/>
                <w:szCs w:val="21"/>
              </w:rPr>
            </w:pPr>
            <w:r>
              <w:rPr>
                <w:rFonts w:hint="default" w:ascii="Arial" w:hAnsi="Arial" w:eastAsia="宋体" w:cs="Arial"/>
                <w:spacing w:val="5"/>
                <w:sz w:val="21"/>
                <w:szCs w:val="21"/>
              </w:rPr>
              <w:t>A02010601</w:t>
            </w:r>
            <w:r>
              <w:rPr>
                <w:rFonts w:hint="default" w:ascii="Arial" w:hAnsi="Arial" w:eastAsia="宋体" w:cs="Arial"/>
                <w:spacing w:val="-28"/>
                <w:sz w:val="21"/>
                <w:szCs w:val="21"/>
              </w:rPr>
              <w:t xml:space="preserve"> </w:t>
            </w:r>
            <w:r>
              <w:rPr>
                <w:rFonts w:hint="default" w:ascii="Arial" w:hAnsi="Arial" w:eastAsia="宋体" w:cs="Arial"/>
                <w:spacing w:val="5"/>
                <w:sz w:val="21"/>
                <w:szCs w:val="21"/>
              </w:rPr>
              <w:t>打印设备</w:t>
            </w:r>
          </w:p>
        </w:tc>
        <w:tc>
          <w:tcPr>
            <w:tcW w:w="1691" w:type="dxa"/>
            <w:vAlign w:val="top"/>
          </w:tcPr>
          <w:p w14:paraId="7F31F808">
            <w:pPr>
              <w:pStyle w:val="257"/>
              <w:spacing w:before="114" w:line="297" w:lineRule="auto"/>
              <w:ind w:left="31" w:right="8" w:hanging="21"/>
              <w:rPr>
                <w:rFonts w:hint="default" w:ascii="Arial" w:hAnsi="Arial" w:eastAsia="宋体" w:cs="Arial"/>
                <w:sz w:val="21"/>
                <w:szCs w:val="21"/>
              </w:rPr>
            </w:pPr>
            <w:r>
              <w:rPr>
                <w:rFonts w:hint="default" w:ascii="Arial" w:hAnsi="Arial" w:eastAsia="宋体" w:cs="Arial"/>
                <w:spacing w:val="3"/>
                <w:sz w:val="21"/>
                <w:szCs w:val="21"/>
              </w:rPr>
              <w:t>A0201060101</w:t>
            </w:r>
            <w:r>
              <w:rPr>
                <w:rFonts w:hint="default" w:ascii="Arial" w:hAnsi="Arial" w:eastAsia="宋体" w:cs="Arial"/>
                <w:spacing w:val="50"/>
                <w:sz w:val="21"/>
                <w:szCs w:val="21"/>
              </w:rPr>
              <w:t xml:space="preserve"> </w:t>
            </w:r>
            <w:r>
              <w:rPr>
                <w:rFonts w:hint="default" w:ascii="Arial" w:hAnsi="Arial" w:eastAsia="宋体" w:cs="Arial"/>
                <w:spacing w:val="3"/>
                <w:sz w:val="21"/>
                <w:szCs w:val="21"/>
              </w:rPr>
              <w:t>喷</w:t>
            </w:r>
            <w:r>
              <w:rPr>
                <w:rFonts w:hint="default" w:ascii="Arial" w:hAnsi="Arial" w:eastAsia="宋体" w:cs="Arial"/>
                <w:spacing w:val="-51"/>
                <w:sz w:val="21"/>
                <w:szCs w:val="21"/>
              </w:rPr>
              <w:t xml:space="preserve"> </w:t>
            </w:r>
            <w:r>
              <w:rPr>
                <w:rFonts w:hint="default" w:ascii="Arial" w:hAnsi="Arial" w:eastAsia="宋体" w:cs="Arial"/>
                <w:spacing w:val="3"/>
                <w:sz w:val="21"/>
                <w:szCs w:val="21"/>
              </w:rPr>
              <w:t>墨</w:t>
            </w:r>
            <w:r>
              <w:rPr>
                <w:rFonts w:hint="default" w:ascii="Arial" w:hAnsi="Arial" w:eastAsia="宋体" w:cs="Arial"/>
                <w:spacing w:val="-53"/>
                <w:sz w:val="21"/>
                <w:szCs w:val="21"/>
              </w:rPr>
              <w:t xml:space="preserve"> </w:t>
            </w:r>
            <w:r>
              <w:rPr>
                <w:rFonts w:hint="default" w:ascii="Arial" w:hAnsi="Arial" w:eastAsia="宋体" w:cs="Arial"/>
                <w:spacing w:val="3"/>
                <w:sz w:val="21"/>
                <w:szCs w:val="21"/>
              </w:rPr>
              <w:t>打</w:t>
            </w:r>
            <w:r>
              <w:rPr>
                <w:rFonts w:hint="default" w:ascii="Arial" w:hAnsi="Arial" w:eastAsia="宋体" w:cs="Arial"/>
                <w:sz w:val="21"/>
                <w:szCs w:val="21"/>
              </w:rPr>
              <w:t xml:space="preserve"> </w:t>
            </w:r>
            <w:r>
              <w:rPr>
                <w:rFonts w:hint="default" w:ascii="Arial" w:hAnsi="Arial" w:eastAsia="宋体" w:cs="Arial"/>
                <w:spacing w:val="-2"/>
                <w:sz w:val="21"/>
                <w:szCs w:val="21"/>
              </w:rPr>
              <w:t>印机</w:t>
            </w:r>
          </w:p>
        </w:tc>
        <w:tc>
          <w:tcPr>
            <w:tcW w:w="4623" w:type="dxa"/>
            <w:vAlign w:val="top"/>
          </w:tcPr>
          <w:p w14:paraId="77135BFF">
            <w:pPr>
              <w:pStyle w:val="257"/>
              <w:spacing w:before="114" w:line="297" w:lineRule="auto"/>
              <w:ind w:left="22" w:right="13"/>
              <w:rPr>
                <w:rFonts w:hint="default" w:ascii="Arial" w:hAnsi="Arial" w:eastAsia="宋体" w:cs="Arial"/>
                <w:sz w:val="21"/>
                <w:szCs w:val="21"/>
              </w:rPr>
            </w:pPr>
            <w:r>
              <w:rPr>
                <w:rFonts w:hint="default" w:ascii="Arial" w:hAnsi="Arial" w:eastAsia="宋体" w:cs="Arial"/>
                <w:spacing w:val="5"/>
                <w:sz w:val="21"/>
                <w:szCs w:val="21"/>
              </w:rPr>
              <w:t>《复印机、打印机和传真机能效限</w:t>
            </w:r>
            <w:r>
              <w:rPr>
                <w:rFonts w:hint="default" w:ascii="Arial" w:hAnsi="Arial" w:eastAsia="宋体" w:cs="Arial"/>
                <w:sz w:val="21"/>
                <w:szCs w:val="21"/>
              </w:rPr>
              <w:t xml:space="preserve"> </w:t>
            </w:r>
            <w:r>
              <w:rPr>
                <w:rFonts w:hint="default" w:ascii="Arial" w:hAnsi="Arial" w:eastAsia="宋体" w:cs="Arial"/>
                <w:spacing w:val="7"/>
                <w:sz w:val="21"/>
                <w:szCs w:val="21"/>
              </w:rPr>
              <w:t>定值及能效等级》（</w:t>
            </w:r>
            <w:r>
              <w:rPr>
                <w:rFonts w:hint="default" w:ascii="Arial" w:hAnsi="Arial" w:eastAsia="宋体" w:cs="Arial"/>
                <w:sz w:val="21"/>
                <w:szCs w:val="21"/>
              </w:rPr>
              <w:t>GB</w:t>
            </w:r>
            <w:r>
              <w:rPr>
                <w:rFonts w:hint="default" w:ascii="Arial" w:hAnsi="Arial" w:eastAsia="宋体" w:cs="Arial"/>
                <w:spacing w:val="7"/>
                <w:sz w:val="21"/>
                <w:szCs w:val="21"/>
              </w:rPr>
              <w:t xml:space="preserve"> 21521）</w:t>
            </w:r>
          </w:p>
        </w:tc>
      </w:tr>
      <w:tr w14:paraId="161A8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87" w:type="dxa"/>
            <w:vMerge w:val="continue"/>
            <w:tcBorders>
              <w:top w:val="nil"/>
              <w:bottom w:val="nil"/>
            </w:tcBorders>
            <w:vAlign w:val="top"/>
          </w:tcPr>
          <w:p w14:paraId="113919B2">
            <w:pPr>
              <w:rPr>
                <w:rFonts w:hint="default" w:ascii="Arial" w:hAnsi="Arial" w:eastAsia="宋体" w:cs="Arial"/>
                <w:sz w:val="21"/>
                <w:szCs w:val="21"/>
              </w:rPr>
            </w:pPr>
          </w:p>
        </w:tc>
        <w:tc>
          <w:tcPr>
            <w:tcW w:w="1050" w:type="dxa"/>
            <w:vMerge w:val="continue"/>
            <w:tcBorders>
              <w:top w:val="nil"/>
              <w:bottom w:val="nil"/>
            </w:tcBorders>
            <w:vAlign w:val="top"/>
          </w:tcPr>
          <w:p w14:paraId="5A8B70EA">
            <w:pPr>
              <w:rPr>
                <w:rFonts w:hint="default" w:ascii="Arial" w:hAnsi="Arial" w:eastAsia="宋体" w:cs="Arial"/>
                <w:sz w:val="21"/>
                <w:szCs w:val="21"/>
              </w:rPr>
            </w:pPr>
          </w:p>
        </w:tc>
        <w:tc>
          <w:tcPr>
            <w:tcW w:w="1786" w:type="dxa"/>
            <w:vMerge w:val="continue"/>
            <w:tcBorders>
              <w:top w:val="nil"/>
              <w:bottom w:val="nil"/>
            </w:tcBorders>
            <w:vAlign w:val="top"/>
          </w:tcPr>
          <w:p w14:paraId="1BABABE3">
            <w:pPr>
              <w:rPr>
                <w:rFonts w:hint="default" w:ascii="Arial" w:hAnsi="Arial" w:eastAsia="宋体" w:cs="Arial"/>
                <w:sz w:val="21"/>
                <w:szCs w:val="21"/>
              </w:rPr>
            </w:pPr>
          </w:p>
        </w:tc>
        <w:tc>
          <w:tcPr>
            <w:tcW w:w="1691" w:type="dxa"/>
            <w:vAlign w:val="top"/>
          </w:tcPr>
          <w:p w14:paraId="1829A827">
            <w:pPr>
              <w:pStyle w:val="257"/>
              <w:spacing w:before="116" w:line="296" w:lineRule="auto"/>
              <w:ind w:left="19" w:right="8"/>
              <w:rPr>
                <w:rFonts w:hint="default" w:ascii="Arial" w:hAnsi="Arial" w:eastAsia="宋体" w:cs="Arial"/>
                <w:sz w:val="21"/>
                <w:szCs w:val="21"/>
              </w:rPr>
            </w:pPr>
            <w:r>
              <w:rPr>
                <w:rFonts w:hint="default" w:ascii="Arial" w:hAnsi="Arial" w:eastAsia="宋体" w:cs="Arial"/>
                <w:spacing w:val="3"/>
                <w:sz w:val="21"/>
                <w:szCs w:val="21"/>
              </w:rPr>
              <w:t>★</w:t>
            </w:r>
            <w:r>
              <w:rPr>
                <w:rFonts w:hint="default" w:ascii="Arial" w:hAnsi="Arial" w:eastAsia="宋体" w:cs="Arial"/>
                <w:spacing w:val="-50"/>
                <w:sz w:val="21"/>
                <w:szCs w:val="21"/>
              </w:rPr>
              <w:t xml:space="preserve"> </w:t>
            </w:r>
            <w:r>
              <w:rPr>
                <w:rFonts w:hint="default" w:ascii="Arial" w:hAnsi="Arial" w:eastAsia="宋体" w:cs="Arial"/>
                <w:spacing w:val="3"/>
                <w:sz w:val="21"/>
                <w:szCs w:val="21"/>
              </w:rPr>
              <w:t>A0201060102</w:t>
            </w:r>
            <w:r>
              <w:rPr>
                <w:rFonts w:hint="default" w:ascii="Arial" w:hAnsi="Arial" w:eastAsia="宋体" w:cs="Arial"/>
                <w:spacing w:val="41"/>
                <w:sz w:val="21"/>
                <w:szCs w:val="21"/>
              </w:rPr>
              <w:t xml:space="preserve"> </w:t>
            </w:r>
            <w:r>
              <w:rPr>
                <w:rFonts w:hint="default" w:ascii="Arial" w:hAnsi="Arial" w:eastAsia="宋体" w:cs="Arial"/>
                <w:spacing w:val="3"/>
                <w:sz w:val="21"/>
                <w:szCs w:val="21"/>
              </w:rPr>
              <w:t>激</w:t>
            </w:r>
            <w:r>
              <w:rPr>
                <w:rFonts w:hint="default" w:ascii="Arial" w:hAnsi="Arial" w:eastAsia="宋体" w:cs="Arial"/>
                <w:spacing w:val="-54"/>
                <w:sz w:val="21"/>
                <w:szCs w:val="21"/>
              </w:rPr>
              <w:t xml:space="preserve"> </w:t>
            </w:r>
            <w:r>
              <w:rPr>
                <w:rFonts w:hint="default" w:ascii="Arial" w:hAnsi="Arial" w:eastAsia="宋体" w:cs="Arial"/>
                <w:spacing w:val="3"/>
                <w:sz w:val="21"/>
                <w:szCs w:val="21"/>
              </w:rPr>
              <w:t>光</w:t>
            </w:r>
            <w:r>
              <w:rPr>
                <w:rFonts w:hint="default" w:ascii="Arial" w:hAnsi="Arial" w:eastAsia="宋体" w:cs="Arial"/>
                <w:sz w:val="21"/>
                <w:szCs w:val="21"/>
              </w:rPr>
              <w:t xml:space="preserve"> </w:t>
            </w:r>
            <w:r>
              <w:rPr>
                <w:rFonts w:hint="default" w:ascii="Arial" w:hAnsi="Arial" w:eastAsia="宋体" w:cs="Arial"/>
                <w:spacing w:val="5"/>
                <w:sz w:val="21"/>
                <w:szCs w:val="21"/>
              </w:rPr>
              <w:t>打印机</w:t>
            </w:r>
          </w:p>
        </w:tc>
        <w:tc>
          <w:tcPr>
            <w:tcW w:w="4623" w:type="dxa"/>
            <w:vAlign w:val="top"/>
          </w:tcPr>
          <w:p w14:paraId="7EC2AD05">
            <w:pPr>
              <w:pStyle w:val="257"/>
              <w:spacing w:before="116" w:line="296" w:lineRule="auto"/>
              <w:ind w:left="22" w:right="13"/>
              <w:rPr>
                <w:rFonts w:hint="default" w:ascii="Arial" w:hAnsi="Arial" w:eastAsia="宋体" w:cs="Arial"/>
                <w:sz w:val="21"/>
                <w:szCs w:val="21"/>
              </w:rPr>
            </w:pPr>
            <w:r>
              <w:rPr>
                <w:rFonts w:hint="default" w:ascii="Arial" w:hAnsi="Arial" w:eastAsia="宋体" w:cs="Arial"/>
                <w:spacing w:val="5"/>
                <w:sz w:val="21"/>
                <w:szCs w:val="21"/>
              </w:rPr>
              <w:t>《复印机、打印机和传真机能效限</w:t>
            </w:r>
            <w:r>
              <w:rPr>
                <w:rFonts w:hint="default" w:ascii="Arial" w:hAnsi="Arial" w:eastAsia="宋体" w:cs="Arial"/>
                <w:sz w:val="21"/>
                <w:szCs w:val="21"/>
              </w:rPr>
              <w:t xml:space="preserve"> </w:t>
            </w:r>
            <w:r>
              <w:rPr>
                <w:rFonts w:hint="default" w:ascii="Arial" w:hAnsi="Arial" w:eastAsia="宋体" w:cs="Arial"/>
                <w:spacing w:val="7"/>
                <w:sz w:val="21"/>
                <w:szCs w:val="21"/>
              </w:rPr>
              <w:t>定值及能效等级》（</w:t>
            </w:r>
            <w:r>
              <w:rPr>
                <w:rFonts w:hint="default" w:ascii="Arial" w:hAnsi="Arial" w:eastAsia="宋体" w:cs="Arial"/>
                <w:sz w:val="21"/>
                <w:szCs w:val="21"/>
              </w:rPr>
              <w:t>GB</w:t>
            </w:r>
            <w:r>
              <w:rPr>
                <w:rFonts w:hint="default" w:ascii="Arial" w:hAnsi="Arial" w:eastAsia="宋体" w:cs="Arial"/>
                <w:spacing w:val="7"/>
                <w:sz w:val="21"/>
                <w:szCs w:val="21"/>
              </w:rPr>
              <w:t xml:space="preserve"> 21521）</w:t>
            </w:r>
          </w:p>
        </w:tc>
      </w:tr>
      <w:tr w14:paraId="64666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87" w:type="dxa"/>
            <w:vMerge w:val="continue"/>
            <w:tcBorders>
              <w:top w:val="nil"/>
              <w:bottom w:val="nil"/>
            </w:tcBorders>
            <w:vAlign w:val="top"/>
          </w:tcPr>
          <w:p w14:paraId="58C0881B">
            <w:pPr>
              <w:rPr>
                <w:rFonts w:hint="default" w:ascii="Arial" w:hAnsi="Arial" w:eastAsia="宋体" w:cs="Arial"/>
                <w:sz w:val="21"/>
                <w:szCs w:val="21"/>
              </w:rPr>
            </w:pPr>
          </w:p>
        </w:tc>
        <w:tc>
          <w:tcPr>
            <w:tcW w:w="1050" w:type="dxa"/>
            <w:vMerge w:val="continue"/>
            <w:tcBorders>
              <w:top w:val="nil"/>
              <w:bottom w:val="nil"/>
            </w:tcBorders>
            <w:vAlign w:val="top"/>
          </w:tcPr>
          <w:p w14:paraId="2084B94C">
            <w:pPr>
              <w:rPr>
                <w:rFonts w:hint="default" w:ascii="Arial" w:hAnsi="Arial" w:eastAsia="宋体" w:cs="Arial"/>
                <w:sz w:val="21"/>
                <w:szCs w:val="21"/>
              </w:rPr>
            </w:pPr>
          </w:p>
        </w:tc>
        <w:tc>
          <w:tcPr>
            <w:tcW w:w="1786" w:type="dxa"/>
            <w:vMerge w:val="continue"/>
            <w:tcBorders>
              <w:top w:val="nil"/>
            </w:tcBorders>
            <w:vAlign w:val="top"/>
          </w:tcPr>
          <w:p w14:paraId="59040E5C">
            <w:pPr>
              <w:rPr>
                <w:rFonts w:hint="default" w:ascii="Arial" w:hAnsi="Arial" w:eastAsia="宋体" w:cs="Arial"/>
                <w:sz w:val="21"/>
                <w:szCs w:val="21"/>
              </w:rPr>
            </w:pPr>
          </w:p>
        </w:tc>
        <w:tc>
          <w:tcPr>
            <w:tcW w:w="1691" w:type="dxa"/>
            <w:vAlign w:val="top"/>
          </w:tcPr>
          <w:p w14:paraId="23C697E9">
            <w:pPr>
              <w:pStyle w:val="257"/>
              <w:spacing w:before="116" w:line="296" w:lineRule="auto"/>
              <w:ind w:left="19" w:right="8"/>
              <w:rPr>
                <w:rFonts w:hint="default" w:ascii="Arial" w:hAnsi="Arial" w:eastAsia="宋体" w:cs="Arial"/>
                <w:sz w:val="21"/>
                <w:szCs w:val="21"/>
              </w:rPr>
            </w:pPr>
            <w:r>
              <w:rPr>
                <w:rFonts w:hint="default" w:ascii="Arial" w:hAnsi="Arial" w:eastAsia="宋体" w:cs="Arial"/>
                <w:spacing w:val="3"/>
                <w:sz w:val="21"/>
                <w:szCs w:val="21"/>
              </w:rPr>
              <w:t>★</w:t>
            </w:r>
            <w:r>
              <w:rPr>
                <w:rFonts w:hint="default" w:ascii="Arial" w:hAnsi="Arial" w:eastAsia="宋体" w:cs="Arial"/>
                <w:spacing w:val="-54"/>
                <w:sz w:val="21"/>
                <w:szCs w:val="21"/>
              </w:rPr>
              <w:t xml:space="preserve"> </w:t>
            </w:r>
            <w:r>
              <w:rPr>
                <w:rFonts w:hint="default" w:ascii="Arial" w:hAnsi="Arial" w:eastAsia="宋体" w:cs="Arial"/>
                <w:spacing w:val="3"/>
                <w:sz w:val="21"/>
                <w:szCs w:val="21"/>
              </w:rPr>
              <w:t>A0201060104</w:t>
            </w:r>
            <w:r>
              <w:rPr>
                <w:rFonts w:hint="default" w:ascii="Arial" w:hAnsi="Arial" w:eastAsia="宋体" w:cs="Arial"/>
                <w:spacing w:val="43"/>
                <w:sz w:val="21"/>
                <w:szCs w:val="21"/>
              </w:rPr>
              <w:t xml:space="preserve"> </w:t>
            </w:r>
            <w:r>
              <w:rPr>
                <w:rFonts w:hint="default" w:ascii="Arial" w:hAnsi="Arial" w:eastAsia="宋体" w:cs="Arial"/>
                <w:spacing w:val="3"/>
                <w:sz w:val="21"/>
                <w:szCs w:val="21"/>
              </w:rPr>
              <w:t>针</w:t>
            </w:r>
            <w:r>
              <w:rPr>
                <w:rFonts w:hint="default" w:ascii="Arial" w:hAnsi="Arial" w:eastAsia="宋体" w:cs="Arial"/>
                <w:spacing w:val="-52"/>
                <w:sz w:val="21"/>
                <w:szCs w:val="21"/>
              </w:rPr>
              <w:t xml:space="preserve"> </w:t>
            </w:r>
            <w:r>
              <w:rPr>
                <w:rFonts w:hint="default" w:ascii="Arial" w:hAnsi="Arial" w:eastAsia="宋体" w:cs="Arial"/>
                <w:spacing w:val="3"/>
                <w:sz w:val="21"/>
                <w:szCs w:val="21"/>
              </w:rPr>
              <w:t>式</w:t>
            </w:r>
            <w:r>
              <w:rPr>
                <w:rFonts w:hint="default" w:ascii="Arial" w:hAnsi="Arial" w:eastAsia="宋体" w:cs="Arial"/>
                <w:sz w:val="21"/>
                <w:szCs w:val="21"/>
              </w:rPr>
              <w:t xml:space="preserve"> </w:t>
            </w:r>
            <w:r>
              <w:rPr>
                <w:rFonts w:hint="default" w:ascii="Arial" w:hAnsi="Arial" w:eastAsia="宋体" w:cs="Arial"/>
                <w:spacing w:val="5"/>
                <w:sz w:val="21"/>
                <w:szCs w:val="21"/>
              </w:rPr>
              <w:t>打印机</w:t>
            </w:r>
          </w:p>
        </w:tc>
        <w:tc>
          <w:tcPr>
            <w:tcW w:w="4623" w:type="dxa"/>
            <w:vAlign w:val="top"/>
          </w:tcPr>
          <w:p w14:paraId="729BCEFE">
            <w:pPr>
              <w:pStyle w:val="257"/>
              <w:spacing w:before="116" w:line="296" w:lineRule="auto"/>
              <w:ind w:left="22" w:right="13"/>
              <w:rPr>
                <w:rFonts w:hint="default" w:ascii="Arial" w:hAnsi="Arial" w:eastAsia="宋体" w:cs="Arial"/>
                <w:sz w:val="21"/>
                <w:szCs w:val="21"/>
              </w:rPr>
            </w:pPr>
            <w:r>
              <w:rPr>
                <w:rFonts w:hint="default" w:ascii="Arial" w:hAnsi="Arial" w:eastAsia="宋体" w:cs="Arial"/>
                <w:spacing w:val="5"/>
                <w:sz w:val="21"/>
                <w:szCs w:val="21"/>
              </w:rPr>
              <w:t>《复印机、打印机和传真机能效限</w:t>
            </w:r>
            <w:r>
              <w:rPr>
                <w:rFonts w:hint="default" w:ascii="Arial" w:hAnsi="Arial" w:eastAsia="宋体" w:cs="Arial"/>
                <w:sz w:val="21"/>
                <w:szCs w:val="21"/>
              </w:rPr>
              <w:t xml:space="preserve"> </w:t>
            </w:r>
            <w:r>
              <w:rPr>
                <w:rFonts w:hint="default" w:ascii="Arial" w:hAnsi="Arial" w:eastAsia="宋体" w:cs="Arial"/>
                <w:spacing w:val="7"/>
                <w:sz w:val="21"/>
                <w:szCs w:val="21"/>
              </w:rPr>
              <w:t>定值及能效等级》（</w:t>
            </w:r>
            <w:r>
              <w:rPr>
                <w:rFonts w:hint="default" w:ascii="Arial" w:hAnsi="Arial" w:eastAsia="宋体" w:cs="Arial"/>
                <w:sz w:val="21"/>
                <w:szCs w:val="21"/>
              </w:rPr>
              <w:t>GB</w:t>
            </w:r>
            <w:r>
              <w:rPr>
                <w:rFonts w:hint="default" w:ascii="Arial" w:hAnsi="Arial" w:eastAsia="宋体" w:cs="Arial"/>
                <w:spacing w:val="7"/>
                <w:sz w:val="21"/>
                <w:szCs w:val="21"/>
              </w:rPr>
              <w:t xml:space="preserve"> 21521）</w:t>
            </w:r>
          </w:p>
        </w:tc>
      </w:tr>
      <w:tr w14:paraId="67C0EF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587" w:type="dxa"/>
            <w:vMerge w:val="continue"/>
            <w:tcBorders>
              <w:top w:val="nil"/>
              <w:bottom w:val="nil"/>
            </w:tcBorders>
            <w:vAlign w:val="top"/>
          </w:tcPr>
          <w:p w14:paraId="6E8A581E">
            <w:pPr>
              <w:rPr>
                <w:rFonts w:hint="default" w:ascii="Arial" w:hAnsi="Arial" w:eastAsia="宋体" w:cs="Arial"/>
                <w:sz w:val="21"/>
                <w:szCs w:val="21"/>
              </w:rPr>
            </w:pPr>
          </w:p>
        </w:tc>
        <w:tc>
          <w:tcPr>
            <w:tcW w:w="1050" w:type="dxa"/>
            <w:vMerge w:val="continue"/>
            <w:tcBorders>
              <w:top w:val="nil"/>
              <w:bottom w:val="nil"/>
            </w:tcBorders>
            <w:vAlign w:val="top"/>
          </w:tcPr>
          <w:p w14:paraId="48AD7B59">
            <w:pPr>
              <w:rPr>
                <w:rFonts w:hint="default" w:ascii="Arial" w:hAnsi="Arial" w:eastAsia="宋体" w:cs="Arial"/>
                <w:sz w:val="21"/>
                <w:szCs w:val="21"/>
              </w:rPr>
            </w:pPr>
          </w:p>
        </w:tc>
        <w:tc>
          <w:tcPr>
            <w:tcW w:w="1786" w:type="dxa"/>
            <w:vAlign w:val="top"/>
          </w:tcPr>
          <w:p w14:paraId="012842CB">
            <w:pPr>
              <w:pStyle w:val="257"/>
              <w:spacing w:before="290" w:line="230" w:lineRule="auto"/>
              <w:ind w:left="9"/>
              <w:rPr>
                <w:rFonts w:hint="default" w:ascii="Arial" w:hAnsi="Arial" w:eastAsia="宋体" w:cs="Arial"/>
                <w:sz w:val="21"/>
                <w:szCs w:val="21"/>
              </w:rPr>
            </w:pPr>
            <w:r>
              <w:rPr>
                <w:rFonts w:hint="default" w:ascii="Arial" w:hAnsi="Arial" w:eastAsia="宋体" w:cs="Arial"/>
                <w:spacing w:val="5"/>
                <w:sz w:val="21"/>
                <w:szCs w:val="21"/>
              </w:rPr>
              <w:t>A02010604</w:t>
            </w:r>
            <w:r>
              <w:rPr>
                <w:rFonts w:hint="default" w:ascii="Arial" w:hAnsi="Arial" w:eastAsia="宋体" w:cs="Arial"/>
                <w:spacing w:val="-28"/>
                <w:sz w:val="21"/>
                <w:szCs w:val="21"/>
              </w:rPr>
              <w:t xml:space="preserve"> </w:t>
            </w:r>
            <w:r>
              <w:rPr>
                <w:rFonts w:hint="default" w:ascii="Arial" w:hAnsi="Arial" w:eastAsia="宋体" w:cs="Arial"/>
                <w:spacing w:val="5"/>
                <w:sz w:val="21"/>
                <w:szCs w:val="21"/>
              </w:rPr>
              <w:t>显示设备</w:t>
            </w:r>
          </w:p>
        </w:tc>
        <w:tc>
          <w:tcPr>
            <w:tcW w:w="1691" w:type="dxa"/>
            <w:vAlign w:val="top"/>
          </w:tcPr>
          <w:p w14:paraId="5C12ACEB">
            <w:pPr>
              <w:pStyle w:val="257"/>
              <w:spacing w:before="133" w:line="303" w:lineRule="auto"/>
              <w:ind w:left="20" w:right="8" w:hanging="1"/>
              <w:rPr>
                <w:rFonts w:hint="default" w:ascii="Arial" w:hAnsi="Arial" w:eastAsia="宋体" w:cs="Arial"/>
                <w:sz w:val="21"/>
                <w:szCs w:val="21"/>
              </w:rPr>
            </w:pPr>
            <w:r>
              <w:rPr>
                <w:rFonts w:hint="default" w:ascii="Arial" w:hAnsi="Arial" w:eastAsia="宋体" w:cs="Arial"/>
                <w:spacing w:val="2"/>
                <w:sz w:val="21"/>
                <w:szCs w:val="21"/>
              </w:rPr>
              <w:t>★</w:t>
            </w:r>
            <w:r>
              <w:rPr>
                <w:rFonts w:hint="default" w:ascii="Arial" w:hAnsi="Arial" w:eastAsia="宋体" w:cs="Arial"/>
                <w:spacing w:val="-54"/>
                <w:sz w:val="21"/>
                <w:szCs w:val="21"/>
              </w:rPr>
              <w:t xml:space="preserve"> </w:t>
            </w:r>
            <w:r>
              <w:rPr>
                <w:rFonts w:hint="default" w:ascii="Arial" w:hAnsi="Arial" w:eastAsia="宋体" w:cs="Arial"/>
                <w:spacing w:val="2"/>
                <w:sz w:val="21"/>
                <w:szCs w:val="21"/>
              </w:rPr>
              <w:t>A0201060401</w:t>
            </w:r>
            <w:r>
              <w:rPr>
                <w:rFonts w:hint="default" w:ascii="Arial" w:hAnsi="Arial" w:eastAsia="宋体" w:cs="Arial"/>
                <w:spacing w:val="44"/>
                <w:sz w:val="21"/>
                <w:szCs w:val="21"/>
              </w:rPr>
              <w:t xml:space="preserve"> </w:t>
            </w:r>
            <w:r>
              <w:rPr>
                <w:rFonts w:hint="default" w:ascii="Arial" w:hAnsi="Arial" w:eastAsia="宋体" w:cs="Arial"/>
                <w:spacing w:val="2"/>
                <w:sz w:val="21"/>
                <w:szCs w:val="21"/>
              </w:rPr>
              <w:t>液</w:t>
            </w:r>
            <w:r>
              <w:rPr>
                <w:rFonts w:hint="default" w:ascii="Arial" w:hAnsi="Arial" w:eastAsia="宋体" w:cs="Arial"/>
                <w:spacing w:val="-39"/>
                <w:sz w:val="21"/>
                <w:szCs w:val="21"/>
              </w:rPr>
              <w:t xml:space="preserve"> </w:t>
            </w:r>
            <w:r>
              <w:rPr>
                <w:rFonts w:hint="default" w:ascii="Arial" w:hAnsi="Arial" w:eastAsia="宋体" w:cs="Arial"/>
                <w:spacing w:val="2"/>
                <w:sz w:val="21"/>
                <w:szCs w:val="21"/>
              </w:rPr>
              <w:t>晶</w:t>
            </w:r>
            <w:r>
              <w:rPr>
                <w:rFonts w:hint="default" w:ascii="Arial" w:hAnsi="Arial" w:eastAsia="宋体" w:cs="Arial"/>
                <w:sz w:val="21"/>
                <w:szCs w:val="21"/>
              </w:rPr>
              <w:t xml:space="preserve"> </w:t>
            </w:r>
            <w:r>
              <w:rPr>
                <w:rFonts w:hint="default" w:ascii="Arial" w:hAnsi="Arial" w:eastAsia="宋体" w:cs="Arial"/>
                <w:spacing w:val="5"/>
                <w:sz w:val="21"/>
                <w:szCs w:val="21"/>
              </w:rPr>
              <w:t>显示器</w:t>
            </w:r>
          </w:p>
        </w:tc>
        <w:tc>
          <w:tcPr>
            <w:tcW w:w="4623" w:type="dxa"/>
            <w:vAlign w:val="top"/>
          </w:tcPr>
          <w:p w14:paraId="18494CB7">
            <w:pPr>
              <w:pStyle w:val="257"/>
              <w:spacing w:before="133" w:line="303" w:lineRule="auto"/>
              <w:ind w:left="22" w:right="11"/>
              <w:rPr>
                <w:rFonts w:hint="default" w:ascii="Arial" w:hAnsi="Arial" w:eastAsia="宋体" w:cs="Arial"/>
                <w:sz w:val="21"/>
                <w:szCs w:val="21"/>
              </w:rPr>
            </w:pPr>
            <w:r>
              <w:rPr>
                <w:rFonts w:hint="default" w:ascii="Arial" w:hAnsi="Arial" w:eastAsia="宋体" w:cs="Arial"/>
                <w:spacing w:val="19"/>
                <w:sz w:val="21"/>
                <w:szCs w:val="21"/>
              </w:rPr>
              <w:t>《计算机显示器能效限定值及能</w:t>
            </w:r>
            <w:r>
              <w:rPr>
                <w:rFonts w:hint="default" w:ascii="Arial" w:hAnsi="Arial" w:eastAsia="宋体" w:cs="Arial"/>
                <w:spacing w:val="2"/>
                <w:sz w:val="21"/>
                <w:szCs w:val="21"/>
              </w:rPr>
              <w:t xml:space="preserve"> </w:t>
            </w:r>
            <w:r>
              <w:rPr>
                <w:rFonts w:hint="default" w:ascii="Arial" w:hAnsi="Arial" w:eastAsia="宋体" w:cs="Arial"/>
                <w:spacing w:val="6"/>
                <w:sz w:val="21"/>
                <w:szCs w:val="21"/>
              </w:rPr>
              <w:t>效等级》（</w:t>
            </w:r>
            <w:r>
              <w:rPr>
                <w:rFonts w:hint="default" w:ascii="Arial" w:hAnsi="Arial" w:eastAsia="宋体" w:cs="Arial"/>
                <w:sz w:val="21"/>
                <w:szCs w:val="21"/>
              </w:rPr>
              <w:t>GB</w:t>
            </w:r>
            <w:r>
              <w:rPr>
                <w:rFonts w:hint="default" w:ascii="Arial" w:hAnsi="Arial" w:eastAsia="宋体" w:cs="Arial"/>
                <w:spacing w:val="6"/>
                <w:sz w:val="21"/>
                <w:szCs w:val="21"/>
              </w:rPr>
              <w:t xml:space="preserve"> 21520）</w:t>
            </w:r>
          </w:p>
        </w:tc>
      </w:tr>
      <w:tr w14:paraId="227E76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5" w:hRule="atLeast"/>
        </w:trPr>
        <w:tc>
          <w:tcPr>
            <w:tcW w:w="587" w:type="dxa"/>
            <w:vMerge w:val="continue"/>
            <w:tcBorders>
              <w:top w:val="nil"/>
            </w:tcBorders>
            <w:vAlign w:val="top"/>
          </w:tcPr>
          <w:p w14:paraId="2D2B5A45">
            <w:pPr>
              <w:rPr>
                <w:rFonts w:hint="default" w:ascii="Arial" w:hAnsi="Arial" w:eastAsia="宋体" w:cs="Arial"/>
                <w:sz w:val="21"/>
                <w:szCs w:val="21"/>
              </w:rPr>
            </w:pPr>
          </w:p>
        </w:tc>
        <w:tc>
          <w:tcPr>
            <w:tcW w:w="1050" w:type="dxa"/>
            <w:vMerge w:val="continue"/>
            <w:tcBorders>
              <w:top w:val="nil"/>
            </w:tcBorders>
            <w:vAlign w:val="top"/>
          </w:tcPr>
          <w:p w14:paraId="6B725E32">
            <w:pPr>
              <w:rPr>
                <w:rFonts w:hint="default" w:ascii="Arial" w:hAnsi="Arial" w:eastAsia="宋体" w:cs="Arial"/>
                <w:sz w:val="21"/>
                <w:szCs w:val="21"/>
              </w:rPr>
            </w:pPr>
          </w:p>
        </w:tc>
        <w:tc>
          <w:tcPr>
            <w:tcW w:w="1786" w:type="dxa"/>
            <w:vAlign w:val="top"/>
          </w:tcPr>
          <w:p w14:paraId="6DAC4AEF">
            <w:pPr>
              <w:spacing w:line="364" w:lineRule="auto"/>
              <w:rPr>
                <w:rFonts w:hint="default" w:ascii="Arial" w:hAnsi="Arial" w:eastAsia="宋体" w:cs="Arial"/>
                <w:sz w:val="21"/>
                <w:szCs w:val="21"/>
              </w:rPr>
            </w:pPr>
          </w:p>
          <w:p w14:paraId="113F2740">
            <w:pPr>
              <w:pStyle w:val="257"/>
              <w:spacing w:before="62" w:line="304" w:lineRule="auto"/>
              <w:ind w:left="14" w:right="10" w:hanging="5"/>
              <w:rPr>
                <w:rFonts w:hint="default" w:ascii="Arial" w:hAnsi="Arial" w:eastAsia="宋体" w:cs="Arial"/>
                <w:sz w:val="21"/>
                <w:szCs w:val="21"/>
              </w:rPr>
            </w:pPr>
            <w:r>
              <w:rPr>
                <w:rFonts w:hint="default" w:ascii="Arial" w:hAnsi="Arial" w:eastAsia="宋体" w:cs="Arial"/>
                <w:spacing w:val="4"/>
                <w:sz w:val="21"/>
                <w:szCs w:val="21"/>
              </w:rPr>
              <w:t>A02010609 图形图像</w:t>
            </w:r>
            <w:r>
              <w:rPr>
                <w:rFonts w:hint="default" w:ascii="Arial" w:hAnsi="Arial" w:eastAsia="宋体" w:cs="Arial"/>
                <w:spacing w:val="7"/>
                <w:sz w:val="21"/>
                <w:szCs w:val="21"/>
              </w:rPr>
              <w:t xml:space="preserve"> 输入设备</w:t>
            </w:r>
          </w:p>
        </w:tc>
        <w:tc>
          <w:tcPr>
            <w:tcW w:w="1691" w:type="dxa"/>
            <w:vAlign w:val="top"/>
          </w:tcPr>
          <w:p w14:paraId="6805AE99">
            <w:pPr>
              <w:spacing w:line="259" w:lineRule="auto"/>
              <w:rPr>
                <w:rFonts w:hint="default" w:ascii="Arial" w:hAnsi="Arial" w:eastAsia="宋体" w:cs="Arial"/>
                <w:sz w:val="21"/>
                <w:szCs w:val="21"/>
              </w:rPr>
            </w:pPr>
          </w:p>
          <w:p w14:paraId="4DA0013E">
            <w:pPr>
              <w:spacing w:line="260" w:lineRule="auto"/>
              <w:rPr>
                <w:rFonts w:hint="default" w:ascii="Arial" w:hAnsi="Arial" w:eastAsia="宋体" w:cs="Arial"/>
                <w:sz w:val="21"/>
                <w:szCs w:val="21"/>
              </w:rPr>
            </w:pPr>
          </w:p>
          <w:p w14:paraId="68978D05">
            <w:pPr>
              <w:pStyle w:val="257"/>
              <w:spacing w:before="61" w:line="229" w:lineRule="auto"/>
              <w:ind w:left="10"/>
              <w:rPr>
                <w:rFonts w:hint="default" w:ascii="Arial" w:hAnsi="Arial" w:eastAsia="宋体" w:cs="Arial"/>
                <w:sz w:val="21"/>
                <w:szCs w:val="21"/>
              </w:rPr>
            </w:pPr>
            <w:r>
              <w:rPr>
                <w:rFonts w:hint="default" w:ascii="Arial" w:hAnsi="Arial" w:eastAsia="宋体" w:cs="Arial"/>
                <w:spacing w:val="5"/>
                <w:sz w:val="21"/>
                <w:szCs w:val="21"/>
              </w:rPr>
              <w:t>A0201060901</w:t>
            </w:r>
            <w:r>
              <w:rPr>
                <w:rFonts w:hint="default" w:ascii="Arial" w:hAnsi="Arial" w:eastAsia="宋体" w:cs="Arial"/>
                <w:spacing w:val="-34"/>
                <w:sz w:val="21"/>
                <w:szCs w:val="21"/>
              </w:rPr>
              <w:t xml:space="preserve"> </w:t>
            </w:r>
            <w:r>
              <w:rPr>
                <w:rFonts w:hint="default" w:ascii="Arial" w:hAnsi="Arial" w:eastAsia="宋体" w:cs="Arial"/>
                <w:spacing w:val="5"/>
                <w:sz w:val="21"/>
                <w:szCs w:val="21"/>
              </w:rPr>
              <w:t>扫描仪</w:t>
            </w:r>
          </w:p>
        </w:tc>
        <w:tc>
          <w:tcPr>
            <w:tcW w:w="4623" w:type="dxa"/>
            <w:vAlign w:val="top"/>
          </w:tcPr>
          <w:p w14:paraId="74E2A656">
            <w:pPr>
              <w:pStyle w:val="257"/>
              <w:spacing w:before="114" w:line="299" w:lineRule="auto"/>
              <w:ind w:left="22" w:hanging="3"/>
              <w:jc w:val="both"/>
              <w:rPr>
                <w:rFonts w:hint="default" w:ascii="Arial" w:hAnsi="Arial" w:eastAsia="宋体" w:cs="Arial"/>
                <w:sz w:val="21"/>
                <w:szCs w:val="21"/>
              </w:rPr>
            </w:pPr>
            <w:r>
              <w:rPr>
                <w:rFonts w:hint="default" w:ascii="Arial" w:hAnsi="Arial" w:eastAsia="宋体" w:cs="Arial"/>
                <w:sz w:val="21"/>
                <w:szCs w:val="21"/>
              </w:rPr>
              <w:t>参照《复印机、打印机和传真机能</w:t>
            </w:r>
            <w:r>
              <w:rPr>
                <w:rFonts w:hint="default" w:ascii="Arial" w:hAnsi="Arial" w:eastAsia="宋体" w:cs="Arial"/>
                <w:spacing w:val="3"/>
                <w:sz w:val="21"/>
                <w:szCs w:val="21"/>
              </w:rPr>
              <w:t xml:space="preserve">  </w:t>
            </w:r>
            <w:r>
              <w:rPr>
                <w:rFonts w:hint="default" w:ascii="Arial" w:hAnsi="Arial" w:eastAsia="宋体" w:cs="Arial"/>
                <w:spacing w:val="-4"/>
                <w:sz w:val="21"/>
                <w:szCs w:val="21"/>
              </w:rPr>
              <w:t>效限定值及能效等级》（GB</w:t>
            </w:r>
            <w:r>
              <w:rPr>
                <w:rFonts w:hint="default" w:ascii="Arial" w:hAnsi="Arial" w:eastAsia="宋体" w:cs="Arial"/>
                <w:spacing w:val="-24"/>
                <w:sz w:val="21"/>
                <w:szCs w:val="21"/>
              </w:rPr>
              <w:t xml:space="preserve"> </w:t>
            </w:r>
            <w:r>
              <w:rPr>
                <w:rFonts w:hint="default" w:ascii="Arial" w:hAnsi="Arial" w:eastAsia="宋体" w:cs="Arial"/>
                <w:spacing w:val="-4"/>
                <w:sz w:val="21"/>
                <w:szCs w:val="21"/>
              </w:rPr>
              <w:t>21521）</w:t>
            </w:r>
            <w:r>
              <w:rPr>
                <w:rFonts w:hint="default" w:ascii="Arial" w:hAnsi="Arial" w:eastAsia="宋体" w:cs="Arial"/>
                <w:sz w:val="21"/>
                <w:szCs w:val="21"/>
              </w:rPr>
              <w:t xml:space="preserve"> </w:t>
            </w:r>
            <w:r>
              <w:rPr>
                <w:rFonts w:hint="default" w:ascii="Arial" w:hAnsi="Arial" w:eastAsia="宋体" w:cs="Arial"/>
                <w:spacing w:val="4"/>
                <w:sz w:val="21"/>
                <w:szCs w:val="21"/>
              </w:rPr>
              <w:t>中打印速度为</w:t>
            </w:r>
            <w:r>
              <w:rPr>
                <w:rFonts w:hint="default" w:ascii="Arial" w:hAnsi="Arial" w:eastAsia="宋体" w:cs="Arial"/>
                <w:spacing w:val="38"/>
                <w:sz w:val="21"/>
                <w:szCs w:val="21"/>
              </w:rPr>
              <w:t xml:space="preserve"> </w:t>
            </w:r>
            <w:r>
              <w:rPr>
                <w:rFonts w:hint="default" w:ascii="Arial" w:hAnsi="Arial" w:eastAsia="宋体" w:cs="Arial"/>
                <w:spacing w:val="4"/>
                <w:sz w:val="21"/>
                <w:szCs w:val="21"/>
              </w:rPr>
              <w:t>15 页/分的针式打</w:t>
            </w:r>
            <w:r>
              <w:rPr>
                <w:rFonts w:hint="default" w:ascii="Arial" w:hAnsi="Arial" w:eastAsia="宋体" w:cs="Arial"/>
                <w:sz w:val="21"/>
                <w:szCs w:val="21"/>
              </w:rPr>
              <w:t xml:space="preserve">  </w:t>
            </w:r>
            <w:r>
              <w:rPr>
                <w:rFonts w:hint="default" w:ascii="Arial" w:hAnsi="Arial" w:eastAsia="宋体" w:cs="Arial"/>
                <w:spacing w:val="2"/>
                <w:sz w:val="21"/>
                <w:szCs w:val="21"/>
              </w:rPr>
              <w:t>印机相关要求</w:t>
            </w:r>
          </w:p>
        </w:tc>
      </w:tr>
      <w:tr w14:paraId="4363F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587" w:type="dxa"/>
            <w:vAlign w:val="top"/>
          </w:tcPr>
          <w:p w14:paraId="7DEEA9BA">
            <w:pPr>
              <w:pStyle w:val="257"/>
              <w:spacing w:before="246" w:line="256" w:lineRule="exact"/>
              <w:ind w:left="246"/>
              <w:rPr>
                <w:rFonts w:hint="default" w:ascii="Arial" w:hAnsi="Arial" w:eastAsia="宋体" w:cs="Arial"/>
                <w:sz w:val="21"/>
                <w:szCs w:val="21"/>
              </w:rPr>
            </w:pPr>
            <w:r>
              <w:rPr>
                <w:rFonts w:hint="default" w:ascii="Arial" w:hAnsi="Arial" w:eastAsia="宋体" w:cs="Arial"/>
                <w:position w:val="1"/>
                <w:sz w:val="21"/>
                <w:szCs w:val="21"/>
              </w:rPr>
              <w:t>3</w:t>
            </w:r>
          </w:p>
        </w:tc>
        <w:tc>
          <w:tcPr>
            <w:tcW w:w="1050" w:type="dxa"/>
            <w:vAlign w:val="top"/>
          </w:tcPr>
          <w:p w14:paraId="5A4B440B">
            <w:pPr>
              <w:pStyle w:val="257"/>
              <w:spacing w:before="90" w:line="281" w:lineRule="auto"/>
              <w:ind w:left="15" w:right="8" w:hanging="6"/>
              <w:rPr>
                <w:rFonts w:hint="default" w:ascii="Arial" w:hAnsi="Arial" w:eastAsia="宋体" w:cs="Arial"/>
                <w:sz w:val="21"/>
                <w:szCs w:val="21"/>
              </w:rPr>
            </w:pPr>
            <w:r>
              <w:rPr>
                <w:rFonts w:hint="default" w:ascii="Arial" w:hAnsi="Arial" w:eastAsia="宋体" w:cs="Arial"/>
                <w:spacing w:val="4"/>
                <w:sz w:val="21"/>
                <w:szCs w:val="21"/>
              </w:rPr>
              <w:t>A020202</w:t>
            </w:r>
            <w:r>
              <w:rPr>
                <w:rFonts w:hint="default" w:ascii="Arial" w:hAnsi="Arial" w:eastAsia="宋体" w:cs="Arial"/>
                <w:spacing w:val="-34"/>
                <w:sz w:val="21"/>
                <w:szCs w:val="21"/>
              </w:rPr>
              <w:t xml:space="preserve"> </w:t>
            </w:r>
            <w:r>
              <w:rPr>
                <w:rFonts w:hint="default" w:ascii="Arial" w:hAnsi="Arial" w:eastAsia="宋体" w:cs="Arial"/>
                <w:spacing w:val="4"/>
                <w:sz w:val="21"/>
                <w:szCs w:val="21"/>
              </w:rPr>
              <w:t>投影</w:t>
            </w:r>
            <w:r>
              <w:rPr>
                <w:rFonts w:hint="default" w:ascii="Arial" w:hAnsi="Arial" w:eastAsia="宋体" w:cs="Arial"/>
                <w:sz w:val="21"/>
                <w:szCs w:val="21"/>
              </w:rPr>
              <w:t xml:space="preserve"> 仪</w:t>
            </w:r>
          </w:p>
        </w:tc>
        <w:tc>
          <w:tcPr>
            <w:tcW w:w="1786" w:type="dxa"/>
            <w:vAlign w:val="top"/>
          </w:tcPr>
          <w:p w14:paraId="0D5D17E9">
            <w:pPr>
              <w:rPr>
                <w:rFonts w:hint="default" w:ascii="Arial" w:hAnsi="Arial" w:eastAsia="宋体" w:cs="Arial"/>
                <w:sz w:val="21"/>
                <w:szCs w:val="21"/>
              </w:rPr>
            </w:pPr>
          </w:p>
        </w:tc>
        <w:tc>
          <w:tcPr>
            <w:tcW w:w="1691" w:type="dxa"/>
            <w:vAlign w:val="top"/>
          </w:tcPr>
          <w:p w14:paraId="3227F6BA">
            <w:pPr>
              <w:rPr>
                <w:rFonts w:hint="default" w:ascii="Arial" w:hAnsi="Arial" w:eastAsia="宋体" w:cs="Arial"/>
                <w:sz w:val="21"/>
                <w:szCs w:val="21"/>
              </w:rPr>
            </w:pPr>
          </w:p>
        </w:tc>
        <w:tc>
          <w:tcPr>
            <w:tcW w:w="4623" w:type="dxa"/>
            <w:vAlign w:val="top"/>
          </w:tcPr>
          <w:p w14:paraId="5CE677B4">
            <w:pPr>
              <w:pStyle w:val="257"/>
              <w:spacing w:before="90" w:line="281" w:lineRule="auto"/>
              <w:ind w:left="27" w:hanging="4"/>
              <w:rPr>
                <w:rFonts w:hint="default" w:ascii="Arial" w:hAnsi="Arial" w:eastAsia="宋体" w:cs="Arial"/>
                <w:sz w:val="21"/>
                <w:szCs w:val="21"/>
              </w:rPr>
            </w:pPr>
            <w:r>
              <w:rPr>
                <w:rFonts w:hint="default" w:ascii="Arial" w:hAnsi="Arial" w:eastAsia="宋体" w:cs="Arial"/>
                <w:spacing w:val="6"/>
                <w:sz w:val="21"/>
                <w:szCs w:val="21"/>
              </w:rPr>
              <w:t>《投影机能效限定值及能效等级》</w:t>
            </w:r>
            <w:r>
              <w:rPr>
                <w:rFonts w:hint="default" w:ascii="Arial" w:hAnsi="Arial" w:eastAsia="宋体" w:cs="Arial"/>
                <w:sz w:val="21"/>
                <w:szCs w:val="21"/>
              </w:rPr>
              <w:t xml:space="preserve"> （GB</w:t>
            </w:r>
            <w:r>
              <w:rPr>
                <w:rFonts w:hint="default" w:ascii="Arial" w:hAnsi="Arial" w:eastAsia="宋体" w:cs="Arial"/>
                <w:spacing w:val="22"/>
                <w:sz w:val="21"/>
                <w:szCs w:val="21"/>
              </w:rPr>
              <w:t xml:space="preserve"> </w:t>
            </w:r>
            <w:r>
              <w:rPr>
                <w:rFonts w:hint="default" w:ascii="Arial" w:hAnsi="Arial" w:eastAsia="宋体" w:cs="Arial"/>
                <w:sz w:val="21"/>
                <w:szCs w:val="21"/>
              </w:rPr>
              <w:t>32028）</w:t>
            </w:r>
          </w:p>
        </w:tc>
      </w:tr>
      <w:tr w14:paraId="16063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587" w:type="dxa"/>
            <w:vAlign w:val="top"/>
          </w:tcPr>
          <w:p w14:paraId="3518E151">
            <w:pPr>
              <w:pStyle w:val="257"/>
              <w:spacing w:before="289" w:line="258" w:lineRule="exact"/>
              <w:ind w:left="242"/>
              <w:rPr>
                <w:rFonts w:hint="default" w:ascii="Arial" w:hAnsi="Arial" w:eastAsia="宋体" w:cs="Arial"/>
                <w:sz w:val="21"/>
                <w:szCs w:val="21"/>
              </w:rPr>
            </w:pPr>
            <w:r>
              <w:rPr>
                <w:rFonts w:hint="default" w:ascii="Arial" w:hAnsi="Arial" w:eastAsia="宋体" w:cs="Arial"/>
                <w:position w:val="1"/>
                <w:sz w:val="21"/>
                <w:szCs w:val="21"/>
              </w:rPr>
              <w:t>4</w:t>
            </w:r>
          </w:p>
        </w:tc>
        <w:tc>
          <w:tcPr>
            <w:tcW w:w="1050" w:type="dxa"/>
            <w:vAlign w:val="top"/>
          </w:tcPr>
          <w:p w14:paraId="5A536960">
            <w:pPr>
              <w:pStyle w:val="257"/>
              <w:spacing w:before="134" w:line="230" w:lineRule="auto"/>
              <w:ind w:left="9"/>
              <w:rPr>
                <w:rFonts w:hint="default" w:ascii="Arial" w:hAnsi="Arial" w:eastAsia="宋体" w:cs="Arial"/>
                <w:sz w:val="21"/>
                <w:szCs w:val="21"/>
              </w:rPr>
            </w:pPr>
            <w:r>
              <w:rPr>
                <w:rFonts w:hint="default" w:ascii="Arial" w:hAnsi="Arial" w:eastAsia="宋体" w:cs="Arial"/>
                <w:spacing w:val="4"/>
                <w:sz w:val="21"/>
                <w:szCs w:val="21"/>
              </w:rPr>
              <w:t>A020204</w:t>
            </w:r>
            <w:r>
              <w:rPr>
                <w:rFonts w:hint="default" w:ascii="Arial" w:hAnsi="Arial" w:eastAsia="宋体" w:cs="Arial"/>
                <w:spacing w:val="-34"/>
                <w:sz w:val="21"/>
                <w:szCs w:val="21"/>
              </w:rPr>
              <w:t xml:space="preserve"> </w:t>
            </w:r>
            <w:r>
              <w:rPr>
                <w:rFonts w:hint="default" w:ascii="Arial" w:hAnsi="Arial" w:eastAsia="宋体" w:cs="Arial"/>
                <w:spacing w:val="4"/>
                <w:sz w:val="21"/>
                <w:szCs w:val="21"/>
              </w:rPr>
              <w:t>多功</w:t>
            </w:r>
          </w:p>
          <w:p w14:paraId="64B209AC">
            <w:pPr>
              <w:pStyle w:val="257"/>
              <w:spacing w:before="75" w:line="228" w:lineRule="auto"/>
              <w:ind w:left="23"/>
              <w:rPr>
                <w:rFonts w:hint="default" w:ascii="Arial" w:hAnsi="Arial" w:eastAsia="宋体" w:cs="Arial"/>
                <w:sz w:val="21"/>
                <w:szCs w:val="21"/>
              </w:rPr>
            </w:pPr>
            <w:r>
              <w:rPr>
                <w:rFonts w:hint="default" w:ascii="Arial" w:hAnsi="Arial" w:eastAsia="宋体" w:cs="Arial"/>
                <w:spacing w:val="5"/>
                <w:sz w:val="21"/>
                <w:szCs w:val="21"/>
              </w:rPr>
              <w:t>能一体机</w:t>
            </w:r>
          </w:p>
        </w:tc>
        <w:tc>
          <w:tcPr>
            <w:tcW w:w="1786" w:type="dxa"/>
            <w:vAlign w:val="top"/>
          </w:tcPr>
          <w:p w14:paraId="798B9457">
            <w:pPr>
              <w:rPr>
                <w:rFonts w:hint="default" w:ascii="Arial" w:hAnsi="Arial" w:eastAsia="宋体" w:cs="Arial"/>
                <w:sz w:val="21"/>
                <w:szCs w:val="21"/>
              </w:rPr>
            </w:pPr>
          </w:p>
        </w:tc>
        <w:tc>
          <w:tcPr>
            <w:tcW w:w="1691" w:type="dxa"/>
            <w:vAlign w:val="top"/>
          </w:tcPr>
          <w:p w14:paraId="5AA17216">
            <w:pPr>
              <w:rPr>
                <w:rFonts w:hint="default" w:ascii="Arial" w:hAnsi="Arial" w:eastAsia="宋体" w:cs="Arial"/>
                <w:sz w:val="21"/>
                <w:szCs w:val="21"/>
              </w:rPr>
            </w:pPr>
          </w:p>
        </w:tc>
        <w:tc>
          <w:tcPr>
            <w:tcW w:w="4623" w:type="dxa"/>
            <w:vAlign w:val="top"/>
          </w:tcPr>
          <w:p w14:paraId="17A8257C">
            <w:pPr>
              <w:pStyle w:val="257"/>
              <w:spacing w:before="133" w:line="302" w:lineRule="auto"/>
              <w:ind w:left="22" w:right="13"/>
              <w:rPr>
                <w:rFonts w:hint="default" w:ascii="Arial" w:hAnsi="Arial" w:eastAsia="宋体" w:cs="Arial"/>
                <w:sz w:val="21"/>
                <w:szCs w:val="21"/>
              </w:rPr>
            </w:pPr>
            <w:r>
              <w:rPr>
                <w:rFonts w:hint="default" w:ascii="Arial" w:hAnsi="Arial" w:eastAsia="宋体" w:cs="Arial"/>
                <w:spacing w:val="5"/>
                <w:sz w:val="21"/>
                <w:szCs w:val="21"/>
              </w:rPr>
              <w:t>《复印机、打印机和传真机能效限</w:t>
            </w:r>
            <w:r>
              <w:rPr>
                <w:rFonts w:hint="default" w:ascii="Arial" w:hAnsi="Arial" w:eastAsia="宋体" w:cs="Arial"/>
                <w:sz w:val="21"/>
                <w:szCs w:val="21"/>
              </w:rPr>
              <w:t xml:space="preserve"> </w:t>
            </w:r>
            <w:r>
              <w:rPr>
                <w:rFonts w:hint="default" w:ascii="Arial" w:hAnsi="Arial" w:eastAsia="宋体" w:cs="Arial"/>
                <w:spacing w:val="7"/>
                <w:sz w:val="21"/>
                <w:szCs w:val="21"/>
              </w:rPr>
              <w:t>定值及能效等级》（</w:t>
            </w:r>
            <w:r>
              <w:rPr>
                <w:rFonts w:hint="default" w:ascii="Arial" w:hAnsi="Arial" w:eastAsia="宋体" w:cs="Arial"/>
                <w:sz w:val="21"/>
                <w:szCs w:val="21"/>
              </w:rPr>
              <w:t>GB</w:t>
            </w:r>
            <w:r>
              <w:rPr>
                <w:rFonts w:hint="default" w:ascii="Arial" w:hAnsi="Arial" w:eastAsia="宋体" w:cs="Arial"/>
                <w:spacing w:val="7"/>
                <w:sz w:val="21"/>
                <w:szCs w:val="21"/>
              </w:rPr>
              <w:t xml:space="preserve"> 21521）</w:t>
            </w:r>
          </w:p>
        </w:tc>
      </w:tr>
      <w:tr w14:paraId="21E9C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87" w:type="dxa"/>
            <w:vAlign w:val="top"/>
          </w:tcPr>
          <w:p w14:paraId="23F67604">
            <w:pPr>
              <w:pStyle w:val="257"/>
              <w:spacing w:before="227" w:line="256" w:lineRule="exact"/>
              <w:ind w:left="246"/>
              <w:rPr>
                <w:rFonts w:hint="default" w:ascii="Arial" w:hAnsi="Arial" w:eastAsia="宋体" w:cs="Arial"/>
                <w:sz w:val="21"/>
                <w:szCs w:val="21"/>
              </w:rPr>
            </w:pPr>
            <w:r>
              <w:rPr>
                <w:rFonts w:hint="default" w:ascii="Arial" w:hAnsi="Arial" w:eastAsia="宋体" w:cs="Arial"/>
                <w:position w:val="1"/>
                <w:sz w:val="21"/>
                <w:szCs w:val="21"/>
              </w:rPr>
              <w:t>5</w:t>
            </w:r>
          </w:p>
        </w:tc>
        <w:tc>
          <w:tcPr>
            <w:tcW w:w="1050" w:type="dxa"/>
            <w:vAlign w:val="top"/>
          </w:tcPr>
          <w:p w14:paraId="55CB746F">
            <w:pPr>
              <w:pStyle w:val="257"/>
              <w:spacing w:before="227" w:line="229" w:lineRule="auto"/>
              <w:ind w:left="9"/>
              <w:rPr>
                <w:rFonts w:hint="default" w:ascii="Arial" w:hAnsi="Arial" w:eastAsia="宋体" w:cs="Arial"/>
                <w:sz w:val="21"/>
                <w:szCs w:val="21"/>
              </w:rPr>
            </w:pPr>
            <w:r>
              <w:rPr>
                <w:rFonts w:hint="default" w:ascii="Arial" w:hAnsi="Arial" w:eastAsia="宋体" w:cs="Arial"/>
                <w:spacing w:val="4"/>
                <w:sz w:val="21"/>
                <w:szCs w:val="21"/>
              </w:rPr>
              <w:t>A020519</w:t>
            </w:r>
            <w:r>
              <w:rPr>
                <w:rFonts w:hint="default" w:ascii="Arial" w:hAnsi="Arial" w:eastAsia="宋体" w:cs="Arial"/>
                <w:spacing w:val="-32"/>
                <w:sz w:val="21"/>
                <w:szCs w:val="21"/>
              </w:rPr>
              <w:t xml:space="preserve"> </w:t>
            </w:r>
            <w:r>
              <w:rPr>
                <w:rFonts w:hint="default" w:ascii="Arial" w:hAnsi="Arial" w:eastAsia="宋体" w:cs="Arial"/>
                <w:spacing w:val="4"/>
                <w:sz w:val="21"/>
                <w:szCs w:val="21"/>
              </w:rPr>
              <w:t>泵</w:t>
            </w:r>
          </w:p>
        </w:tc>
        <w:tc>
          <w:tcPr>
            <w:tcW w:w="1786" w:type="dxa"/>
            <w:vAlign w:val="top"/>
          </w:tcPr>
          <w:p w14:paraId="32D1D5D1">
            <w:pPr>
              <w:pStyle w:val="257"/>
              <w:spacing w:before="227" w:line="229" w:lineRule="auto"/>
              <w:ind w:left="9"/>
              <w:rPr>
                <w:rFonts w:hint="default" w:ascii="Arial" w:hAnsi="Arial" w:eastAsia="宋体" w:cs="Arial"/>
                <w:sz w:val="21"/>
                <w:szCs w:val="21"/>
              </w:rPr>
            </w:pPr>
            <w:r>
              <w:rPr>
                <w:rFonts w:hint="default" w:ascii="Arial" w:hAnsi="Arial" w:eastAsia="宋体" w:cs="Arial"/>
                <w:spacing w:val="5"/>
                <w:sz w:val="21"/>
                <w:szCs w:val="21"/>
              </w:rPr>
              <w:t>A02051901</w:t>
            </w:r>
            <w:r>
              <w:rPr>
                <w:rFonts w:hint="default" w:ascii="Arial" w:hAnsi="Arial" w:eastAsia="宋体" w:cs="Arial"/>
                <w:spacing w:val="-33"/>
                <w:sz w:val="21"/>
                <w:szCs w:val="21"/>
              </w:rPr>
              <w:t xml:space="preserve"> </w:t>
            </w:r>
            <w:r>
              <w:rPr>
                <w:rFonts w:hint="default" w:ascii="Arial" w:hAnsi="Arial" w:eastAsia="宋体" w:cs="Arial"/>
                <w:spacing w:val="5"/>
                <w:sz w:val="21"/>
                <w:szCs w:val="21"/>
              </w:rPr>
              <w:t>离心泵</w:t>
            </w:r>
          </w:p>
        </w:tc>
        <w:tc>
          <w:tcPr>
            <w:tcW w:w="1691" w:type="dxa"/>
            <w:vAlign w:val="top"/>
          </w:tcPr>
          <w:p w14:paraId="25F44149">
            <w:pPr>
              <w:rPr>
                <w:rFonts w:hint="default" w:ascii="Arial" w:hAnsi="Arial" w:eastAsia="宋体" w:cs="Arial"/>
                <w:sz w:val="21"/>
                <w:szCs w:val="21"/>
              </w:rPr>
            </w:pPr>
          </w:p>
        </w:tc>
        <w:tc>
          <w:tcPr>
            <w:tcW w:w="4623" w:type="dxa"/>
            <w:vAlign w:val="top"/>
          </w:tcPr>
          <w:p w14:paraId="5DE31904">
            <w:pPr>
              <w:pStyle w:val="257"/>
              <w:spacing w:before="72" w:line="271" w:lineRule="auto"/>
              <w:ind w:left="17" w:right="11" w:firstLine="6"/>
              <w:rPr>
                <w:rFonts w:hint="default" w:ascii="Arial" w:hAnsi="Arial" w:eastAsia="宋体" w:cs="Arial"/>
                <w:sz w:val="21"/>
                <w:szCs w:val="21"/>
              </w:rPr>
            </w:pPr>
            <w:r>
              <w:rPr>
                <w:rFonts w:hint="default" w:ascii="Arial" w:hAnsi="Arial" w:eastAsia="宋体" w:cs="Arial"/>
                <w:spacing w:val="19"/>
                <w:sz w:val="21"/>
                <w:szCs w:val="21"/>
              </w:rPr>
              <w:t>《清水离心泵能效限定值及节能</w:t>
            </w:r>
            <w:r>
              <w:rPr>
                <w:rFonts w:hint="default" w:ascii="Arial" w:hAnsi="Arial" w:eastAsia="宋体" w:cs="Arial"/>
                <w:spacing w:val="2"/>
                <w:sz w:val="21"/>
                <w:szCs w:val="21"/>
              </w:rPr>
              <w:t xml:space="preserve"> </w:t>
            </w:r>
            <w:r>
              <w:rPr>
                <w:rFonts w:hint="default" w:ascii="Arial" w:hAnsi="Arial" w:eastAsia="宋体" w:cs="Arial"/>
                <w:spacing w:val="4"/>
                <w:sz w:val="21"/>
                <w:szCs w:val="21"/>
              </w:rPr>
              <w:t>评价值》（</w:t>
            </w:r>
            <w:r>
              <w:rPr>
                <w:rFonts w:hint="default" w:ascii="Arial" w:hAnsi="Arial" w:eastAsia="宋体" w:cs="Arial"/>
                <w:sz w:val="21"/>
                <w:szCs w:val="21"/>
              </w:rPr>
              <w:t>GB</w:t>
            </w:r>
            <w:r>
              <w:rPr>
                <w:rFonts w:hint="default" w:ascii="Arial" w:hAnsi="Arial" w:eastAsia="宋体" w:cs="Arial"/>
                <w:spacing w:val="39"/>
                <w:sz w:val="21"/>
                <w:szCs w:val="21"/>
              </w:rPr>
              <w:t xml:space="preserve"> </w:t>
            </w:r>
            <w:r>
              <w:rPr>
                <w:rFonts w:hint="default" w:ascii="Arial" w:hAnsi="Arial" w:eastAsia="宋体" w:cs="Arial"/>
                <w:spacing w:val="4"/>
                <w:sz w:val="21"/>
                <w:szCs w:val="21"/>
              </w:rPr>
              <w:t>19762）</w:t>
            </w:r>
          </w:p>
        </w:tc>
      </w:tr>
      <w:tr w14:paraId="31386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7" w:hRule="atLeast"/>
        </w:trPr>
        <w:tc>
          <w:tcPr>
            <w:tcW w:w="587" w:type="dxa"/>
            <w:vMerge w:val="restart"/>
            <w:tcBorders>
              <w:bottom w:val="nil"/>
            </w:tcBorders>
            <w:vAlign w:val="top"/>
          </w:tcPr>
          <w:p w14:paraId="7F5F898F">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6004FD54">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0D1B5A54">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2F9C1294">
            <w:pPr>
              <w:pStyle w:val="257"/>
              <w:keepNext w:val="0"/>
              <w:keepLines w:val="0"/>
              <w:pageBreakBefore w:val="0"/>
              <w:widowControl w:val="0"/>
              <w:kinsoku/>
              <w:wordWrap/>
              <w:overflowPunct/>
              <w:topLinePunct w:val="0"/>
              <w:autoSpaceDE/>
              <w:autoSpaceDN/>
              <w:bidi w:val="0"/>
              <w:adjustRightInd/>
              <w:spacing w:before="62" w:line="288" w:lineRule="auto"/>
              <w:ind w:left="244"/>
              <w:textAlignment w:val="auto"/>
              <w:rPr>
                <w:rFonts w:hint="default" w:ascii="Arial" w:hAnsi="Arial" w:eastAsia="宋体" w:cs="Arial"/>
                <w:sz w:val="21"/>
                <w:szCs w:val="21"/>
              </w:rPr>
            </w:pPr>
            <w:r>
              <w:rPr>
                <w:rFonts w:hint="default" w:ascii="Arial" w:hAnsi="Arial" w:eastAsia="宋体" w:cs="Arial"/>
                <w:position w:val="1"/>
                <w:sz w:val="21"/>
                <w:szCs w:val="21"/>
              </w:rPr>
              <w:t>6</w:t>
            </w:r>
          </w:p>
        </w:tc>
        <w:tc>
          <w:tcPr>
            <w:tcW w:w="1050" w:type="dxa"/>
            <w:vMerge w:val="restart"/>
            <w:tcBorders>
              <w:bottom w:val="nil"/>
            </w:tcBorders>
            <w:vAlign w:val="top"/>
          </w:tcPr>
          <w:p w14:paraId="7C6C1221">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1080EB1C">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109E7F2F">
            <w:pPr>
              <w:pStyle w:val="257"/>
              <w:keepNext w:val="0"/>
              <w:keepLines w:val="0"/>
              <w:pageBreakBefore w:val="0"/>
              <w:widowControl w:val="0"/>
              <w:kinsoku/>
              <w:wordWrap/>
              <w:overflowPunct/>
              <w:topLinePunct w:val="0"/>
              <w:autoSpaceDE/>
              <w:autoSpaceDN/>
              <w:bidi w:val="0"/>
              <w:adjustRightInd/>
              <w:spacing w:before="61" w:line="288" w:lineRule="auto"/>
              <w:ind w:left="9"/>
              <w:textAlignment w:val="auto"/>
              <w:rPr>
                <w:rFonts w:hint="default" w:ascii="Arial" w:hAnsi="Arial" w:eastAsia="宋体" w:cs="Arial"/>
                <w:sz w:val="21"/>
                <w:szCs w:val="21"/>
              </w:rPr>
            </w:pPr>
            <w:r>
              <w:rPr>
                <w:rFonts w:hint="default" w:ascii="Arial" w:hAnsi="Arial" w:eastAsia="宋体" w:cs="Arial"/>
                <w:spacing w:val="5"/>
                <w:sz w:val="21"/>
                <w:szCs w:val="21"/>
              </w:rPr>
              <w:t>A020523</w:t>
            </w:r>
            <w:r>
              <w:rPr>
                <w:rFonts w:hint="default" w:ascii="Arial" w:hAnsi="Arial" w:eastAsia="宋体" w:cs="Arial"/>
                <w:spacing w:val="-43"/>
                <w:sz w:val="21"/>
                <w:szCs w:val="21"/>
              </w:rPr>
              <w:t xml:space="preserve"> </w:t>
            </w:r>
            <w:r>
              <w:rPr>
                <w:rFonts w:hint="default" w:ascii="Arial" w:hAnsi="Arial" w:eastAsia="宋体" w:cs="Arial"/>
                <w:spacing w:val="5"/>
                <w:sz w:val="21"/>
                <w:szCs w:val="21"/>
              </w:rPr>
              <w:t>制冷</w:t>
            </w:r>
          </w:p>
          <w:p w14:paraId="743302EF">
            <w:pPr>
              <w:pStyle w:val="257"/>
              <w:keepNext w:val="0"/>
              <w:keepLines w:val="0"/>
              <w:pageBreakBefore w:val="0"/>
              <w:widowControl w:val="0"/>
              <w:kinsoku/>
              <w:wordWrap/>
              <w:overflowPunct/>
              <w:topLinePunct w:val="0"/>
              <w:autoSpaceDE/>
              <w:autoSpaceDN/>
              <w:bidi w:val="0"/>
              <w:adjustRightInd/>
              <w:spacing w:before="75" w:line="288" w:lineRule="auto"/>
              <w:ind w:left="21"/>
              <w:textAlignment w:val="auto"/>
              <w:rPr>
                <w:rFonts w:hint="default" w:ascii="Arial" w:hAnsi="Arial" w:eastAsia="宋体" w:cs="Arial"/>
                <w:sz w:val="21"/>
                <w:szCs w:val="21"/>
              </w:rPr>
            </w:pPr>
            <w:r>
              <w:rPr>
                <w:rFonts w:hint="default" w:ascii="Arial" w:hAnsi="Arial" w:eastAsia="宋体" w:cs="Arial"/>
                <w:spacing w:val="5"/>
                <w:sz w:val="21"/>
                <w:szCs w:val="21"/>
              </w:rPr>
              <w:t>空调设备</w:t>
            </w:r>
          </w:p>
        </w:tc>
        <w:tc>
          <w:tcPr>
            <w:tcW w:w="1786" w:type="dxa"/>
            <w:vMerge w:val="restart"/>
            <w:tcBorders>
              <w:bottom w:val="nil"/>
            </w:tcBorders>
            <w:vAlign w:val="top"/>
          </w:tcPr>
          <w:p w14:paraId="0C9D345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4136821A">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0329F5B6">
            <w:pPr>
              <w:pStyle w:val="257"/>
              <w:keepNext w:val="0"/>
              <w:keepLines w:val="0"/>
              <w:pageBreakBefore w:val="0"/>
              <w:widowControl w:val="0"/>
              <w:kinsoku/>
              <w:wordWrap/>
              <w:overflowPunct/>
              <w:topLinePunct w:val="0"/>
              <w:autoSpaceDE/>
              <w:autoSpaceDN/>
              <w:bidi w:val="0"/>
              <w:adjustRightInd/>
              <w:spacing w:before="62" w:line="288" w:lineRule="auto"/>
              <w:ind w:left="15" w:right="10" w:firstLine="3"/>
              <w:textAlignment w:val="auto"/>
              <w:rPr>
                <w:rFonts w:hint="default" w:ascii="Arial" w:hAnsi="Arial" w:eastAsia="宋体" w:cs="Arial"/>
                <w:sz w:val="21"/>
                <w:szCs w:val="21"/>
              </w:rPr>
            </w:pPr>
            <w:r>
              <w:rPr>
                <w:rFonts w:hint="default" w:ascii="Arial" w:hAnsi="Arial" w:eastAsia="宋体" w:cs="Arial"/>
                <w:spacing w:val="3"/>
                <w:sz w:val="21"/>
                <w:szCs w:val="21"/>
              </w:rPr>
              <w:t>★A02052301 制冷压</w:t>
            </w:r>
            <w:r>
              <w:rPr>
                <w:rFonts w:hint="default" w:ascii="Arial" w:hAnsi="Arial" w:eastAsia="宋体" w:cs="Arial"/>
                <w:spacing w:val="12"/>
                <w:sz w:val="21"/>
                <w:szCs w:val="21"/>
              </w:rPr>
              <w:t xml:space="preserve"> </w:t>
            </w:r>
            <w:r>
              <w:rPr>
                <w:rFonts w:hint="default" w:ascii="Arial" w:hAnsi="Arial" w:eastAsia="宋体" w:cs="Arial"/>
                <w:spacing w:val="5"/>
                <w:sz w:val="21"/>
                <w:szCs w:val="21"/>
              </w:rPr>
              <w:t>缩机</w:t>
            </w:r>
          </w:p>
        </w:tc>
        <w:tc>
          <w:tcPr>
            <w:tcW w:w="1691" w:type="dxa"/>
            <w:vAlign w:val="top"/>
          </w:tcPr>
          <w:p w14:paraId="25AD69B8">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18D5226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273C3DD7">
            <w:pPr>
              <w:pStyle w:val="257"/>
              <w:keepNext w:val="0"/>
              <w:keepLines w:val="0"/>
              <w:pageBreakBefore w:val="0"/>
              <w:widowControl w:val="0"/>
              <w:kinsoku/>
              <w:wordWrap/>
              <w:overflowPunct/>
              <w:topLinePunct w:val="0"/>
              <w:autoSpaceDE/>
              <w:autoSpaceDN/>
              <w:bidi w:val="0"/>
              <w:adjustRightInd/>
              <w:spacing w:before="61" w:line="288" w:lineRule="auto"/>
              <w:ind w:left="18"/>
              <w:textAlignment w:val="auto"/>
              <w:rPr>
                <w:rFonts w:hint="default" w:ascii="Arial" w:hAnsi="Arial" w:eastAsia="宋体" w:cs="Arial"/>
                <w:sz w:val="21"/>
                <w:szCs w:val="21"/>
              </w:rPr>
            </w:pPr>
            <w:r>
              <w:rPr>
                <w:rFonts w:hint="default" w:ascii="Arial" w:hAnsi="Arial" w:eastAsia="宋体" w:cs="Arial"/>
                <w:spacing w:val="6"/>
                <w:sz w:val="21"/>
                <w:szCs w:val="21"/>
              </w:rPr>
              <w:t>冷水机组</w:t>
            </w:r>
          </w:p>
        </w:tc>
        <w:tc>
          <w:tcPr>
            <w:tcW w:w="4623" w:type="dxa"/>
            <w:vAlign w:val="top"/>
          </w:tcPr>
          <w:p w14:paraId="4FEBE0EA">
            <w:pPr>
              <w:pStyle w:val="257"/>
              <w:keepNext w:val="0"/>
              <w:keepLines w:val="0"/>
              <w:pageBreakBefore w:val="0"/>
              <w:widowControl w:val="0"/>
              <w:kinsoku/>
              <w:wordWrap/>
              <w:overflowPunct/>
              <w:topLinePunct w:val="0"/>
              <w:autoSpaceDE/>
              <w:autoSpaceDN/>
              <w:bidi w:val="0"/>
              <w:adjustRightInd/>
              <w:spacing w:before="96" w:line="288" w:lineRule="auto"/>
              <w:ind w:left="17" w:right="11" w:firstLine="5"/>
              <w:jc w:val="both"/>
              <w:textAlignment w:val="auto"/>
              <w:rPr>
                <w:rFonts w:hint="default" w:ascii="Arial" w:hAnsi="Arial" w:eastAsia="宋体" w:cs="Arial"/>
                <w:sz w:val="21"/>
                <w:szCs w:val="21"/>
              </w:rPr>
            </w:pPr>
            <w:r>
              <w:rPr>
                <w:rFonts w:hint="default" w:ascii="Arial" w:hAnsi="Arial" w:eastAsia="宋体" w:cs="Arial"/>
                <w:spacing w:val="19"/>
                <w:sz w:val="21"/>
                <w:szCs w:val="21"/>
              </w:rPr>
              <w:t>《冷水机组能效限定值及能效等</w:t>
            </w:r>
            <w:r>
              <w:rPr>
                <w:rFonts w:hint="default" w:ascii="Arial" w:hAnsi="Arial" w:eastAsia="宋体" w:cs="Arial"/>
                <w:spacing w:val="2"/>
                <w:sz w:val="21"/>
                <w:szCs w:val="21"/>
              </w:rPr>
              <w:t xml:space="preserve"> </w:t>
            </w:r>
            <w:r>
              <w:rPr>
                <w:rFonts w:hint="default" w:ascii="Arial" w:hAnsi="Arial" w:eastAsia="宋体" w:cs="Arial"/>
                <w:spacing w:val="6"/>
                <w:sz w:val="21"/>
                <w:szCs w:val="21"/>
              </w:rPr>
              <w:t>级》（</w:t>
            </w:r>
            <w:r>
              <w:rPr>
                <w:rFonts w:hint="default" w:ascii="Arial" w:hAnsi="Arial" w:eastAsia="宋体" w:cs="Arial"/>
                <w:sz w:val="21"/>
                <w:szCs w:val="21"/>
              </w:rPr>
              <w:t>GB</w:t>
            </w:r>
            <w:r>
              <w:rPr>
                <w:rFonts w:hint="default" w:ascii="Arial" w:hAnsi="Arial" w:eastAsia="宋体" w:cs="Arial"/>
                <w:spacing w:val="-21"/>
                <w:sz w:val="21"/>
                <w:szCs w:val="21"/>
              </w:rPr>
              <w:t xml:space="preserve"> </w:t>
            </w:r>
            <w:r>
              <w:rPr>
                <w:rFonts w:hint="default" w:ascii="Arial" w:hAnsi="Arial" w:eastAsia="宋体" w:cs="Arial"/>
                <w:spacing w:val="6"/>
                <w:sz w:val="21"/>
                <w:szCs w:val="21"/>
              </w:rPr>
              <w:t>19577</w:t>
            </w:r>
            <w:r>
              <w:rPr>
                <w:rFonts w:hint="default" w:ascii="Arial" w:hAnsi="Arial" w:eastAsia="宋体" w:cs="Arial"/>
                <w:spacing w:val="9"/>
                <w:sz w:val="21"/>
                <w:szCs w:val="21"/>
              </w:rPr>
              <w:t>），</w:t>
            </w:r>
            <w:r>
              <w:rPr>
                <w:rFonts w:hint="default" w:ascii="Arial" w:hAnsi="Arial" w:eastAsia="宋体" w:cs="Arial"/>
                <w:spacing w:val="6"/>
                <w:sz w:val="21"/>
                <w:szCs w:val="21"/>
              </w:rPr>
              <w:t>《低环境温度</w:t>
            </w:r>
            <w:r>
              <w:rPr>
                <w:rFonts w:hint="default" w:ascii="Arial" w:hAnsi="Arial" w:eastAsia="宋体" w:cs="Arial"/>
                <w:sz w:val="21"/>
                <w:szCs w:val="21"/>
              </w:rPr>
              <w:t xml:space="preserve"> </w:t>
            </w:r>
            <w:r>
              <w:rPr>
                <w:rFonts w:hint="default" w:ascii="Arial" w:hAnsi="Arial" w:eastAsia="宋体" w:cs="Arial"/>
                <w:spacing w:val="5"/>
                <w:sz w:val="21"/>
                <w:szCs w:val="21"/>
              </w:rPr>
              <w:t>空气源热泵（冷水）机组能效限定</w:t>
            </w:r>
            <w:r>
              <w:rPr>
                <w:rFonts w:hint="default" w:ascii="Arial" w:hAnsi="Arial" w:eastAsia="宋体" w:cs="Arial"/>
                <w:spacing w:val="6"/>
                <w:sz w:val="21"/>
                <w:szCs w:val="21"/>
              </w:rPr>
              <w:t xml:space="preserve"> </w:t>
            </w:r>
            <w:r>
              <w:rPr>
                <w:rFonts w:hint="default" w:ascii="Arial" w:hAnsi="Arial" w:eastAsia="宋体" w:cs="Arial"/>
                <w:spacing w:val="7"/>
                <w:sz w:val="21"/>
                <w:szCs w:val="21"/>
              </w:rPr>
              <w:t>值及能效等级》（</w:t>
            </w:r>
            <w:r>
              <w:rPr>
                <w:rFonts w:hint="default" w:ascii="Arial" w:hAnsi="Arial" w:eastAsia="宋体" w:cs="Arial"/>
                <w:sz w:val="21"/>
                <w:szCs w:val="21"/>
              </w:rPr>
              <w:t>GB</w:t>
            </w:r>
            <w:r>
              <w:rPr>
                <w:rFonts w:hint="default" w:ascii="Arial" w:hAnsi="Arial" w:eastAsia="宋体" w:cs="Arial"/>
                <w:spacing w:val="7"/>
                <w:sz w:val="21"/>
                <w:szCs w:val="21"/>
              </w:rPr>
              <w:t xml:space="preserve"> 37480）</w:t>
            </w:r>
          </w:p>
        </w:tc>
      </w:tr>
      <w:tr w14:paraId="67049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587" w:type="dxa"/>
            <w:vMerge w:val="continue"/>
            <w:tcBorders>
              <w:top w:val="nil"/>
            </w:tcBorders>
            <w:vAlign w:val="top"/>
          </w:tcPr>
          <w:p w14:paraId="23906384">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050" w:type="dxa"/>
            <w:vMerge w:val="continue"/>
            <w:tcBorders>
              <w:top w:val="nil"/>
            </w:tcBorders>
            <w:vAlign w:val="top"/>
          </w:tcPr>
          <w:p w14:paraId="7A0BAD70">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786" w:type="dxa"/>
            <w:vMerge w:val="continue"/>
            <w:tcBorders>
              <w:top w:val="nil"/>
            </w:tcBorders>
            <w:vAlign w:val="top"/>
          </w:tcPr>
          <w:p w14:paraId="6E0EE60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691" w:type="dxa"/>
            <w:vAlign w:val="top"/>
          </w:tcPr>
          <w:p w14:paraId="2E1FBFD3">
            <w:pPr>
              <w:pStyle w:val="257"/>
              <w:keepNext w:val="0"/>
              <w:keepLines w:val="0"/>
              <w:pageBreakBefore w:val="0"/>
              <w:widowControl w:val="0"/>
              <w:kinsoku/>
              <w:wordWrap/>
              <w:overflowPunct/>
              <w:topLinePunct w:val="0"/>
              <w:autoSpaceDE/>
              <w:autoSpaceDN/>
              <w:bidi w:val="0"/>
              <w:adjustRightInd/>
              <w:spacing w:before="276" w:line="288" w:lineRule="auto"/>
              <w:ind w:left="19"/>
              <w:textAlignment w:val="auto"/>
              <w:rPr>
                <w:rFonts w:hint="default" w:ascii="Arial" w:hAnsi="Arial" w:eastAsia="宋体" w:cs="Arial"/>
                <w:sz w:val="21"/>
                <w:szCs w:val="21"/>
              </w:rPr>
            </w:pPr>
            <w:r>
              <w:rPr>
                <w:rFonts w:hint="default" w:ascii="Arial" w:hAnsi="Arial" w:eastAsia="宋体" w:cs="Arial"/>
                <w:spacing w:val="7"/>
                <w:sz w:val="21"/>
                <w:szCs w:val="21"/>
              </w:rPr>
              <w:t>水源热泵机组</w:t>
            </w:r>
          </w:p>
        </w:tc>
        <w:tc>
          <w:tcPr>
            <w:tcW w:w="4623" w:type="dxa"/>
            <w:vAlign w:val="top"/>
          </w:tcPr>
          <w:p w14:paraId="6B09B45B">
            <w:pPr>
              <w:pStyle w:val="257"/>
              <w:keepNext w:val="0"/>
              <w:keepLines w:val="0"/>
              <w:pageBreakBefore w:val="0"/>
              <w:widowControl w:val="0"/>
              <w:kinsoku/>
              <w:wordWrap/>
              <w:overflowPunct/>
              <w:topLinePunct w:val="0"/>
              <w:autoSpaceDE/>
              <w:autoSpaceDN/>
              <w:bidi w:val="0"/>
              <w:adjustRightInd/>
              <w:spacing w:before="120" w:line="288" w:lineRule="auto"/>
              <w:ind w:left="17" w:right="13" w:firstLine="6"/>
              <w:textAlignment w:val="auto"/>
              <w:rPr>
                <w:rFonts w:hint="default" w:ascii="Arial" w:hAnsi="Arial" w:eastAsia="宋体" w:cs="Arial"/>
                <w:sz w:val="21"/>
                <w:szCs w:val="21"/>
              </w:rPr>
            </w:pPr>
            <w:r>
              <w:rPr>
                <w:rFonts w:hint="default" w:ascii="Arial" w:hAnsi="Arial" w:eastAsia="宋体" w:cs="Arial"/>
                <w:spacing w:val="5"/>
                <w:sz w:val="21"/>
                <w:szCs w:val="21"/>
              </w:rPr>
              <w:t>《水（地）源热泵机组能效限定值</w:t>
            </w:r>
            <w:r>
              <w:rPr>
                <w:rFonts w:hint="default" w:ascii="Arial" w:hAnsi="Arial" w:eastAsia="宋体" w:cs="Arial"/>
                <w:sz w:val="21"/>
                <w:szCs w:val="21"/>
              </w:rPr>
              <w:t xml:space="preserve"> </w:t>
            </w:r>
            <w:r>
              <w:rPr>
                <w:rFonts w:hint="default" w:ascii="Arial" w:hAnsi="Arial" w:eastAsia="宋体" w:cs="Arial"/>
                <w:spacing w:val="7"/>
                <w:sz w:val="21"/>
                <w:szCs w:val="21"/>
              </w:rPr>
              <w:t>及能效等级》（</w:t>
            </w:r>
            <w:r>
              <w:rPr>
                <w:rFonts w:hint="default" w:ascii="Arial" w:hAnsi="Arial" w:eastAsia="宋体" w:cs="Arial"/>
                <w:sz w:val="21"/>
                <w:szCs w:val="21"/>
              </w:rPr>
              <w:t>GB</w:t>
            </w:r>
            <w:r>
              <w:rPr>
                <w:rFonts w:hint="default" w:ascii="Arial" w:hAnsi="Arial" w:eastAsia="宋体" w:cs="Arial"/>
                <w:spacing w:val="7"/>
                <w:sz w:val="21"/>
                <w:szCs w:val="21"/>
              </w:rPr>
              <w:t xml:space="preserve"> 30721）</w:t>
            </w:r>
          </w:p>
        </w:tc>
      </w:tr>
    </w:tbl>
    <w:p w14:paraId="4E0066F2">
      <w:pPr>
        <w:keepNext w:val="0"/>
        <w:keepLines w:val="0"/>
        <w:pageBreakBefore w:val="0"/>
        <w:widowControl w:val="0"/>
        <w:kinsoku/>
        <w:wordWrap/>
        <w:overflowPunct/>
        <w:topLinePunct w:val="0"/>
        <w:autoSpaceDE/>
        <w:autoSpaceDN/>
        <w:bidi w:val="0"/>
        <w:adjustRightInd/>
        <w:spacing w:line="288" w:lineRule="auto"/>
        <w:textAlignment w:val="auto"/>
        <w:rPr>
          <w:rFonts w:ascii="Arial"/>
          <w:sz w:val="21"/>
        </w:rPr>
      </w:pPr>
    </w:p>
    <w:p w14:paraId="47423BD4">
      <w:pPr>
        <w:keepNext w:val="0"/>
        <w:keepLines w:val="0"/>
        <w:pageBreakBefore w:val="0"/>
        <w:widowControl w:val="0"/>
        <w:kinsoku/>
        <w:wordWrap/>
        <w:overflowPunct/>
        <w:topLinePunct w:val="0"/>
        <w:autoSpaceDE/>
        <w:autoSpaceDN/>
        <w:bidi w:val="0"/>
        <w:adjustRightInd/>
        <w:spacing w:line="288" w:lineRule="auto"/>
        <w:textAlignment w:val="auto"/>
        <w:rPr>
          <w:rFonts w:ascii="Arial" w:hAnsi="Arial" w:eastAsia="Arial" w:cs="Arial"/>
          <w:sz w:val="21"/>
          <w:szCs w:val="21"/>
        </w:rPr>
        <w:sectPr>
          <w:pgSz w:w="11906" w:h="16838"/>
          <w:pgMar w:top="992" w:right="1134" w:bottom="1247" w:left="1417" w:header="850" w:footer="992" w:gutter="0"/>
          <w:pgBorders>
            <w:top w:val="none" w:sz="0" w:space="0"/>
            <w:left w:val="none" w:sz="0" w:space="0"/>
            <w:bottom w:val="none" w:sz="0" w:space="0"/>
            <w:right w:val="none" w:sz="0" w:space="0"/>
          </w:pgBorders>
          <w:cols w:space="720" w:num="1"/>
        </w:sectPr>
      </w:pPr>
    </w:p>
    <w:p w14:paraId="6F0C3D02">
      <w:pPr>
        <w:keepNext w:val="0"/>
        <w:keepLines w:val="0"/>
        <w:pageBreakBefore w:val="0"/>
        <w:widowControl w:val="0"/>
        <w:kinsoku/>
        <w:wordWrap/>
        <w:overflowPunct/>
        <w:topLinePunct w:val="0"/>
        <w:autoSpaceDE/>
        <w:autoSpaceDN/>
        <w:bidi w:val="0"/>
        <w:adjustRightInd/>
        <w:spacing w:line="288" w:lineRule="auto"/>
        <w:textAlignment w:val="auto"/>
        <w:rPr>
          <w:rFonts w:ascii="Arial"/>
          <w:sz w:val="2"/>
        </w:rPr>
      </w:pPr>
    </w:p>
    <w:tbl>
      <w:tblPr>
        <w:tblStyle w:val="258"/>
        <w:tblW w:w="9723" w:type="dxa"/>
        <w:tblInd w:w="-8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3"/>
        <w:gridCol w:w="1077"/>
        <w:gridCol w:w="1786"/>
        <w:gridCol w:w="1678"/>
        <w:gridCol w:w="4609"/>
      </w:tblGrid>
      <w:tr w14:paraId="108F3E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573" w:type="dxa"/>
            <w:vMerge w:val="restart"/>
            <w:tcBorders>
              <w:bottom w:val="nil"/>
            </w:tcBorders>
            <w:vAlign w:val="top"/>
          </w:tcPr>
          <w:p w14:paraId="34DDC35A">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077" w:type="dxa"/>
            <w:vMerge w:val="restart"/>
            <w:tcBorders>
              <w:bottom w:val="nil"/>
            </w:tcBorders>
            <w:vAlign w:val="top"/>
          </w:tcPr>
          <w:p w14:paraId="1295C6B7">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786" w:type="dxa"/>
            <w:vAlign w:val="top"/>
          </w:tcPr>
          <w:p w14:paraId="051857CC">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678" w:type="dxa"/>
            <w:vAlign w:val="top"/>
          </w:tcPr>
          <w:p w14:paraId="549510A5">
            <w:pPr>
              <w:pStyle w:val="257"/>
              <w:keepNext w:val="0"/>
              <w:keepLines w:val="0"/>
              <w:pageBreakBefore w:val="0"/>
              <w:widowControl w:val="0"/>
              <w:kinsoku/>
              <w:wordWrap/>
              <w:overflowPunct/>
              <w:topLinePunct w:val="0"/>
              <w:autoSpaceDE/>
              <w:autoSpaceDN/>
              <w:bidi w:val="0"/>
              <w:adjustRightInd/>
              <w:spacing w:before="159" w:line="288" w:lineRule="auto"/>
              <w:ind w:left="19" w:right="11" w:firstLine="1"/>
              <w:textAlignment w:val="auto"/>
              <w:rPr>
                <w:rFonts w:hint="default" w:ascii="Arial" w:hAnsi="Arial" w:eastAsia="宋体" w:cs="Arial"/>
                <w:sz w:val="21"/>
                <w:szCs w:val="21"/>
              </w:rPr>
            </w:pPr>
            <w:r>
              <w:rPr>
                <w:rFonts w:hint="default" w:ascii="Arial" w:hAnsi="Arial" w:eastAsia="宋体" w:cs="Arial"/>
                <w:spacing w:val="18"/>
                <w:sz w:val="21"/>
                <w:szCs w:val="21"/>
              </w:rPr>
              <w:t>溴化锂吸收式冷水机</w:t>
            </w:r>
            <w:r>
              <w:rPr>
                <w:rFonts w:hint="default" w:ascii="Arial" w:hAnsi="Arial" w:eastAsia="宋体" w:cs="Arial"/>
                <w:spacing w:val="4"/>
                <w:sz w:val="21"/>
                <w:szCs w:val="21"/>
              </w:rPr>
              <w:t xml:space="preserve"> </w:t>
            </w:r>
            <w:r>
              <w:rPr>
                <w:rFonts w:hint="default" w:ascii="Arial" w:hAnsi="Arial" w:eastAsia="宋体" w:cs="Arial"/>
                <w:sz w:val="21"/>
                <w:szCs w:val="21"/>
              </w:rPr>
              <w:t>组</w:t>
            </w:r>
          </w:p>
        </w:tc>
        <w:tc>
          <w:tcPr>
            <w:tcW w:w="4609" w:type="dxa"/>
            <w:vAlign w:val="top"/>
          </w:tcPr>
          <w:p w14:paraId="75C2DCD0">
            <w:pPr>
              <w:pStyle w:val="257"/>
              <w:keepNext w:val="0"/>
              <w:keepLines w:val="0"/>
              <w:pageBreakBefore w:val="0"/>
              <w:widowControl w:val="0"/>
              <w:kinsoku/>
              <w:wordWrap/>
              <w:overflowPunct/>
              <w:topLinePunct w:val="0"/>
              <w:autoSpaceDE/>
              <w:autoSpaceDN/>
              <w:bidi w:val="0"/>
              <w:adjustRightInd/>
              <w:spacing w:before="160" w:line="288" w:lineRule="auto"/>
              <w:ind w:left="22" w:right="11"/>
              <w:textAlignment w:val="auto"/>
              <w:rPr>
                <w:rFonts w:hint="default" w:ascii="Arial" w:hAnsi="Arial" w:eastAsia="宋体" w:cs="Arial"/>
                <w:sz w:val="21"/>
                <w:szCs w:val="21"/>
              </w:rPr>
            </w:pPr>
            <w:r>
              <w:rPr>
                <w:rFonts w:hint="default" w:ascii="Arial" w:hAnsi="Arial" w:eastAsia="宋体" w:cs="Arial"/>
                <w:spacing w:val="19"/>
                <w:sz w:val="21"/>
                <w:szCs w:val="21"/>
              </w:rPr>
              <w:t>《溴化锂吸收式冷水机组能效限</w:t>
            </w:r>
            <w:r>
              <w:rPr>
                <w:rFonts w:hint="default" w:ascii="Arial" w:hAnsi="Arial" w:eastAsia="宋体" w:cs="Arial"/>
                <w:spacing w:val="2"/>
                <w:sz w:val="21"/>
                <w:szCs w:val="21"/>
              </w:rPr>
              <w:t xml:space="preserve"> </w:t>
            </w:r>
            <w:r>
              <w:rPr>
                <w:rFonts w:hint="default" w:ascii="Arial" w:hAnsi="Arial" w:eastAsia="宋体" w:cs="Arial"/>
                <w:spacing w:val="7"/>
                <w:sz w:val="21"/>
                <w:szCs w:val="21"/>
              </w:rPr>
              <w:t>定值及能效等级》（</w:t>
            </w:r>
            <w:r>
              <w:rPr>
                <w:rFonts w:hint="default" w:ascii="Arial" w:hAnsi="Arial" w:eastAsia="宋体" w:cs="Arial"/>
                <w:sz w:val="21"/>
                <w:szCs w:val="21"/>
              </w:rPr>
              <w:t>GB</w:t>
            </w:r>
            <w:r>
              <w:rPr>
                <w:rFonts w:hint="default" w:ascii="Arial" w:hAnsi="Arial" w:eastAsia="宋体" w:cs="Arial"/>
                <w:spacing w:val="7"/>
                <w:sz w:val="21"/>
                <w:szCs w:val="21"/>
              </w:rPr>
              <w:t xml:space="preserve"> 29540）</w:t>
            </w:r>
          </w:p>
        </w:tc>
      </w:tr>
      <w:tr w14:paraId="0C6F3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3" w:type="dxa"/>
            <w:vMerge w:val="continue"/>
            <w:tcBorders>
              <w:top w:val="nil"/>
              <w:bottom w:val="nil"/>
            </w:tcBorders>
            <w:vAlign w:val="top"/>
          </w:tcPr>
          <w:p w14:paraId="1E712B95">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077" w:type="dxa"/>
            <w:vMerge w:val="continue"/>
            <w:tcBorders>
              <w:top w:val="nil"/>
              <w:bottom w:val="nil"/>
            </w:tcBorders>
            <w:vAlign w:val="top"/>
          </w:tcPr>
          <w:p w14:paraId="13D0E73E">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786" w:type="dxa"/>
            <w:vMerge w:val="restart"/>
            <w:tcBorders>
              <w:bottom w:val="nil"/>
            </w:tcBorders>
            <w:vAlign w:val="top"/>
          </w:tcPr>
          <w:p w14:paraId="29D9A29D">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4D8D1BB0">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339DFC02">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7696CF3E">
            <w:pPr>
              <w:pStyle w:val="257"/>
              <w:keepNext w:val="0"/>
              <w:keepLines w:val="0"/>
              <w:pageBreakBefore w:val="0"/>
              <w:widowControl w:val="0"/>
              <w:kinsoku/>
              <w:wordWrap/>
              <w:overflowPunct/>
              <w:topLinePunct w:val="0"/>
              <w:autoSpaceDE/>
              <w:autoSpaceDN/>
              <w:bidi w:val="0"/>
              <w:adjustRightInd/>
              <w:spacing w:before="62" w:line="288" w:lineRule="auto"/>
              <w:ind w:left="17" w:right="10"/>
              <w:textAlignment w:val="auto"/>
              <w:rPr>
                <w:rFonts w:hint="default" w:ascii="Arial" w:hAnsi="Arial" w:eastAsia="宋体" w:cs="Arial"/>
                <w:sz w:val="21"/>
                <w:szCs w:val="21"/>
              </w:rPr>
            </w:pPr>
            <w:r>
              <w:rPr>
                <w:rFonts w:hint="default" w:ascii="Arial" w:hAnsi="Arial" w:eastAsia="宋体" w:cs="Arial"/>
                <w:spacing w:val="3"/>
                <w:sz w:val="21"/>
                <w:szCs w:val="21"/>
              </w:rPr>
              <w:t>★A02052305 空调机</w:t>
            </w:r>
            <w:r>
              <w:rPr>
                <w:rFonts w:hint="default" w:ascii="Arial" w:hAnsi="Arial" w:eastAsia="宋体" w:cs="Arial"/>
                <w:spacing w:val="12"/>
                <w:sz w:val="21"/>
                <w:szCs w:val="21"/>
              </w:rPr>
              <w:t xml:space="preserve"> </w:t>
            </w:r>
            <w:r>
              <w:rPr>
                <w:rFonts w:hint="default" w:ascii="Arial" w:hAnsi="Arial" w:eastAsia="宋体" w:cs="Arial"/>
                <w:sz w:val="21"/>
                <w:szCs w:val="21"/>
              </w:rPr>
              <w:t>组</w:t>
            </w:r>
          </w:p>
        </w:tc>
        <w:tc>
          <w:tcPr>
            <w:tcW w:w="1678" w:type="dxa"/>
            <w:vAlign w:val="top"/>
          </w:tcPr>
          <w:p w14:paraId="67D043F6">
            <w:pPr>
              <w:pStyle w:val="257"/>
              <w:keepNext w:val="0"/>
              <w:keepLines w:val="0"/>
              <w:pageBreakBefore w:val="0"/>
              <w:widowControl w:val="0"/>
              <w:kinsoku/>
              <w:wordWrap/>
              <w:overflowPunct/>
              <w:topLinePunct w:val="0"/>
              <w:autoSpaceDE/>
              <w:autoSpaceDN/>
              <w:bidi w:val="0"/>
              <w:adjustRightInd/>
              <w:spacing w:before="65" w:line="288" w:lineRule="auto"/>
              <w:ind w:left="15" w:right="11" w:firstLine="10"/>
              <w:jc w:val="both"/>
              <w:textAlignment w:val="auto"/>
              <w:rPr>
                <w:rFonts w:hint="default" w:ascii="Arial" w:hAnsi="Arial" w:eastAsia="宋体" w:cs="Arial"/>
                <w:sz w:val="21"/>
                <w:szCs w:val="21"/>
              </w:rPr>
            </w:pPr>
            <w:r>
              <w:rPr>
                <w:rFonts w:hint="default" w:ascii="Arial" w:hAnsi="Arial" w:eastAsia="宋体" w:cs="Arial"/>
                <w:spacing w:val="15"/>
                <w:sz w:val="21"/>
                <w:szCs w:val="21"/>
              </w:rPr>
              <w:t>多联式空调（热泵）</w:t>
            </w:r>
            <w:r>
              <w:rPr>
                <w:rFonts w:hint="default" w:ascii="Arial" w:hAnsi="Arial" w:eastAsia="宋体" w:cs="Arial"/>
                <w:spacing w:val="7"/>
                <w:sz w:val="21"/>
                <w:szCs w:val="21"/>
              </w:rPr>
              <w:t xml:space="preserve"> </w:t>
            </w:r>
            <w:r>
              <w:rPr>
                <w:rFonts w:hint="default" w:ascii="Arial" w:hAnsi="Arial" w:eastAsia="宋体" w:cs="Arial"/>
                <w:spacing w:val="-8"/>
                <w:sz w:val="21"/>
                <w:szCs w:val="21"/>
              </w:rPr>
              <w:t>机</w:t>
            </w:r>
            <w:r>
              <w:rPr>
                <w:rFonts w:hint="default" w:ascii="Arial" w:hAnsi="Arial" w:eastAsia="宋体" w:cs="Arial"/>
                <w:spacing w:val="34"/>
                <w:sz w:val="21"/>
                <w:szCs w:val="21"/>
              </w:rPr>
              <w:t xml:space="preserve">  </w:t>
            </w:r>
            <w:r>
              <w:rPr>
                <w:rFonts w:hint="default" w:ascii="Arial" w:hAnsi="Arial" w:eastAsia="宋体" w:cs="Arial"/>
                <w:spacing w:val="-8"/>
                <w:sz w:val="21"/>
                <w:szCs w:val="21"/>
              </w:rPr>
              <w:t>组</w:t>
            </w:r>
            <w:r>
              <w:rPr>
                <w:rFonts w:hint="default" w:ascii="Arial" w:hAnsi="Arial" w:eastAsia="宋体" w:cs="Arial"/>
                <w:spacing w:val="2"/>
                <w:sz w:val="21"/>
                <w:szCs w:val="21"/>
              </w:rPr>
              <w:t xml:space="preserve">   </w:t>
            </w:r>
            <w:r>
              <w:rPr>
                <w:rFonts w:hint="default" w:ascii="Arial" w:hAnsi="Arial" w:eastAsia="宋体" w:cs="Arial"/>
                <w:spacing w:val="-8"/>
                <w:sz w:val="21"/>
                <w:szCs w:val="21"/>
              </w:rPr>
              <w:t>(</w:t>
            </w:r>
            <w:r>
              <w:rPr>
                <w:rFonts w:hint="default" w:ascii="Arial" w:hAnsi="Arial" w:eastAsia="宋体" w:cs="Arial"/>
                <w:spacing w:val="33"/>
                <w:sz w:val="21"/>
                <w:szCs w:val="21"/>
              </w:rPr>
              <w:t xml:space="preserve">  </w:t>
            </w:r>
            <w:r>
              <w:rPr>
                <w:rFonts w:hint="default" w:ascii="Arial" w:hAnsi="Arial" w:eastAsia="宋体" w:cs="Arial"/>
                <w:spacing w:val="-8"/>
                <w:sz w:val="21"/>
                <w:szCs w:val="21"/>
              </w:rPr>
              <w:t>制</w:t>
            </w:r>
            <w:r>
              <w:rPr>
                <w:rFonts w:hint="default" w:ascii="Arial" w:hAnsi="Arial" w:eastAsia="宋体" w:cs="Arial"/>
                <w:spacing w:val="35"/>
                <w:sz w:val="21"/>
                <w:szCs w:val="21"/>
              </w:rPr>
              <w:t xml:space="preserve">  </w:t>
            </w:r>
            <w:r>
              <w:rPr>
                <w:rFonts w:hint="default" w:ascii="Arial" w:hAnsi="Arial" w:eastAsia="宋体" w:cs="Arial"/>
                <w:spacing w:val="-8"/>
                <w:sz w:val="21"/>
                <w:szCs w:val="21"/>
              </w:rPr>
              <w:t>冷</w:t>
            </w:r>
            <w:r>
              <w:rPr>
                <w:rFonts w:hint="default" w:ascii="Arial" w:hAnsi="Arial" w:eastAsia="宋体" w:cs="Arial"/>
                <w:sz w:val="21"/>
                <w:szCs w:val="21"/>
              </w:rPr>
              <w:t xml:space="preserve"> </w:t>
            </w:r>
            <w:r>
              <w:rPr>
                <w:rFonts w:hint="default" w:ascii="Arial" w:hAnsi="Arial" w:eastAsia="宋体" w:cs="Arial"/>
                <w:spacing w:val="5"/>
                <w:sz w:val="21"/>
                <w:szCs w:val="21"/>
              </w:rPr>
              <w:t>量&gt;14000W)</w:t>
            </w:r>
          </w:p>
        </w:tc>
        <w:tc>
          <w:tcPr>
            <w:tcW w:w="4609" w:type="dxa"/>
            <w:vAlign w:val="top"/>
          </w:tcPr>
          <w:p w14:paraId="52513D91">
            <w:pPr>
              <w:pStyle w:val="257"/>
              <w:keepNext w:val="0"/>
              <w:keepLines w:val="0"/>
              <w:pageBreakBefore w:val="0"/>
              <w:widowControl w:val="0"/>
              <w:kinsoku/>
              <w:wordWrap/>
              <w:overflowPunct/>
              <w:topLinePunct w:val="0"/>
              <w:autoSpaceDE/>
              <w:autoSpaceDN/>
              <w:bidi w:val="0"/>
              <w:adjustRightInd/>
              <w:spacing w:before="221" w:line="288" w:lineRule="auto"/>
              <w:ind w:left="22"/>
              <w:textAlignment w:val="auto"/>
              <w:rPr>
                <w:rFonts w:hint="default" w:ascii="Arial" w:hAnsi="Arial" w:eastAsia="宋体" w:cs="Arial"/>
                <w:sz w:val="21"/>
                <w:szCs w:val="21"/>
              </w:rPr>
            </w:pPr>
            <w:r>
              <w:rPr>
                <w:rFonts w:hint="default" w:ascii="Arial" w:hAnsi="Arial" w:eastAsia="宋体" w:cs="Arial"/>
                <w:sz w:val="21"/>
                <w:szCs w:val="21"/>
              </w:rPr>
              <w:t>《多联式空调（热泵）机组能效限</w:t>
            </w:r>
            <w:r>
              <w:rPr>
                <w:rFonts w:hint="default" w:ascii="Arial" w:hAnsi="Arial" w:eastAsia="宋体" w:cs="Arial"/>
                <w:spacing w:val="2"/>
                <w:sz w:val="21"/>
                <w:szCs w:val="21"/>
              </w:rPr>
              <w:t xml:space="preserve">  </w:t>
            </w:r>
            <w:r>
              <w:rPr>
                <w:rFonts w:hint="default" w:ascii="Arial" w:hAnsi="Arial" w:eastAsia="宋体" w:cs="Arial"/>
                <w:spacing w:val="-4"/>
                <w:sz w:val="21"/>
                <w:szCs w:val="21"/>
              </w:rPr>
              <w:t>定值及能源效率等级》（GB</w:t>
            </w:r>
            <w:r>
              <w:rPr>
                <w:rFonts w:hint="default" w:ascii="Arial" w:hAnsi="Arial" w:eastAsia="宋体" w:cs="Arial"/>
                <w:spacing w:val="-24"/>
                <w:sz w:val="21"/>
                <w:szCs w:val="21"/>
              </w:rPr>
              <w:t xml:space="preserve"> </w:t>
            </w:r>
            <w:r>
              <w:rPr>
                <w:rFonts w:hint="default" w:ascii="Arial" w:hAnsi="Arial" w:eastAsia="宋体" w:cs="Arial"/>
                <w:spacing w:val="-4"/>
                <w:sz w:val="21"/>
                <w:szCs w:val="21"/>
              </w:rPr>
              <w:t>21454）</w:t>
            </w:r>
          </w:p>
        </w:tc>
      </w:tr>
      <w:tr w14:paraId="292FD8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trPr>
        <w:tc>
          <w:tcPr>
            <w:tcW w:w="573" w:type="dxa"/>
            <w:vMerge w:val="continue"/>
            <w:tcBorders>
              <w:top w:val="nil"/>
              <w:bottom w:val="nil"/>
            </w:tcBorders>
            <w:vAlign w:val="top"/>
          </w:tcPr>
          <w:p w14:paraId="1DB28F9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077" w:type="dxa"/>
            <w:vMerge w:val="continue"/>
            <w:tcBorders>
              <w:top w:val="nil"/>
              <w:bottom w:val="nil"/>
            </w:tcBorders>
            <w:vAlign w:val="top"/>
          </w:tcPr>
          <w:p w14:paraId="34C6D3BD">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786" w:type="dxa"/>
            <w:vMerge w:val="continue"/>
            <w:tcBorders>
              <w:top w:val="nil"/>
            </w:tcBorders>
            <w:vAlign w:val="top"/>
          </w:tcPr>
          <w:p w14:paraId="36405C00">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678" w:type="dxa"/>
            <w:vAlign w:val="top"/>
          </w:tcPr>
          <w:p w14:paraId="7B02811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36C0C62A">
            <w:pPr>
              <w:pStyle w:val="257"/>
              <w:keepNext w:val="0"/>
              <w:keepLines w:val="0"/>
              <w:pageBreakBefore w:val="0"/>
              <w:widowControl w:val="0"/>
              <w:kinsoku/>
              <w:wordWrap/>
              <w:overflowPunct/>
              <w:topLinePunct w:val="0"/>
              <w:autoSpaceDE/>
              <w:autoSpaceDN/>
              <w:bidi w:val="0"/>
              <w:adjustRightInd/>
              <w:spacing w:before="62" w:line="288" w:lineRule="auto"/>
              <w:ind w:left="51" w:right="11" w:hanging="33"/>
              <w:textAlignment w:val="auto"/>
              <w:rPr>
                <w:rFonts w:hint="default" w:ascii="Arial" w:hAnsi="Arial" w:eastAsia="宋体" w:cs="Arial"/>
                <w:sz w:val="21"/>
                <w:szCs w:val="21"/>
              </w:rPr>
            </w:pPr>
            <w:r>
              <w:rPr>
                <w:rFonts w:hint="default" w:ascii="Arial" w:hAnsi="Arial" w:eastAsia="宋体" w:cs="Arial"/>
                <w:spacing w:val="44"/>
                <w:sz w:val="21"/>
                <w:szCs w:val="21"/>
              </w:rPr>
              <w:t>单元式空气调节机</w:t>
            </w:r>
            <w:r>
              <w:rPr>
                <w:rFonts w:hint="default" w:ascii="Arial" w:hAnsi="Arial" w:eastAsia="宋体" w:cs="Arial"/>
                <w:spacing w:val="6"/>
                <w:sz w:val="21"/>
                <w:szCs w:val="21"/>
              </w:rPr>
              <w:t xml:space="preserve"> </w:t>
            </w:r>
            <w:r>
              <w:rPr>
                <w:rFonts w:hint="default" w:ascii="Arial" w:hAnsi="Arial" w:eastAsia="宋体" w:cs="Arial"/>
                <w:spacing w:val="2"/>
                <w:sz w:val="21"/>
                <w:szCs w:val="21"/>
              </w:rPr>
              <w:t>(制冷量&gt;14000W)</w:t>
            </w:r>
          </w:p>
        </w:tc>
        <w:tc>
          <w:tcPr>
            <w:tcW w:w="4609" w:type="dxa"/>
            <w:vAlign w:val="top"/>
          </w:tcPr>
          <w:p w14:paraId="3E6731E4">
            <w:pPr>
              <w:pStyle w:val="257"/>
              <w:keepNext w:val="0"/>
              <w:keepLines w:val="0"/>
              <w:pageBreakBefore w:val="0"/>
              <w:widowControl w:val="0"/>
              <w:kinsoku/>
              <w:wordWrap/>
              <w:overflowPunct/>
              <w:topLinePunct w:val="0"/>
              <w:autoSpaceDE/>
              <w:autoSpaceDN/>
              <w:bidi w:val="0"/>
              <w:adjustRightInd/>
              <w:spacing w:before="72" w:line="288" w:lineRule="auto"/>
              <w:ind w:left="16" w:right="11" w:firstLine="6"/>
              <w:jc w:val="both"/>
              <w:textAlignment w:val="auto"/>
              <w:rPr>
                <w:rFonts w:hint="default" w:ascii="Arial" w:hAnsi="Arial" w:eastAsia="宋体" w:cs="Arial"/>
                <w:sz w:val="21"/>
                <w:szCs w:val="21"/>
              </w:rPr>
            </w:pPr>
            <w:r>
              <w:rPr>
                <w:rFonts w:hint="default" w:ascii="Arial" w:hAnsi="Arial" w:eastAsia="宋体" w:cs="Arial"/>
                <w:spacing w:val="19"/>
                <w:sz w:val="21"/>
                <w:szCs w:val="21"/>
              </w:rPr>
              <w:t>《单元式空气调节机能效限定值</w:t>
            </w:r>
            <w:r>
              <w:rPr>
                <w:rFonts w:hint="default" w:ascii="Arial" w:hAnsi="Arial" w:eastAsia="宋体" w:cs="Arial"/>
                <w:spacing w:val="2"/>
                <w:sz w:val="21"/>
                <w:szCs w:val="21"/>
              </w:rPr>
              <w:t xml:space="preserve"> </w:t>
            </w:r>
            <w:r>
              <w:rPr>
                <w:rFonts w:hint="default" w:ascii="Arial" w:hAnsi="Arial" w:eastAsia="宋体" w:cs="Arial"/>
                <w:spacing w:val="6"/>
                <w:sz w:val="21"/>
                <w:szCs w:val="21"/>
              </w:rPr>
              <w:t>及能效等级》（</w:t>
            </w:r>
            <w:r>
              <w:rPr>
                <w:rFonts w:hint="default" w:ascii="Arial" w:hAnsi="Arial" w:eastAsia="宋体" w:cs="Arial"/>
                <w:sz w:val="21"/>
                <w:szCs w:val="21"/>
              </w:rPr>
              <w:t>GB</w:t>
            </w:r>
            <w:r>
              <w:rPr>
                <w:rFonts w:hint="default" w:ascii="Arial" w:hAnsi="Arial" w:eastAsia="宋体" w:cs="Arial"/>
                <w:spacing w:val="-13"/>
                <w:sz w:val="21"/>
                <w:szCs w:val="21"/>
              </w:rPr>
              <w:t xml:space="preserve"> </w:t>
            </w:r>
            <w:r>
              <w:rPr>
                <w:rFonts w:hint="default" w:ascii="Arial" w:hAnsi="Arial" w:eastAsia="宋体" w:cs="Arial"/>
                <w:spacing w:val="6"/>
                <w:sz w:val="21"/>
                <w:szCs w:val="21"/>
              </w:rPr>
              <w:t>19576）《风管</w:t>
            </w:r>
            <w:r>
              <w:rPr>
                <w:rFonts w:hint="default" w:ascii="Arial" w:hAnsi="Arial" w:eastAsia="宋体" w:cs="Arial"/>
                <w:sz w:val="21"/>
                <w:szCs w:val="21"/>
              </w:rPr>
              <w:t xml:space="preserve"> </w:t>
            </w:r>
            <w:r>
              <w:rPr>
                <w:rFonts w:hint="default" w:ascii="Arial" w:hAnsi="Arial" w:eastAsia="宋体" w:cs="Arial"/>
                <w:spacing w:val="19"/>
                <w:sz w:val="21"/>
                <w:szCs w:val="21"/>
              </w:rPr>
              <w:t>送风式空调机组能效限定值及能</w:t>
            </w:r>
            <w:r>
              <w:rPr>
                <w:rFonts w:hint="default" w:ascii="Arial" w:hAnsi="Arial" w:eastAsia="宋体" w:cs="Arial"/>
                <w:spacing w:val="9"/>
                <w:sz w:val="21"/>
                <w:szCs w:val="21"/>
              </w:rPr>
              <w:t xml:space="preserve"> </w:t>
            </w:r>
            <w:r>
              <w:rPr>
                <w:rFonts w:hint="default" w:ascii="Arial" w:hAnsi="Arial" w:eastAsia="宋体" w:cs="Arial"/>
                <w:spacing w:val="7"/>
                <w:sz w:val="21"/>
                <w:szCs w:val="21"/>
              </w:rPr>
              <w:t>效等级》（</w:t>
            </w:r>
            <w:r>
              <w:rPr>
                <w:rFonts w:hint="default" w:ascii="Arial" w:hAnsi="Arial" w:eastAsia="宋体" w:cs="Arial"/>
                <w:sz w:val="21"/>
                <w:szCs w:val="21"/>
              </w:rPr>
              <w:t>GB</w:t>
            </w:r>
            <w:r>
              <w:rPr>
                <w:rFonts w:hint="default" w:ascii="Arial" w:hAnsi="Arial" w:eastAsia="宋体" w:cs="Arial"/>
                <w:spacing w:val="7"/>
                <w:sz w:val="21"/>
                <w:szCs w:val="21"/>
              </w:rPr>
              <w:t xml:space="preserve"> 37479）</w:t>
            </w:r>
          </w:p>
        </w:tc>
      </w:tr>
      <w:tr w14:paraId="55E26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573" w:type="dxa"/>
            <w:vMerge w:val="continue"/>
            <w:tcBorders>
              <w:top w:val="nil"/>
              <w:bottom w:val="nil"/>
            </w:tcBorders>
            <w:vAlign w:val="top"/>
          </w:tcPr>
          <w:p w14:paraId="6D52290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077" w:type="dxa"/>
            <w:vMerge w:val="continue"/>
            <w:tcBorders>
              <w:top w:val="nil"/>
              <w:bottom w:val="nil"/>
            </w:tcBorders>
            <w:vAlign w:val="top"/>
          </w:tcPr>
          <w:p w14:paraId="0A99859A">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786" w:type="dxa"/>
            <w:vAlign w:val="top"/>
          </w:tcPr>
          <w:p w14:paraId="7EF887A3">
            <w:pPr>
              <w:pStyle w:val="257"/>
              <w:keepNext w:val="0"/>
              <w:keepLines w:val="0"/>
              <w:pageBreakBefore w:val="0"/>
              <w:widowControl w:val="0"/>
              <w:kinsoku/>
              <w:wordWrap/>
              <w:overflowPunct/>
              <w:topLinePunct w:val="0"/>
              <w:autoSpaceDE/>
              <w:autoSpaceDN/>
              <w:bidi w:val="0"/>
              <w:adjustRightInd/>
              <w:spacing w:before="146" w:line="288" w:lineRule="auto"/>
              <w:ind w:left="17" w:right="10" w:firstLine="1"/>
              <w:textAlignment w:val="auto"/>
              <w:rPr>
                <w:rFonts w:hint="default" w:ascii="Arial" w:hAnsi="Arial" w:eastAsia="宋体" w:cs="Arial"/>
                <w:sz w:val="21"/>
                <w:szCs w:val="21"/>
              </w:rPr>
            </w:pPr>
            <w:r>
              <w:rPr>
                <w:rFonts w:hint="default" w:ascii="Arial" w:hAnsi="Arial" w:eastAsia="宋体" w:cs="Arial"/>
                <w:spacing w:val="3"/>
                <w:sz w:val="21"/>
                <w:szCs w:val="21"/>
              </w:rPr>
              <w:t>★A02052309 专用制</w:t>
            </w:r>
            <w:r>
              <w:rPr>
                <w:rFonts w:hint="default" w:ascii="Arial" w:hAnsi="Arial" w:eastAsia="宋体" w:cs="Arial"/>
                <w:spacing w:val="12"/>
                <w:sz w:val="21"/>
                <w:szCs w:val="21"/>
              </w:rPr>
              <w:t xml:space="preserve"> </w:t>
            </w:r>
            <w:r>
              <w:rPr>
                <w:rFonts w:hint="default" w:ascii="Arial" w:hAnsi="Arial" w:eastAsia="宋体" w:cs="Arial"/>
                <w:spacing w:val="8"/>
                <w:sz w:val="21"/>
                <w:szCs w:val="21"/>
              </w:rPr>
              <w:t>冷、空调设备</w:t>
            </w:r>
          </w:p>
        </w:tc>
        <w:tc>
          <w:tcPr>
            <w:tcW w:w="1678" w:type="dxa"/>
            <w:vAlign w:val="top"/>
          </w:tcPr>
          <w:p w14:paraId="3BB04D24">
            <w:pPr>
              <w:pStyle w:val="257"/>
              <w:keepNext w:val="0"/>
              <w:keepLines w:val="0"/>
              <w:pageBreakBefore w:val="0"/>
              <w:widowControl w:val="0"/>
              <w:kinsoku/>
              <w:wordWrap/>
              <w:overflowPunct/>
              <w:topLinePunct w:val="0"/>
              <w:autoSpaceDE/>
              <w:autoSpaceDN/>
              <w:bidi w:val="0"/>
              <w:adjustRightInd/>
              <w:spacing w:before="300" w:line="288" w:lineRule="auto"/>
              <w:ind w:left="15"/>
              <w:textAlignment w:val="auto"/>
              <w:rPr>
                <w:rFonts w:hint="default" w:ascii="Arial" w:hAnsi="Arial" w:eastAsia="宋体" w:cs="Arial"/>
                <w:sz w:val="21"/>
                <w:szCs w:val="21"/>
              </w:rPr>
            </w:pPr>
            <w:r>
              <w:rPr>
                <w:rFonts w:hint="default" w:ascii="Arial" w:hAnsi="Arial" w:eastAsia="宋体" w:cs="Arial"/>
                <w:spacing w:val="7"/>
                <w:sz w:val="21"/>
                <w:szCs w:val="21"/>
              </w:rPr>
              <w:t>机房空调</w:t>
            </w:r>
          </w:p>
        </w:tc>
        <w:tc>
          <w:tcPr>
            <w:tcW w:w="4609" w:type="dxa"/>
            <w:vAlign w:val="top"/>
          </w:tcPr>
          <w:p w14:paraId="14505153">
            <w:pPr>
              <w:pStyle w:val="257"/>
              <w:keepNext w:val="0"/>
              <w:keepLines w:val="0"/>
              <w:pageBreakBefore w:val="0"/>
              <w:widowControl w:val="0"/>
              <w:kinsoku/>
              <w:wordWrap/>
              <w:overflowPunct/>
              <w:topLinePunct w:val="0"/>
              <w:autoSpaceDE/>
              <w:autoSpaceDN/>
              <w:bidi w:val="0"/>
              <w:adjustRightInd/>
              <w:spacing w:before="146" w:line="288" w:lineRule="auto"/>
              <w:ind w:left="17" w:right="11" w:firstLine="6"/>
              <w:textAlignment w:val="auto"/>
              <w:rPr>
                <w:rFonts w:hint="default" w:ascii="Arial" w:hAnsi="Arial" w:eastAsia="宋体" w:cs="Arial"/>
                <w:sz w:val="21"/>
                <w:szCs w:val="21"/>
              </w:rPr>
            </w:pPr>
            <w:r>
              <w:rPr>
                <w:rFonts w:hint="default" w:ascii="Arial" w:hAnsi="Arial" w:eastAsia="宋体" w:cs="Arial"/>
                <w:spacing w:val="19"/>
                <w:sz w:val="21"/>
                <w:szCs w:val="21"/>
              </w:rPr>
              <w:t>《单元式空气调节机能效限定值</w:t>
            </w:r>
            <w:r>
              <w:rPr>
                <w:rFonts w:hint="default" w:ascii="Arial" w:hAnsi="Arial" w:eastAsia="宋体" w:cs="Arial"/>
                <w:spacing w:val="2"/>
                <w:sz w:val="21"/>
                <w:szCs w:val="21"/>
              </w:rPr>
              <w:t xml:space="preserve"> </w:t>
            </w:r>
            <w:r>
              <w:rPr>
                <w:rFonts w:hint="default" w:ascii="Arial" w:hAnsi="Arial" w:eastAsia="宋体" w:cs="Arial"/>
                <w:spacing w:val="5"/>
                <w:sz w:val="21"/>
                <w:szCs w:val="21"/>
              </w:rPr>
              <w:t>及能效等级》（</w:t>
            </w:r>
            <w:r>
              <w:rPr>
                <w:rFonts w:hint="default" w:ascii="Arial" w:hAnsi="Arial" w:eastAsia="宋体" w:cs="Arial"/>
                <w:sz w:val="21"/>
                <w:szCs w:val="21"/>
              </w:rPr>
              <w:t>GB</w:t>
            </w:r>
            <w:r>
              <w:rPr>
                <w:rFonts w:hint="default" w:ascii="Arial" w:hAnsi="Arial" w:eastAsia="宋体" w:cs="Arial"/>
                <w:spacing w:val="39"/>
                <w:sz w:val="21"/>
                <w:szCs w:val="21"/>
              </w:rPr>
              <w:t xml:space="preserve"> </w:t>
            </w:r>
            <w:r>
              <w:rPr>
                <w:rFonts w:hint="default" w:ascii="Arial" w:hAnsi="Arial" w:eastAsia="宋体" w:cs="Arial"/>
                <w:spacing w:val="5"/>
                <w:sz w:val="21"/>
                <w:szCs w:val="21"/>
              </w:rPr>
              <w:t>19576）</w:t>
            </w:r>
          </w:p>
        </w:tc>
      </w:tr>
      <w:tr w14:paraId="5A7D0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trPr>
        <w:tc>
          <w:tcPr>
            <w:tcW w:w="573" w:type="dxa"/>
            <w:vMerge w:val="continue"/>
            <w:tcBorders>
              <w:top w:val="nil"/>
            </w:tcBorders>
            <w:vAlign w:val="top"/>
          </w:tcPr>
          <w:p w14:paraId="4E4FA394">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077" w:type="dxa"/>
            <w:vMerge w:val="continue"/>
            <w:tcBorders>
              <w:top w:val="nil"/>
            </w:tcBorders>
            <w:vAlign w:val="top"/>
          </w:tcPr>
          <w:p w14:paraId="7FF8E5AD">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786" w:type="dxa"/>
            <w:vAlign w:val="top"/>
          </w:tcPr>
          <w:p w14:paraId="43BD647D">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0E290F5F">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3C4963DD">
            <w:pPr>
              <w:pStyle w:val="257"/>
              <w:keepNext w:val="0"/>
              <w:keepLines w:val="0"/>
              <w:pageBreakBefore w:val="0"/>
              <w:widowControl w:val="0"/>
              <w:kinsoku/>
              <w:wordWrap/>
              <w:overflowPunct/>
              <w:topLinePunct w:val="0"/>
              <w:autoSpaceDE/>
              <w:autoSpaceDN/>
              <w:bidi w:val="0"/>
              <w:adjustRightInd/>
              <w:spacing w:before="62" w:line="288" w:lineRule="auto"/>
              <w:ind w:left="9"/>
              <w:textAlignment w:val="auto"/>
              <w:rPr>
                <w:rFonts w:hint="default" w:ascii="Arial" w:hAnsi="Arial" w:eastAsia="宋体" w:cs="Arial"/>
                <w:sz w:val="21"/>
                <w:szCs w:val="21"/>
              </w:rPr>
            </w:pPr>
            <w:r>
              <w:rPr>
                <w:rFonts w:hint="default" w:ascii="Arial" w:hAnsi="Arial" w:eastAsia="宋体" w:cs="Arial"/>
                <w:spacing w:val="4"/>
                <w:sz w:val="21"/>
                <w:szCs w:val="21"/>
              </w:rPr>
              <w:t>A02052399 其他制冷</w:t>
            </w:r>
          </w:p>
          <w:p w14:paraId="082E8639">
            <w:pPr>
              <w:pStyle w:val="257"/>
              <w:keepNext w:val="0"/>
              <w:keepLines w:val="0"/>
              <w:pageBreakBefore w:val="0"/>
              <w:widowControl w:val="0"/>
              <w:kinsoku/>
              <w:wordWrap/>
              <w:overflowPunct/>
              <w:topLinePunct w:val="0"/>
              <w:autoSpaceDE/>
              <w:autoSpaceDN/>
              <w:bidi w:val="0"/>
              <w:adjustRightInd/>
              <w:spacing w:before="75" w:line="288" w:lineRule="auto"/>
              <w:ind w:left="21"/>
              <w:textAlignment w:val="auto"/>
              <w:rPr>
                <w:rFonts w:hint="default" w:ascii="Arial" w:hAnsi="Arial" w:eastAsia="宋体" w:cs="Arial"/>
                <w:sz w:val="21"/>
                <w:szCs w:val="21"/>
              </w:rPr>
            </w:pPr>
            <w:r>
              <w:rPr>
                <w:rFonts w:hint="default" w:ascii="Arial" w:hAnsi="Arial" w:eastAsia="宋体" w:cs="Arial"/>
                <w:spacing w:val="5"/>
                <w:sz w:val="21"/>
                <w:szCs w:val="21"/>
              </w:rPr>
              <w:t>空调设备</w:t>
            </w:r>
          </w:p>
        </w:tc>
        <w:tc>
          <w:tcPr>
            <w:tcW w:w="1678" w:type="dxa"/>
            <w:vAlign w:val="top"/>
          </w:tcPr>
          <w:p w14:paraId="31FEB5CC">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24C75AAC">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07034F75">
            <w:pPr>
              <w:pStyle w:val="257"/>
              <w:keepNext w:val="0"/>
              <w:keepLines w:val="0"/>
              <w:pageBreakBefore w:val="0"/>
              <w:widowControl w:val="0"/>
              <w:kinsoku/>
              <w:wordWrap/>
              <w:overflowPunct/>
              <w:topLinePunct w:val="0"/>
              <w:autoSpaceDE/>
              <w:autoSpaceDN/>
              <w:bidi w:val="0"/>
              <w:adjustRightInd/>
              <w:spacing w:before="62" w:line="288" w:lineRule="auto"/>
              <w:ind w:left="18"/>
              <w:textAlignment w:val="auto"/>
              <w:rPr>
                <w:rFonts w:hint="default" w:ascii="Arial" w:hAnsi="Arial" w:eastAsia="宋体" w:cs="Arial"/>
                <w:sz w:val="21"/>
                <w:szCs w:val="21"/>
              </w:rPr>
            </w:pPr>
            <w:r>
              <w:rPr>
                <w:rFonts w:hint="default" w:ascii="Arial" w:hAnsi="Arial" w:eastAsia="宋体" w:cs="Arial"/>
                <w:spacing w:val="6"/>
                <w:sz w:val="21"/>
                <w:szCs w:val="21"/>
              </w:rPr>
              <w:t>冷却塔</w:t>
            </w:r>
          </w:p>
        </w:tc>
        <w:tc>
          <w:tcPr>
            <w:tcW w:w="4609" w:type="dxa"/>
            <w:vAlign w:val="top"/>
          </w:tcPr>
          <w:p w14:paraId="376AF64F">
            <w:pPr>
              <w:pStyle w:val="257"/>
              <w:keepNext w:val="0"/>
              <w:keepLines w:val="0"/>
              <w:pageBreakBefore w:val="0"/>
              <w:widowControl w:val="0"/>
              <w:kinsoku/>
              <w:wordWrap/>
              <w:overflowPunct/>
              <w:topLinePunct w:val="0"/>
              <w:autoSpaceDE/>
              <w:autoSpaceDN/>
              <w:bidi w:val="0"/>
              <w:adjustRightInd/>
              <w:spacing w:before="284" w:line="288" w:lineRule="auto"/>
              <w:ind w:left="23"/>
              <w:jc w:val="both"/>
              <w:textAlignment w:val="auto"/>
              <w:rPr>
                <w:rFonts w:hint="default" w:ascii="Arial" w:hAnsi="Arial" w:eastAsia="宋体" w:cs="Arial"/>
                <w:sz w:val="21"/>
                <w:szCs w:val="21"/>
              </w:rPr>
            </w:pPr>
            <w:r>
              <w:rPr>
                <w:rFonts w:hint="default" w:ascii="Arial" w:hAnsi="Arial" w:eastAsia="宋体" w:cs="Arial"/>
                <w:spacing w:val="2"/>
                <w:sz w:val="21"/>
                <w:szCs w:val="21"/>
              </w:rPr>
              <w:t>《机械通风冷却塔 第 1 部分：中</w:t>
            </w:r>
            <w:r>
              <w:rPr>
                <w:rFonts w:hint="default" w:ascii="Arial" w:hAnsi="Arial" w:eastAsia="宋体" w:cs="Arial"/>
                <w:spacing w:val="3"/>
                <w:sz w:val="21"/>
                <w:szCs w:val="21"/>
              </w:rPr>
              <w:t xml:space="preserve"> </w:t>
            </w:r>
            <w:r>
              <w:rPr>
                <w:rFonts w:hint="default" w:ascii="Arial" w:hAnsi="Arial" w:eastAsia="宋体" w:cs="Arial"/>
                <w:spacing w:val="-6"/>
                <w:sz w:val="21"/>
                <w:szCs w:val="21"/>
              </w:rPr>
              <w:t>小型开式冷却塔》（GB</w:t>
            </w:r>
            <w:r>
              <w:rPr>
                <w:rFonts w:hint="default" w:ascii="Arial" w:hAnsi="Arial" w:eastAsia="宋体" w:cs="Arial"/>
                <w:spacing w:val="-36"/>
                <w:sz w:val="21"/>
                <w:szCs w:val="21"/>
              </w:rPr>
              <w:t xml:space="preserve"> </w:t>
            </w:r>
            <w:r>
              <w:rPr>
                <w:rFonts w:hint="default" w:ascii="Arial" w:hAnsi="Arial" w:eastAsia="宋体" w:cs="Arial"/>
                <w:spacing w:val="-6"/>
                <w:sz w:val="21"/>
                <w:szCs w:val="21"/>
              </w:rPr>
              <w:t>/T</w:t>
            </w:r>
            <w:r>
              <w:rPr>
                <w:rFonts w:hint="default" w:ascii="Arial" w:hAnsi="Arial" w:eastAsia="宋体" w:cs="Arial"/>
                <w:spacing w:val="-31"/>
                <w:sz w:val="21"/>
                <w:szCs w:val="21"/>
              </w:rPr>
              <w:t xml:space="preserve"> </w:t>
            </w:r>
            <w:r>
              <w:rPr>
                <w:rFonts w:hint="default" w:ascii="Arial" w:hAnsi="Arial" w:eastAsia="宋体" w:cs="Arial"/>
                <w:spacing w:val="-6"/>
                <w:sz w:val="21"/>
                <w:szCs w:val="21"/>
              </w:rPr>
              <w:t>7190.1</w:t>
            </w:r>
            <w:r>
              <w:rPr>
                <w:rFonts w:hint="default" w:ascii="Arial" w:hAnsi="Arial" w:eastAsia="宋体" w:cs="Arial"/>
                <w:spacing w:val="-49"/>
                <w:w w:val="97"/>
                <w:sz w:val="21"/>
                <w:szCs w:val="21"/>
              </w:rPr>
              <w:t>）；</w:t>
            </w:r>
            <w:r>
              <w:rPr>
                <w:rFonts w:hint="default" w:ascii="Arial" w:hAnsi="Arial" w:eastAsia="宋体" w:cs="Arial"/>
                <w:sz w:val="21"/>
                <w:szCs w:val="21"/>
              </w:rPr>
              <w:t xml:space="preserve"> </w:t>
            </w:r>
            <w:r>
              <w:rPr>
                <w:rFonts w:hint="default" w:ascii="Arial" w:hAnsi="Arial" w:eastAsia="宋体" w:cs="Arial"/>
                <w:spacing w:val="2"/>
                <w:sz w:val="21"/>
                <w:szCs w:val="21"/>
              </w:rPr>
              <w:t>《机械通风冷却塔 第 2 部分：大</w:t>
            </w:r>
            <w:r>
              <w:rPr>
                <w:rFonts w:hint="default" w:ascii="Arial" w:hAnsi="Arial" w:eastAsia="宋体" w:cs="Arial"/>
                <w:spacing w:val="3"/>
                <w:sz w:val="21"/>
                <w:szCs w:val="21"/>
              </w:rPr>
              <w:t xml:space="preserve"> </w:t>
            </w:r>
            <w:r>
              <w:rPr>
                <w:rFonts w:hint="default" w:ascii="Arial" w:hAnsi="Arial" w:eastAsia="宋体" w:cs="Arial"/>
                <w:spacing w:val="4"/>
                <w:sz w:val="21"/>
                <w:szCs w:val="21"/>
              </w:rPr>
              <w:t>型开式冷却塔》（</w:t>
            </w:r>
            <w:r>
              <w:rPr>
                <w:rFonts w:hint="default" w:ascii="Arial" w:hAnsi="Arial" w:eastAsia="宋体" w:cs="Arial"/>
                <w:sz w:val="21"/>
                <w:szCs w:val="21"/>
              </w:rPr>
              <w:t>GB</w:t>
            </w:r>
            <w:r>
              <w:rPr>
                <w:rFonts w:hint="default" w:ascii="Arial" w:hAnsi="Arial" w:eastAsia="宋体" w:cs="Arial"/>
                <w:spacing w:val="4"/>
                <w:sz w:val="21"/>
                <w:szCs w:val="21"/>
              </w:rPr>
              <w:t xml:space="preserve"> /T 7190.2）</w:t>
            </w:r>
          </w:p>
        </w:tc>
      </w:tr>
      <w:tr w14:paraId="59B00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3" w:type="dxa"/>
            <w:vAlign w:val="top"/>
          </w:tcPr>
          <w:p w14:paraId="5E95CF61">
            <w:pPr>
              <w:pStyle w:val="257"/>
              <w:keepNext w:val="0"/>
              <w:keepLines w:val="0"/>
              <w:pageBreakBefore w:val="0"/>
              <w:widowControl w:val="0"/>
              <w:kinsoku/>
              <w:wordWrap/>
              <w:overflowPunct/>
              <w:topLinePunct w:val="0"/>
              <w:autoSpaceDE/>
              <w:autoSpaceDN/>
              <w:bidi w:val="0"/>
              <w:adjustRightInd/>
              <w:spacing w:before="272" w:line="288" w:lineRule="auto"/>
              <w:ind w:left="247"/>
              <w:textAlignment w:val="auto"/>
              <w:rPr>
                <w:rFonts w:hint="default" w:ascii="Arial" w:hAnsi="Arial" w:eastAsia="宋体" w:cs="Arial"/>
                <w:sz w:val="21"/>
                <w:szCs w:val="21"/>
              </w:rPr>
            </w:pPr>
            <w:r>
              <w:rPr>
                <w:rFonts w:hint="default" w:ascii="Arial" w:hAnsi="Arial" w:eastAsia="宋体" w:cs="Arial"/>
                <w:position w:val="1"/>
                <w:sz w:val="21"/>
                <w:szCs w:val="21"/>
              </w:rPr>
              <w:t>7</w:t>
            </w:r>
          </w:p>
        </w:tc>
        <w:tc>
          <w:tcPr>
            <w:tcW w:w="1077" w:type="dxa"/>
            <w:vAlign w:val="top"/>
          </w:tcPr>
          <w:p w14:paraId="6A682227">
            <w:pPr>
              <w:pStyle w:val="257"/>
              <w:keepNext w:val="0"/>
              <w:keepLines w:val="0"/>
              <w:pageBreakBefore w:val="0"/>
              <w:widowControl w:val="0"/>
              <w:kinsoku/>
              <w:wordWrap/>
              <w:overflowPunct/>
              <w:topLinePunct w:val="0"/>
              <w:autoSpaceDE/>
              <w:autoSpaceDN/>
              <w:bidi w:val="0"/>
              <w:adjustRightInd/>
              <w:spacing w:before="273" w:line="288" w:lineRule="auto"/>
              <w:ind w:left="9"/>
              <w:textAlignment w:val="auto"/>
              <w:rPr>
                <w:rFonts w:hint="default" w:ascii="Arial" w:hAnsi="Arial" w:eastAsia="宋体" w:cs="Arial"/>
                <w:sz w:val="21"/>
                <w:szCs w:val="21"/>
              </w:rPr>
            </w:pPr>
            <w:r>
              <w:rPr>
                <w:rFonts w:hint="default" w:ascii="Arial" w:hAnsi="Arial" w:eastAsia="宋体" w:cs="Arial"/>
                <w:spacing w:val="3"/>
                <w:sz w:val="21"/>
                <w:szCs w:val="21"/>
              </w:rPr>
              <w:t>A020601</w:t>
            </w:r>
            <w:r>
              <w:rPr>
                <w:rFonts w:hint="default" w:ascii="Arial" w:hAnsi="Arial" w:eastAsia="宋体" w:cs="Arial"/>
                <w:spacing w:val="-19"/>
                <w:sz w:val="21"/>
                <w:szCs w:val="21"/>
              </w:rPr>
              <w:t xml:space="preserve"> </w:t>
            </w:r>
            <w:r>
              <w:rPr>
                <w:rFonts w:hint="default" w:ascii="Arial" w:hAnsi="Arial" w:eastAsia="宋体" w:cs="Arial"/>
                <w:spacing w:val="3"/>
                <w:sz w:val="21"/>
                <w:szCs w:val="21"/>
              </w:rPr>
              <w:t>电机</w:t>
            </w:r>
          </w:p>
        </w:tc>
        <w:tc>
          <w:tcPr>
            <w:tcW w:w="1786" w:type="dxa"/>
            <w:vAlign w:val="top"/>
          </w:tcPr>
          <w:p w14:paraId="73D04498">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678" w:type="dxa"/>
            <w:vAlign w:val="top"/>
          </w:tcPr>
          <w:p w14:paraId="74565906">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4609" w:type="dxa"/>
            <w:vAlign w:val="top"/>
          </w:tcPr>
          <w:p w14:paraId="02034A5E">
            <w:pPr>
              <w:pStyle w:val="257"/>
              <w:keepNext w:val="0"/>
              <w:keepLines w:val="0"/>
              <w:pageBreakBefore w:val="0"/>
              <w:widowControl w:val="0"/>
              <w:kinsoku/>
              <w:wordWrap/>
              <w:overflowPunct/>
              <w:topLinePunct w:val="0"/>
              <w:autoSpaceDE/>
              <w:autoSpaceDN/>
              <w:bidi w:val="0"/>
              <w:adjustRightInd/>
              <w:spacing w:before="116" w:line="288" w:lineRule="auto"/>
              <w:ind w:left="22" w:right="11"/>
              <w:textAlignment w:val="auto"/>
              <w:rPr>
                <w:rFonts w:hint="default" w:ascii="Arial" w:hAnsi="Arial" w:eastAsia="宋体" w:cs="Arial"/>
                <w:sz w:val="21"/>
                <w:szCs w:val="21"/>
              </w:rPr>
            </w:pPr>
            <w:r>
              <w:rPr>
                <w:rFonts w:hint="default" w:ascii="Arial" w:hAnsi="Arial" w:eastAsia="宋体" w:cs="Arial"/>
                <w:spacing w:val="19"/>
                <w:sz w:val="21"/>
                <w:szCs w:val="21"/>
              </w:rPr>
              <w:t>《中小型三相异步电动机能效限</w:t>
            </w:r>
            <w:r>
              <w:rPr>
                <w:rFonts w:hint="default" w:ascii="Arial" w:hAnsi="Arial" w:eastAsia="宋体" w:cs="Arial"/>
                <w:spacing w:val="2"/>
                <w:sz w:val="21"/>
                <w:szCs w:val="21"/>
              </w:rPr>
              <w:t xml:space="preserve"> </w:t>
            </w:r>
            <w:r>
              <w:rPr>
                <w:rFonts w:hint="default" w:ascii="Arial" w:hAnsi="Arial" w:eastAsia="宋体" w:cs="Arial"/>
                <w:spacing w:val="5"/>
                <w:sz w:val="21"/>
                <w:szCs w:val="21"/>
              </w:rPr>
              <w:t>定值及能效等级》（</w:t>
            </w:r>
            <w:r>
              <w:rPr>
                <w:rFonts w:hint="default" w:ascii="Arial" w:hAnsi="Arial" w:eastAsia="宋体" w:cs="Arial"/>
                <w:sz w:val="21"/>
                <w:szCs w:val="21"/>
              </w:rPr>
              <w:t>GB</w:t>
            </w:r>
            <w:r>
              <w:rPr>
                <w:rFonts w:hint="default" w:ascii="Arial" w:hAnsi="Arial" w:eastAsia="宋体" w:cs="Arial"/>
                <w:spacing w:val="42"/>
                <w:sz w:val="21"/>
                <w:szCs w:val="21"/>
              </w:rPr>
              <w:t xml:space="preserve"> </w:t>
            </w:r>
            <w:r>
              <w:rPr>
                <w:rFonts w:hint="default" w:ascii="Arial" w:hAnsi="Arial" w:eastAsia="宋体" w:cs="Arial"/>
                <w:spacing w:val="5"/>
                <w:sz w:val="21"/>
                <w:szCs w:val="21"/>
              </w:rPr>
              <w:t>18613）</w:t>
            </w:r>
          </w:p>
        </w:tc>
      </w:tr>
      <w:tr w14:paraId="7A5966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573" w:type="dxa"/>
            <w:vAlign w:val="top"/>
          </w:tcPr>
          <w:p w14:paraId="43BD90CE">
            <w:pPr>
              <w:pStyle w:val="257"/>
              <w:keepNext w:val="0"/>
              <w:keepLines w:val="0"/>
              <w:pageBreakBefore w:val="0"/>
              <w:widowControl w:val="0"/>
              <w:kinsoku/>
              <w:wordWrap/>
              <w:overflowPunct/>
              <w:topLinePunct w:val="0"/>
              <w:autoSpaceDE/>
              <w:autoSpaceDN/>
              <w:bidi w:val="0"/>
              <w:adjustRightInd/>
              <w:spacing w:before="251" w:line="288" w:lineRule="auto"/>
              <w:ind w:left="243"/>
              <w:textAlignment w:val="auto"/>
              <w:rPr>
                <w:rFonts w:hint="default" w:ascii="Arial" w:hAnsi="Arial" w:eastAsia="宋体" w:cs="Arial"/>
                <w:sz w:val="21"/>
                <w:szCs w:val="21"/>
              </w:rPr>
            </w:pPr>
            <w:r>
              <w:rPr>
                <w:rFonts w:hint="default" w:ascii="Arial" w:hAnsi="Arial" w:eastAsia="宋体" w:cs="Arial"/>
                <w:position w:val="1"/>
                <w:sz w:val="21"/>
                <w:szCs w:val="21"/>
              </w:rPr>
              <w:t>8</w:t>
            </w:r>
          </w:p>
        </w:tc>
        <w:tc>
          <w:tcPr>
            <w:tcW w:w="1077" w:type="dxa"/>
            <w:vAlign w:val="top"/>
          </w:tcPr>
          <w:p w14:paraId="16699CB6">
            <w:pPr>
              <w:pStyle w:val="257"/>
              <w:keepNext w:val="0"/>
              <w:keepLines w:val="0"/>
              <w:pageBreakBefore w:val="0"/>
              <w:widowControl w:val="0"/>
              <w:kinsoku/>
              <w:wordWrap/>
              <w:overflowPunct/>
              <w:topLinePunct w:val="0"/>
              <w:autoSpaceDE/>
              <w:autoSpaceDN/>
              <w:bidi w:val="0"/>
              <w:adjustRightInd/>
              <w:spacing w:before="96" w:line="288" w:lineRule="auto"/>
              <w:ind w:left="15" w:right="8" w:hanging="6"/>
              <w:textAlignment w:val="auto"/>
              <w:rPr>
                <w:rFonts w:hint="default" w:ascii="Arial" w:hAnsi="Arial" w:eastAsia="宋体" w:cs="Arial"/>
                <w:sz w:val="21"/>
                <w:szCs w:val="21"/>
              </w:rPr>
            </w:pPr>
            <w:r>
              <w:rPr>
                <w:rFonts w:hint="default" w:ascii="Arial" w:hAnsi="Arial" w:eastAsia="宋体" w:cs="Arial"/>
                <w:spacing w:val="5"/>
                <w:sz w:val="21"/>
                <w:szCs w:val="21"/>
              </w:rPr>
              <w:t>A020602</w:t>
            </w:r>
            <w:r>
              <w:rPr>
                <w:rFonts w:hint="default" w:ascii="Arial" w:hAnsi="Arial" w:eastAsia="宋体" w:cs="Arial"/>
                <w:spacing w:val="-43"/>
                <w:sz w:val="21"/>
                <w:szCs w:val="21"/>
              </w:rPr>
              <w:t xml:space="preserve"> </w:t>
            </w:r>
            <w:r>
              <w:rPr>
                <w:rFonts w:hint="default" w:ascii="Arial" w:hAnsi="Arial" w:eastAsia="宋体" w:cs="Arial"/>
                <w:spacing w:val="5"/>
                <w:sz w:val="21"/>
                <w:szCs w:val="21"/>
              </w:rPr>
              <w:t>变压</w:t>
            </w:r>
            <w:r>
              <w:rPr>
                <w:rFonts w:hint="default" w:ascii="Arial" w:hAnsi="Arial" w:eastAsia="宋体" w:cs="Arial"/>
                <w:sz w:val="21"/>
                <w:szCs w:val="21"/>
              </w:rPr>
              <w:t xml:space="preserve"> </w:t>
            </w:r>
            <w:r>
              <w:rPr>
                <w:rFonts w:hint="default" w:ascii="Arial" w:hAnsi="Arial" w:eastAsia="宋体" w:cs="Arial"/>
                <w:spacing w:val="1"/>
                <w:sz w:val="21"/>
                <w:szCs w:val="21"/>
              </w:rPr>
              <w:t>器</w:t>
            </w:r>
          </w:p>
        </w:tc>
        <w:tc>
          <w:tcPr>
            <w:tcW w:w="1786" w:type="dxa"/>
            <w:vAlign w:val="top"/>
          </w:tcPr>
          <w:p w14:paraId="60C2819E">
            <w:pPr>
              <w:pStyle w:val="257"/>
              <w:keepNext w:val="0"/>
              <w:keepLines w:val="0"/>
              <w:pageBreakBefore w:val="0"/>
              <w:widowControl w:val="0"/>
              <w:kinsoku/>
              <w:wordWrap/>
              <w:overflowPunct/>
              <w:topLinePunct w:val="0"/>
              <w:autoSpaceDE/>
              <w:autoSpaceDN/>
              <w:bidi w:val="0"/>
              <w:adjustRightInd/>
              <w:spacing w:before="252" w:line="288" w:lineRule="auto"/>
              <w:ind w:left="15"/>
              <w:textAlignment w:val="auto"/>
              <w:rPr>
                <w:rFonts w:hint="default" w:ascii="Arial" w:hAnsi="Arial" w:eastAsia="宋体" w:cs="Arial"/>
                <w:sz w:val="21"/>
                <w:szCs w:val="21"/>
              </w:rPr>
            </w:pPr>
            <w:r>
              <w:rPr>
                <w:rFonts w:hint="default" w:ascii="Arial" w:hAnsi="Arial" w:eastAsia="宋体" w:cs="Arial"/>
                <w:spacing w:val="8"/>
                <w:sz w:val="21"/>
                <w:szCs w:val="21"/>
              </w:rPr>
              <w:t>配电变压器</w:t>
            </w:r>
          </w:p>
        </w:tc>
        <w:tc>
          <w:tcPr>
            <w:tcW w:w="1678" w:type="dxa"/>
            <w:vAlign w:val="top"/>
          </w:tcPr>
          <w:p w14:paraId="36F1C91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4609" w:type="dxa"/>
            <w:vAlign w:val="top"/>
          </w:tcPr>
          <w:p w14:paraId="2A601436">
            <w:pPr>
              <w:pStyle w:val="257"/>
              <w:keepNext w:val="0"/>
              <w:keepLines w:val="0"/>
              <w:pageBreakBefore w:val="0"/>
              <w:widowControl w:val="0"/>
              <w:kinsoku/>
              <w:wordWrap/>
              <w:overflowPunct/>
              <w:topLinePunct w:val="0"/>
              <w:autoSpaceDE/>
              <w:autoSpaceDN/>
              <w:bidi w:val="0"/>
              <w:adjustRightInd/>
              <w:spacing w:before="96" w:line="288" w:lineRule="auto"/>
              <w:ind w:left="25" w:right="11" w:hanging="2"/>
              <w:textAlignment w:val="auto"/>
              <w:rPr>
                <w:rFonts w:hint="default" w:ascii="Arial" w:hAnsi="Arial" w:eastAsia="宋体" w:cs="Arial"/>
                <w:sz w:val="21"/>
                <w:szCs w:val="21"/>
              </w:rPr>
            </w:pPr>
            <w:r>
              <w:rPr>
                <w:rFonts w:hint="default" w:ascii="Arial" w:hAnsi="Arial" w:eastAsia="宋体" w:cs="Arial"/>
                <w:spacing w:val="19"/>
                <w:sz w:val="21"/>
                <w:szCs w:val="21"/>
              </w:rPr>
              <w:t>《三相配电变压器能效限定值及</w:t>
            </w:r>
            <w:r>
              <w:rPr>
                <w:rFonts w:hint="default" w:ascii="Arial" w:hAnsi="Arial" w:eastAsia="宋体" w:cs="Arial"/>
                <w:spacing w:val="2"/>
                <w:sz w:val="21"/>
                <w:szCs w:val="21"/>
              </w:rPr>
              <w:t xml:space="preserve"> </w:t>
            </w:r>
            <w:r>
              <w:rPr>
                <w:rFonts w:hint="default" w:ascii="Arial" w:hAnsi="Arial" w:eastAsia="宋体" w:cs="Arial"/>
                <w:spacing w:val="6"/>
                <w:sz w:val="21"/>
                <w:szCs w:val="21"/>
              </w:rPr>
              <w:t>能效等级》（</w:t>
            </w:r>
            <w:r>
              <w:rPr>
                <w:rFonts w:hint="default" w:ascii="Arial" w:hAnsi="Arial" w:eastAsia="宋体" w:cs="Arial"/>
                <w:sz w:val="21"/>
                <w:szCs w:val="21"/>
              </w:rPr>
              <w:t>GB</w:t>
            </w:r>
            <w:r>
              <w:rPr>
                <w:rFonts w:hint="default" w:ascii="Arial" w:hAnsi="Arial" w:eastAsia="宋体" w:cs="Arial"/>
                <w:spacing w:val="6"/>
                <w:sz w:val="21"/>
                <w:szCs w:val="21"/>
              </w:rPr>
              <w:t xml:space="preserve"> 20052）</w:t>
            </w:r>
          </w:p>
        </w:tc>
      </w:tr>
      <w:tr w14:paraId="73FC2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573" w:type="dxa"/>
            <w:vAlign w:val="top"/>
          </w:tcPr>
          <w:p w14:paraId="203491C1">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7D7C1423">
            <w:pPr>
              <w:pStyle w:val="257"/>
              <w:keepNext w:val="0"/>
              <w:keepLines w:val="0"/>
              <w:pageBreakBefore w:val="0"/>
              <w:widowControl w:val="0"/>
              <w:kinsoku/>
              <w:wordWrap/>
              <w:overflowPunct/>
              <w:topLinePunct w:val="0"/>
              <w:autoSpaceDE/>
              <w:autoSpaceDN/>
              <w:bidi w:val="0"/>
              <w:adjustRightInd/>
              <w:spacing w:before="62" w:line="288" w:lineRule="auto"/>
              <w:ind w:left="243"/>
              <w:textAlignment w:val="auto"/>
              <w:rPr>
                <w:rFonts w:hint="default" w:ascii="Arial" w:hAnsi="Arial" w:eastAsia="宋体" w:cs="Arial"/>
                <w:sz w:val="21"/>
                <w:szCs w:val="21"/>
              </w:rPr>
            </w:pPr>
            <w:r>
              <w:rPr>
                <w:rFonts w:hint="default" w:ascii="Arial" w:hAnsi="Arial" w:eastAsia="宋体" w:cs="Arial"/>
                <w:position w:val="1"/>
                <w:sz w:val="21"/>
                <w:szCs w:val="21"/>
              </w:rPr>
              <w:t>9</w:t>
            </w:r>
          </w:p>
        </w:tc>
        <w:tc>
          <w:tcPr>
            <w:tcW w:w="1077" w:type="dxa"/>
            <w:vAlign w:val="top"/>
          </w:tcPr>
          <w:p w14:paraId="693D96EB">
            <w:pPr>
              <w:pStyle w:val="257"/>
              <w:keepNext w:val="0"/>
              <w:keepLines w:val="0"/>
              <w:pageBreakBefore w:val="0"/>
              <w:widowControl w:val="0"/>
              <w:kinsoku/>
              <w:wordWrap/>
              <w:overflowPunct/>
              <w:topLinePunct w:val="0"/>
              <w:autoSpaceDE/>
              <w:autoSpaceDN/>
              <w:bidi w:val="0"/>
              <w:adjustRightInd/>
              <w:spacing w:before="192" w:line="288" w:lineRule="auto"/>
              <w:ind w:left="16" w:right="8" w:firstLine="2"/>
              <w:textAlignment w:val="auto"/>
              <w:rPr>
                <w:rFonts w:hint="default" w:ascii="Arial" w:hAnsi="Arial" w:eastAsia="宋体" w:cs="Arial"/>
                <w:sz w:val="21"/>
                <w:szCs w:val="21"/>
              </w:rPr>
            </w:pPr>
            <w:r>
              <w:rPr>
                <w:rFonts w:hint="default" w:ascii="Arial" w:hAnsi="Arial" w:eastAsia="宋体" w:cs="Arial"/>
                <w:spacing w:val="4"/>
                <w:sz w:val="21"/>
                <w:szCs w:val="21"/>
              </w:rPr>
              <w:t>★A020609</w:t>
            </w:r>
            <w:r>
              <w:rPr>
                <w:rFonts w:hint="default" w:ascii="Arial" w:hAnsi="Arial" w:eastAsia="宋体" w:cs="Arial"/>
                <w:spacing w:val="-43"/>
                <w:sz w:val="21"/>
                <w:szCs w:val="21"/>
              </w:rPr>
              <w:t xml:space="preserve"> </w:t>
            </w:r>
            <w:r>
              <w:rPr>
                <w:rFonts w:hint="default" w:ascii="Arial" w:hAnsi="Arial" w:eastAsia="宋体" w:cs="Arial"/>
                <w:spacing w:val="4"/>
                <w:sz w:val="21"/>
                <w:szCs w:val="21"/>
              </w:rPr>
              <w:t>镇</w:t>
            </w:r>
            <w:r>
              <w:rPr>
                <w:rFonts w:hint="default" w:ascii="Arial" w:hAnsi="Arial" w:eastAsia="宋体" w:cs="Arial"/>
                <w:sz w:val="21"/>
                <w:szCs w:val="21"/>
              </w:rPr>
              <w:t xml:space="preserve"> </w:t>
            </w:r>
            <w:r>
              <w:rPr>
                <w:rFonts w:hint="default" w:ascii="Arial" w:hAnsi="Arial" w:eastAsia="宋体" w:cs="Arial"/>
                <w:spacing w:val="4"/>
                <w:sz w:val="21"/>
                <w:szCs w:val="21"/>
              </w:rPr>
              <w:t>流器</w:t>
            </w:r>
          </w:p>
        </w:tc>
        <w:tc>
          <w:tcPr>
            <w:tcW w:w="1786" w:type="dxa"/>
            <w:vAlign w:val="top"/>
          </w:tcPr>
          <w:p w14:paraId="7BD00772">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36BCBE7C">
            <w:pPr>
              <w:pStyle w:val="257"/>
              <w:keepNext w:val="0"/>
              <w:keepLines w:val="0"/>
              <w:pageBreakBefore w:val="0"/>
              <w:widowControl w:val="0"/>
              <w:kinsoku/>
              <w:wordWrap/>
              <w:overflowPunct/>
              <w:topLinePunct w:val="0"/>
              <w:autoSpaceDE/>
              <w:autoSpaceDN/>
              <w:bidi w:val="0"/>
              <w:adjustRightInd/>
              <w:spacing w:before="62" w:line="288" w:lineRule="auto"/>
              <w:ind w:left="19"/>
              <w:textAlignment w:val="auto"/>
              <w:rPr>
                <w:rFonts w:hint="default" w:ascii="Arial" w:hAnsi="Arial" w:eastAsia="宋体" w:cs="Arial"/>
                <w:sz w:val="21"/>
                <w:szCs w:val="21"/>
              </w:rPr>
            </w:pPr>
            <w:r>
              <w:rPr>
                <w:rFonts w:hint="default" w:ascii="Arial" w:hAnsi="Arial" w:eastAsia="宋体" w:cs="Arial"/>
                <w:spacing w:val="8"/>
                <w:sz w:val="21"/>
                <w:szCs w:val="21"/>
              </w:rPr>
              <w:t>管型荧光灯镇流器</w:t>
            </w:r>
          </w:p>
        </w:tc>
        <w:tc>
          <w:tcPr>
            <w:tcW w:w="1678" w:type="dxa"/>
            <w:vAlign w:val="top"/>
          </w:tcPr>
          <w:p w14:paraId="0E1F29EA">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4609" w:type="dxa"/>
            <w:vAlign w:val="top"/>
          </w:tcPr>
          <w:p w14:paraId="5C17DF92">
            <w:pPr>
              <w:pStyle w:val="257"/>
              <w:keepNext w:val="0"/>
              <w:keepLines w:val="0"/>
              <w:pageBreakBefore w:val="0"/>
              <w:widowControl w:val="0"/>
              <w:kinsoku/>
              <w:wordWrap/>
              <w:overflowPunct/>
              <w:topLinePunct w:val="0"/>
              <w:autoSpaceDE/>
              <w:autoSpaceDN/>
              <w:bidi w:val="0"/>
              <w:adjustRightInd/>
              <w:spacing w:before="192" w:line="288" w:lineRule="auto"/>
              <w:ind w:left="17" w:right="11" w:firstLine="6"/>
              <w:textAlignment w:val="auto"/>
              <w:rPr>
                <w:rFonts w:hint="default" w:ascii="Arial" w:hAnsi="Arial" w:eastAsia="宋体" w:cs="Arial"/>
                <w:sz w:val="21"/>
                <w:szCs w:val="21"/>
              </w:rPr>
            </w:pPr>
            <w:r>
              <w:rPr>
                <w:rFonts w:hint="default" w:ascii="Arial" w:hAnsi="Arial" w:eastAsia="宋体" w:cs="Arial"/>
                <w:spacing w:val="19"/>
                <w:sz w:val="21"/>
                <w:szCs w:val="21"/>
              </w:rPr>
              <w:t>《管形荧光灯镇流器能效限定值</w:t>
            </w:r>
            <w:r>
              <w:rPr>
                <w:rFonts w:hint="default" w:ascii="Arial" w:hAnsi="Arial" w:eastAsia="宋体" w:cs="Arial"/>
                <w:spacing w:val="2"/>
                <w:sz w:val="21"/>
                <w:szCs w:val="21"/>
              </w:rPr>
              <w:t xml:space="preserve"> </w:t>
            </w:r>
            <w:r>
              <w:rPr>
                <w:rFonts w:hint="default" w:ascii="Arial" w:hAnsi="Arial" w:eastAsia="宋体" w:cs="Arial"/>
                <w:spacing w:val="5"/>
                <w:sz w:val="21"/>
                <w:szCs w:val="21"/>
              </w:rPr>
              <w:t>及能效等级》（</w:t>
            </w:r>
            <w:r>
              <w:rPr>
                <w:rFonts w:hint="default" w:ascii="Arial" w:hAnsi="Arial" w:eastAsia="宋体" w:cs="Arial"/>
                <w:sz w:val="21"/>
                <w:szCs w:val="21"/>
              </w:rPr>
              <w:t>GB</w:t>
            </w:r>
            <w:r>
              <w:rPr>
                <w:rFonts w:hint="default" w:ascii="Arial" w:hAnsi="Arial" w:eastAsia="宋体" w:cs="Arial"/>
                <w:spacing w:val="39"/>
                <w:sz w:val="21"/>
                <w:szCs w:val="21"/>
              </w:rPr>
              <w:t xml:space="preserve"> </w:t>
            </w:r>
            <w:r>
              <w:rPr>
                <w:rFonts w:hint="default" w:ascii="Arial" w:hAnsi="Arial" w:eastAsia="宋体" w:cs="Arial"/>
                <w:spacing w:val="5"/>
                <w:sz w:val="21"/>
                <w:szCs w:val="21"/>
              </w:rPr>
              <w:t>17896）</w:t>
            </w:r>
          </w:p>
        </w:tc>
      </w:tr>
      <w:tr w14:paraId="4875D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573" w:type="dxa"/>
            <w:vMerge w:val="restart"/>
            <w:tcBorders>
              <w:bottom w:val="nil"/>
            </w:tcBorders>
            <w:vAlign w:val="top"/>
          </w:tcPr>
          <w:p w14:paraId="2FFC9C0D">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4BC34DFB">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27F0CA2E">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4174F754">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4C2AE276">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05756276">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25BA9C5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27E1AD97">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2E175F8D">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2DF15992">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347391D1">
            <w:pPr>
              <w:pStyle w:val="257"/>
              <w:keepNext w:val="0"/>
              <w:keepLines w:val="0"/>
              <w:pageBreakBefore w:val="0"/>
              <w:widowControl w:val="0"/>
              <w:kinsoku/>
              <w:wordWrap/>
              <w:overflowPunct/>
              <w:topLinePunct w:val="0"/>
              <w:autoSpaceDE/>
              <w:autoSpaceDN/>
              <w:bidi w:val="0"/>
              <w:adjustRightInd/>
              <w:spacing w:before="62" w:line="288" w:lineRule="auto"/>
              <w:ind w:left="209"/>
              <w:textAlignment w:val="auto"/>
              <w:rPr>
                <w:rFonts w:hint="default" w:ascii="Arial" w:hAnsi="Arial" w:eastAsia="宋体" w:cs="Arial"/>
                <w:sz w:val="21"/>
                <w:szCs w:val="21"/>
              </w:rPr>
            </w:pPr>
            <w:r>
              <w:rPr>
                <w:rFonts w:hint="default" w:ascii="Arial" w:hAnsi="Arial" w:eastAsia="宋体" w:cs="Arial"/>
                <w:spacing w:val="-7"/>
                <w:position w:val="1"/>
                <w:sz w:val="21"/>
                <w:szCs w:val="21"/>
              </w:rPr>
              <w:t>10</w:t>
            </w:r>
          </w:p>
        </w:tc>
        <w:tc>
          <w:tcPr>
            <w:tcW w:w="1077" w:type="dxa"/>
            <w:vMerge w:val="restart"/>
            <w:tcBorders>
              <w:bottom w:val="nil"/>
            </w:tcBorders>
            <w:vAlign w:val="top"/>
          </w:tcPr>
          <w:p w14:paraId="4E90FA5B">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51278A5E">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48CC9D44">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79C67AEE">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647FD45B">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35B62772">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27C82EB7">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051F9F2D">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43DF196A">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567805F2">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7D11DCB6">
            <w:pPr>
              <w:pStyle w:val="257"/>
              <w:keepNext w:val="0"/>
              <w:keepLines w:val="0"/>
              <w:pageBreakBefore w:val="0"/>
              <w:widowControl w:val="0"/>
              <w:kinsoku/>
              <w:wordWrap/>
              <w:overflowPunct/>
              <w:topLinePunct w:val="0"/>
              <w:autoSpaceDE/>
              <w:autoSpaceDN/>
              <w:bidi w:val="0"/>
              <w:adjustRightInd/>
              <w:spacing w:before="62" w:line="288" w:lineRule="auto"/>
              <w:ind w:left="16" w:right="8" w:hanging="7"/>
              <w:textAlignment w:val="auto"/>
              <w:rPr>
                <w:rFonts w:hint="default" w:ascii="Arial" w:hAnsi="Arial" w:eastAsia="宋体" w:cs="Arial"/>
                <w:sz w:val="21"/>
                <w:szCs w:val="21"/>
              </w:rPr>
            </w:pPr>
            <w:r>
              <w:rPr>
                <w:rFonts w:hint="default" w:ascii="Arial" w:hAnsi="Arial" w:eastAsia="宋体" w:cs="Arial"/>
                <w:spacing w:val="4"/>
                <w:sz w:val="21"/>
                <w:szCs w:val="21"/>
              </w:rPr>
              <w:t>A020618</w:t>
            </w:r>
            <w:r>
              <w:rPr>
                <w:rFonts w:hint="default" w:ascii="Arial" w:hAnsi="Arial" w:eastAsia="宋体" w:cs="Arial"/>
                <w:spacing w:val="-34"/>
                <w:sz w:val="21"/>
                <w:szCs w:val="21"/>
              </w:rPr>
              <w:t xml:space="preserve"> </w:t>
            </w:r>
            <w:r>
              <w:rPr>
                <w:rFonts w:hint="default" w:ascii="Arial" w:hAnsi="Arial" w:eastAsia="宋体" w:cs="Arial"/>
                <w:spacing w:val="4"/>
                <w:sz w:val="21"/>
                <w:szCs w:val="21"/>
              </w:rPr>
              <w:t>生活</w:t>
            </w:r>
            <w:r>
              <w:rPr>
                <w:rFonts w:hint="default" w:ascii="Arial" w:hAnsi="Arial" w:eastAsia="宋体" w:cs="Arial"/>
                <w:sz w:val="21"/>
                <w:szCs w:val="21"/>
              </w:rPr>
              <w:t xml:space="preserve"> </w:t>
            </w:r>
            <w:r>
              <w:rPr>
                <w:rFonts w:hint="default" w:ascii="Arial" w:hAnsi="Arial" w:eastAsia="宋体" w:cs="Arial"/>
                <w:spacing w:val="6"/>
                <w:sz w:val="21"/>
                <w:szCs w:val="21"/>
              </w:rPr>
              <w:t>用电器</w:t>
            </w:r>
          </w:p>
        </w:tc>
        <w:tc>
          <w:tcPr>
            <w:tcW w:w="1786" w:type="dxa"/>
            <w:vAlign w:val="top"/>
          </w:tcPr>
          <w:p w14:paraId="7B0373FD">
            <w:pPr>
              <w:pStyle w:val="257"/>
              <w:keepNext w:val="0"/>
              <w:keepLines w:val="0"/>
              <w:pageBreakBefore w:val="0"/>
              <w:widowControl w:val="0"/>
              <w:kinsoku/>
              <w:wordWrap/>
              <w:overflowPunct/>
              <w:topLinePunct w:val="0"/>
              <w:autoSpaceDE/>
              <w:autoSpaceDN/>
              <w:bidi w:val="0"/>
              <w:adjustRightInd/>
              <w:spacing w:before="276" w:line="288" w:lineRule="auto"/>
              <w:ind w:left="9"/>
              <w:textAlignment w:val="auto"/>
              <w:rPr>
                <w:rFonts w:hint="default" w:ascii="Arial" w:hAnsi="Arial" w:eastAsia="宋体" w:cs="Arial"/>
                <w:sz w:val="21"/>
                <w:szCs w:val="21"/>
              </w:rPr>
            </w:pPr>
            <w:r>
              <w:rPr>
                <w:rFonts w:hint="default" w:ascii="Arial" w:hAnsi="Arial" w:eastAsia="宋体" w:cs="Arial"/>
                <w:spacing w:val="3"/>
                <w:sz w:val="21"/>
                <w:szCs w:val="21"/>
              </w:rPr>
              <w:t>A0206180101</w:t>
            </w:r>
            <w:r>
              <w:rPr>
                <w:rFonts w:hint="default" w:ascii="Arial" w:hAnsi="Arial" w:eastAsia="宋体" w:cs="Arial"/>
                <w:spacing w:val="-4"/>
                <w:sz w:val="21"/>
                <w:szCs w:val="21"/>
              </w:rPr>
              <w:t xml:space="preserve"> </w:t>
            </w:r>
            <w:r>
              <w:rPr>
                <w:rFonts w:hint="default" w:ascii="Arial" w:hAnsi="Arial" w:eastAsia="宋体" w:cs="Arial"/>
                <w:spacing w:val="3"/>
                <w:sz w:val="21"/>
                <w:szCs w:val="21"/>
              </w:rPr>
              <w:t>电冰箱</w:t>
            </w:r>
          </w:p>
        </w:tc>
        <w:tc>
          <w:tcPr>
            <w:tcW w:w="1678" w:type="dxa"/>
            <w:vAlign w:val="top"/>
          </w:tcPr>
          <w:p w14:paraId="1A47534D">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4609" w:type="dxa"/>
            <w:vAlign w:val="top"/>
          </w:tcPr>
          <w:p w14:paraId="2016FBFD">
            <w:pPr>
              <w:pStyle w:val="257"/>
              <w:keepNext w:val="0"/>
              <w:keepLines w:val="0"/>
              <w:pageBreakBefore w:val="0"/>
              <w:widowControl w:val="0"/>
              <w:kinsoku/>
              <w:wordWrap/>
              <w:overflowPunct/>
              <w:topLinePunct w:val="0"/>
              <w:autoSpaceDE/>
              <w:autoSpaceDN/>
              <w:bidi w:val="0"/>
              <w:adjustRightInd/>
              <w:spacing w:before="119" w:line="288" w:lineRule="auto"/>
              <w:ind w:left="22" w:right="11"/>
              <w:textAlignment w:val="auto"/>
              <w:rPr>
                <w:rFonts w:hint="default" w:ascii="Arial" w:hAnsi="Arial" w:eastAsia="宋体" w:cs="Arial"/>
                <w:sz w:val="21"/>
                <w:szCs w:val="21"/>
              </w:rPr>
            </w:pPr>
            <w:r>
              <w:rPr>
                <w:rFonts w:hint="default" w:ascii="Arial" w:hAnsi="Arial" w:eastAsia="宋体" w:cs="Arial"/>
                <w:spacing w:val="19"/>
                <w:sz w:val="21"/>
                <w:szCs w:val="21"/>
              </w:rPr>
              <w:t>《家用电冰箱耗电量限定值及能</w:t>
            </w:r>
            <w:r>
              <w:rPr>
                <w:rFonts w:hint="default" w:ascii="Arial" w:hAnsi="Arial" w:eastAsia="宋体" w:cs="Arial"/>
                <w:spacing w:val="2"/>
                <w:sz w:val="21"/>
                <w:szCs w:val="21"/>
              </w:rPr>
              <w:t xml:space="preserve"> </w:t>
            </w:r>
            <w:r>
              <w:rPr>
                <w:rFonts w:hint="default" w:ascii="Arial" w:hAnsi="Arial" w:eastAsia="宋体" w:cs="Arial"/>
                <w:spacing w:val="4"/>
                <w:sz w:val="21"/>
                <w:szCs w:val="21"/>
              </w:rPr>
              <w:t>效等级》（</w:t>
            </w:r>
            <w:r>
              <w:rPr>
                <w:rFonts w:hint="default" w:ascii="Arial" w:hAnsi="Arial" w:eastAsia="宋体" w:cs="Arial"/>
                <w:sz w:val="21"/>
                <w:szCs w:val="21"/>
              </w:rPr>
              <w:t>GB</w:t>
            </w:r>
            <w:r>
              <w:rPr>
                <w:rFonts w:hint="default" w:ascii="Arial" w:hAnsi="Arial" w:eastAsia="宋体" w:cs="Arial"/>
                <w:spacing w:val="20"/>
                <w:sz w:val="21"/>
                <w:szCs w:val="21"/>
              </w:rPr>
              <w:t xml:space="preserve">  </w:t>
            </w:r>
            <w:r>
              <w:rPr>
                <w:rFonts w:hint="default" w:ascii="Arial" w:hAnsi="Arial" w:eastAsia="宋体" w:cs="Arial"/>
                <w:spacing w:val="4"/>
                <w:sz w:val="21"/>
                <w:szCs w:val="21"/>
              </w:rPr>
              <w:t>12021.2）</w:t>
            </w:r>
          </w:p>
        </w:tc>
      </w:tr>
      <w:tr w14:paraId="4C957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8" w:hRule="atLeast"/>
        </w:trPr>
        <w:tc>
          <w:tcPr>
            <w:tcW w:w="573" w:type="dxa"/>
            <w:vMerge w:val="continue"/>
            <w:tcBorders>
              <w:top w:val="nil"/>
              <w:bottom w:val="nil"/>
            </w:tcBorders>
            <w:vAlign w:val="top"/>
          </w:tcPr>
          <w:p w14:paraId="5272FC17">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077" w:type="dxa"/>
            <w:vMerge w:val="continue"/>
            <w:tcBorders>
              <w:top w:val="nil"/>
              <w:bottom w:val="nil"/>
            </w:tcBorders>
            <w:vAlign w:val="top"/>
          </w:tcPr>
          <w:p w14:paraId="5327A86C">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786" w:type="dxa"/>
            <w:vMerge w:val="restart"/>
            <w:tcBorders>
              <w:bottom w:val="nil"/>
            </w:tcBorders>
            <w:vAlign w:val="top"/>
          </w:tcPr>
          <w:p w14:paraId="46954BC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71155D9A">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3AEF88A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373676A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4E79B147">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3C7692B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3B713381">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29736577">
            <w:pPr>
              <w:pStyle w:val="257"/>
              <w:keepNext w:val="0"/>
              <w:keepLines w:val="0"/>
              <w:pageBreakBefore w:val="0"/>
              <w:widowControl w:val="0"/>
              <w:kinsoku/>
              <w:wordWrap/>
              <w:overflowPunct/>
              <w:topLinePunct w:val="0"/>
              <w:autoSpaceDE/>
              <w:autoSpaceDN/>
              <w:bidi w:val="0"/>
              <w:adjustRightInd/>
              <w:spacing w:before="62" w:line="288" w:lineRule="auto"/>
              <w:ind w:left="14" w:right="10" w:firstLine="3"/>
              <w:textAlignment w:val="auto"/>
              <w:rPr>
                <w:rFonts w:hint="default" w:ascii="Arial" w:hAnsi="Arial" w:eastAsia="宋体" w:cs="Arial"/>
                <w:sz w:val="21"/>
                <w:szCs w:val="21"/>
              </w:rPr>
            </w:pPr>
            <w:r>
              <w:rPr>
                <w:rFonts w:hint="default" w:ascii="Arial" w:hAnsi="Arial" w:eastAsia="宋体" w:cs="Arial"/>
                <w:spacing w:val="3"/>
                <w:sz w:val="21"/>
                <w:szCs w:val="21"/>
              </w:rPr>
              <w:t>★A0206180203 空调</w:t>
            </w:r>
            <w:r>
              <w:rPr>
                <w:rFonts w:hint="default" w:ascii="Arial" w:hAnsi="Arial" w:eastAsia="宋体" w:cs="Arial"/>
                <w:spacing w:val="9"/>
                <w:sz w:val="21"/>
                <w:szCs w:val="21"/>
              </w:rPr>
              <w:t xml:space="preserve"> </w:t>
            </w:r>
            <w:r>
              <w:rPr>
                <w:rFonts w:hint="default" w:ascii="Arial" w:hAnsi="Arial" w:eastAsia="宋体" w:cs="Arial"/>
                <w:spacing w:val="2"/>
                <w:sz w:val="21"/>
                <w:szCs w:val="21"/>
              </w:rPr>
              <w:t>机</w:t>
            </w:r>
          </w:p>
        </w:tc>
        <w:tc>
          <w:tcPr>
            <w:tcW w:w="1678" w:type="dxa"/>
            <w:vAlign w:val="top"/>
          </w:tcPr>
          <w:p w14:paraId="2B115098">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0E26B55E">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21AB1BA2">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6CB759CA">
            <w:pPr>
              <w:pStyle w:val="257"/>
              <w:keepNext w:val="0"/>
              <w:keepLines w:val="0"/>
              <w:pageBreakBefore w:val="0"/>
              <w:widowControl w:val="0"/>
              <w:kinsoku/>
              <w:wordWrap/>
              <w:overflowPunct/>
              <w:topLinePunct w:val="0"/>
              <w:autoSpaceDE/>
              <w:autoSpaceDN/>
              <w:bidi w:val="0"/>
              <w:adjustRightInd/>
              <w:spacing w:before="62" w:line="288" w:lineRule="auto"/>
              <w:ind w:left="17"/>
              <w:textAlignment w:val="auto"/>
              <w:rPr>
                <w:rFonts w:hint="default" w:ascii="Arial" w:hAnsi="Arial" w:eastAsia="宋体" w:cs="Arial"/>
                <w:sz w:val="21"/>
                <w:szCs w:val="21"/>
              </w:rPr>
            </w:pPr>
            <w:r>
              <w:rPr>
                <w:rFonts w:hint="default" w:ascii="Arial" w:hAnsi="Arial" w:eastAsia="宋体" w:cs="Arial"/>
                <w:spacing w:val="8"/>
                <w:sz w:val="21"/>
                <w:szCs w:val="21"/>
              </w:rPr>
              <w:t>房间空气调节器</w:t>
            </w:r>
          </w:p>
        </w:tc>
        <w:tc>
          <w:tcPr>
            <w:tcW w:w="4609" w:type="dxa"/>
            <w:vAlign w:val="top"/>
          </w:tcPr>
          <w:p w14:paraId="5EFC417D">
            <w:pPr>
              <w:pStyle w:val="257"/>
              <w:keepNext w:val="0"/>
              <w:keepLines w:val="0"/>
              <w:pageBreakBefore w:val="0"/>
              <w:widowControl w:val="0"/>
              <w:kinsoku/>
              <w:wordWrap/>
              <w:overflowPunct/>
              <w:topLinePunct w:val="0"/>
              <w:autoSpaceDE/>
              <w:autoSpaceDN/>
              <w:bidi w:val="0"/>
              <w:adjustRightInd/>
              <w:spacing w:before="68" w:line="288" w:lineRule="auto"/>
              <w:ind w:left="17" w:firstLine="5"/>
              <w:jc w:val="both"/>
              <w:textAlignment w:val="auto"/>
              <w:rPr>
                <w:rFonts w:hint="default" w:ascii="Arial" w:hAnsi="Arial" w:eastAsia="宋体" w:cs="Arial"/>
                <w:sz w:val="21"/>
                <w:szCs w:val="21"/>
              </w:rPr>
            </w:pPr>
            <w:r>
              <w:rPr>
                <w:rFonts w:hint="default" w:ascii="Arial" w:hAnsi="Arial" w:eastAsia="宋体" w:cs="Arial"/>
                <w:spacing w:val="14"/>
                <w:sz w:val="21"/>
                <w:szCs w:val="21"/>
              </w:rPr>
              <w:t>《转速可控型房间空气调节器能</w:t>
            </w:r>
            <w:r>
              <w:rPr>
                <w:rFonts w:hint="default" w:ascii="Arial" w:hAnsi="Arial" w:eastAsia="宋体" w:cs="Arial"/>
                <w:sz w:val="21"/>
                <w:szCs w:val="21"/>
              </w:rPr>
              <w:t xml:space="preserve">  </w:t>
            </w:r>
            <w:r>
              <w:rPr>
                <w:rFonts w:hint="default" w:ascii="Arial" w:hAnsi="Arial" w:eastAsia="宋体" w:cs="Arial"/>
                <w:spacing w:val="-9"/>
                <w:sz w:val="21"/>
                <w:szCs w:val="21"/>
              </w:rPr>
              <w:t>效</w:t>
            </w:r>
            <w:r>
              <w:rPr>
                <w:rFonts w:hint="default" w:ascii="Arial" w:hAnsi="Arial" w:eastAsia="宋体" w:cs="Arial"/>
                <w:spacing w:val="-19"/>
                <w:sz w:val="21"/>
                <w:szCs w:val="21"/>
              </w:rPr>
              <w:t xml:space="preserve"> </w:t>
            </w:r>
            <w:r>
              <w:rPr>
                <w:rFonts w:hint="default" w:ascii="Arial" w:hAnsi="Arial" w:eastAsia="宋体" w:cs="Arial"/>
                <w:spacing w:val="-9"/>
                <w:sz w:val="21"/>
                <w:szCs w:val="21"/>
              </w:rPr>
              <w:t>限</w:t>
            </w:r>
            <w:r>
              <w:rPr>
                <w:rFonts w:hint="default" w:ascii="Arial" w:hAnsi="Arial" w:eastAsia="宋体" w:cs="Arial"/>
                <w:spacing w:val="-33"/>
                <w:sz w:val="21"/>
                <w:szCs w:val="21"/>
              </w:rPr>
              <w:t xml:space="preserve"> </w:t>
            </w:r>
            <w:r>
              <w:rPr>
                <w:rFonts w:hint="default" w:ascii="Arial" w:hAnsi="Arial" w:eastAsia="宋体" w:cs="Arial"/>
                <w:spacing w:val="-9"/>
                <w:sz w:val="21"/>
                <w:szCs w:val="21"/>
              </w:rPr>
              <w:t>定</w:t>
            </w:r>
            <w:r>
              <w:rPr>
                <w:rFonts w:hint="default" w:ascii="Arial" w:hAnsi="Arial" w:eastAsia="宋体" w:cs="Arial"/>
                <w:spacing w:val="-38"/>
                <w:sz w:val="21"/>
                <w:szCs w:val="21"/>
              </w:rPr>
              <w:t xml:space="preserve"> </w:t>
            </w:r>
            <w:r>
              <w:rPr>
                <w:rFonts w:hint="default" w:ascii="Arial" w:hAnsi="Arial" w:eastAsia="宋体" w:cs="Arial"/>
                <w:spacing w:val="-9"/>
                <w:sz w:val="21"/>
                <w:szCs w:val="21"/>
              </w:rPr>
              <w:t>值</w:t>
            </w:r>
            <w:r>
              <w:rPr>
                <w:rFonts w:hint="default" w:ascii="Arial" w:hAnsi="Arial" w:eastAsia="宋体" w:cs="Arial"/>
                <w:spacing w:val="-39"/>
                <w:sz w:val="21"/>
                <w:szCs w:val="21"/>
              </w:rPr>
              <w:t xml:space="preserve"> </w:t>
            </w:r>
            <w:r>
              <w:rPr>
                <w:rFonts w:hint="default" w:ascii="Arial" w:hAnsi="Arial" w:eastAsia="宋体" w:cs="Arial"/>
                <w:spacing w:val="-9"/>
                <w:sz w:val="21"/>
                <w:szCs w:val="21"/>
              </w:rPr>
              <w:t>及</w:t>
            </w:r>
            <w:r>
              <w:rPr>
                <w:rFonts w:hint="default" w:ascii="Arial" w:hAnsi="Arial" w:eastAsia="宋体" w:cs="Arial"/>
                <w:spacing w:val="-31"/>
                <w:sz w:val="21"/>
                <w:szCs w:val="21"/>
              </w:rPr>
              <w:t xml:space="preserve"> </w:t>
            </w:r>
            <w:r>
              <w:rPr>
                <w:rFonts w:hint="default" w:ascii="Arial" w:hAnsi="Arial" w:eastAsia="宋体" w:cs="Arial"/>
                <w:spacing w:val="-9"/>
                <w:sz w:val="21"/>
                <w:szCs w:val="21"/>
              </w:rPr>
              <w:t>能</w:t>
            </w:r>
            <w:r>
              <w:rPr>
                <w:rFonts w:hint="default" w:ascii="Arial" w:hAnsi="Arial" w:eastAsia="宋体" w:cs="Arial"/>
                <w:spacing w:val="-34"/>
                <w:sz w:val="21"/>
                <w:szCs w:val="21"/>
              </w:rPr>
              <w:t xml:space="preserve"> </w:t>
            </w:r>
            <w:r>
              <w:rPr>
                <w:rFonts w:hint="default" w:ascii="Arial" w:hAnsi="Arial" w:eastAsia="宋体" w:cs="Arial"/>
                <w:spacing w:val="-9"/>
                <w:sz w:val="21"/>
                <w:szCs w:val="21"/>
              </w:rPr>
              <w:t>效</w:t>
            </w:r>
            <w:r>
              <w:rPr>
                <w:rFonts w:hint="default" w:ascii="Arial" w:hAnsi="Arial" w:eastAsia="宋体" w:cs="Arial"/>
                <w:spacing w:val="-36"/>
                <w:sz w:val="21"/>
                <w:szCs w:val="21"/>
              </w:rPr>
              <w:t xml:space="preserve"> </w:t>
            </w:r>
            <w:r>
              <w:rPr>
                <w:rFonts w:hint="default" w:ascii="Arial" w:hAnsi="Arial" w:eastAsia="宋体" w:cs="Arial"/>
                <w:spacing w:val="-9"/>
                <w:sz w:val="21"/>
                <w:szCs w:val="21"/>
              </w:rPr>
              <w:t>等</w:t>
            </w:r>
            <w:r>
              <w:rPr>
                <w:rFonts w:hint="default" w:ascii="Arial" w:hAnsi="Arial" w:eastAsia="宋体" w:cs="Arial"/>
                <w:spacing w:val="-36"/>
                <w:sz w:val="21"/>
                <w:szCs w:val="21"/>
              </w:rPr>
              <w:t xml:space="preserve"> </w:t>
            </w:r>
            <w:r>
              <w:rPr>
                <w:rFonts w:hint="default" w:ascii="Arial" w:hAnsi="Arial" w:eastAsia="宋体" w:cs="Arial"/>
                <w:spacing w:val="-9"/>
                <w:sz w:val="21"/>
                <w:szCs w:val="21"/>
              </w:rPr>
              <w:t>级</w:t>
            </w:r>
            <w:r>
              <w:rPr>
                <w:rFonts w:hint="default" w:ascii="Arial" w:hAnsi="Arial" w:eastAsia="宋体" w:cs="Arial"/>
                <w:spacing w:val="-29"/>
                <w:sz w:val="21"/>
                <w:szCs w:val="21"/>
              </w:rPr>
              <w:t xml:space="preserve"> </w:t>
            </w:r>
            <w:r>
              <w:rPr>
                <w:rFonts w:hint="default" w:ascii="Arial" w:hAnsi="Arial" w:eastAsia="宋体" w:cs="Arial"/>
                <w:spacing w:val="-9"/>
                <w:sz w:val="21"/>
                <w:szCs w:val="21"/>
              </w:rPr>
              <w:t>》</w:t>
            </w:r>
            <w:r>
              <w:rPr>
                <w:rFonts w:hint="default" w:ascii="Arial" w:hAnsi="Arial" w:eastAsia="宋体" w:cs="Arial"/>
                <w:spacing w:val="-41"/>
                <w:sz w:val="21"/>
                <w:szCs w:val="21"/>
              </w:rPr>
              <w:t xml:space="preserve"> </w:t>
            </w:r>
            <w:r>
              <w:rPr>
                <w:rFonts w:hint="default" w:ascii="Arial" w:hAnsi="Arial" w:eastAsia="宋体" w:cs="Arial"/>
                <w:spacing w:val="-9"/>
                <w:sz w:val="21"/>
                <w:szCs w:val="21"/>
              </w:rPr>
              <w:t>（ GB</w:t>
            </w:r>
            <w:r>
              <w:rPr>
                <w:rFonts w:hint="default" w:ascii="Arial" w:hAnsi="Arial" w:eastAsia="宋体" w:cs="Arial"/>
                <w:sz w:val="21"/>
                <w:szCs w:val="21"/>
              </w:rPr>
              <w:t xml:space="preserve">  21455-2013</w:t>
            </w:r>
            <w:r>
              <w:rPr>
                <w:rFonts w:hint="default" w:ascii="Arial" w:hAnsi="Arial" w:eastAsia="宋体" w:cs="Arial"/>
                <w:spacing w:val="12"/>
                <w:sz w:val="21"/>
                <w:szCs w:val="21"/>
              </w:rPr>
              <w:t>），</w:t>
            </w:r>
            <w:r>
              <w:rPr>
                <w:rFonts w:hint="default" w:ascii="Arial" w:hAnsi="Arial" w:eastAsia="宋体" w:cs="Arial"/>
                <w:sz w:val="21"/>
                <w:szCs w:val="21"/>
              </w:rPr>
              <w:t>待 2019</w:t>
            </w:r>
            <w:r>
              <w:rPr>
                <w:rFonts w:hint="default" w:ascii="Arial" w:hAnsi="Arial" w:eastAsia="宋体" w:cs="Arial"/>
                <w:spacing w:val="-15"/>
                <w:sz w:val="21"/>
                <w:szCs w:val="21"/>
              </w:rPr>
              <w:t xml:space="preserve"> </w:t>
            </w:r>
            <w:r>
              <w:rPr>
                <w:rFonts w:hint="default" w:ascii="Arial" w:hAnsi="Arial" w:eastAsia="宋体" w:cs="Arial"/>
                <w:sz w:val="21"/>
                <w:szCs w:val="21"/>
              </w:rPr>
              <w:t>年修订发  布后，按《房间空气调节器能效限</w:t>
            </w:r>
            <w:r>
              <w:rPr>
                <w:rFonts w:hint="default" w:ascii="Arial" w:hAnsi="Arial" w:eastAsia="宋体" w:cs="Arial"/>
                <w:spacing w:val="4"/>
                <w:sz w:val="21"/>
                <w:szCs w:val="21"/>
              </w:rPr>
              <w:t xml:space="preserve">  </w:t>
            </w:r>
            <w:r>
              <w:rPr>
                <w:rFonts w:hint="default" w:ascii="Arial" w:hAnsi="Arial" w:eastAsia="宋体" w:cs="Arial"/>
                <w:spacing w:val="-5"/>
                <w:sz w:val="21"/>
                <w:szCs w:val="21"/>
              </w:rPr>
              <w:t>定值及能效等级》（GB21455-2019）</w:t>
            </w:r>
            <w:r>
              <w:rPr>
                <w:rFonts w:hint="default" w:ascii="Arial" w:hAnsi="Arial" w:eastAsia="宋体" w:cs="Arial"/>
                <w:spacing w:val="15"/>
                <w:sz w:val="21"/>
                <w:szCs w:val="21"/>
              </w:rPr>
              <w:t xml:space="preserve"> </w:t>
            </w:r>
            <w:r>
              <w:rPr>
                <w:rFonts w:hint="default" w:ascii="Arial" w:hAnsi="Arial" w:eastAsia="宋体" w:cs="Arial"/>
                <w:sz w:val="21"/>
                <w:szCs w:val="21"/>
              </w:rPr>
              <w:t>实施。</w:t>
            </w:r>
          </w:p>
        </w:tc>
      </w:tr>
      <w:tr w14:paraId="79A64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3" w:type="dxa"/>
            <w:vMerge w:val="continue"/>
            <w:tcBorders>
              <w:top w:val="nil"/>
              <w:bottom w:val="nil"/>
            </w:tcBorders>
            <w:vAlign w:val="top"/>
          </w:tcPr>
          <w:p w14:paraId="1E5F1BAD">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077" w:type="dxa"/>
            <w:vMerge w:val="continue"/>
            <w:tcBorders>
              <w:top w:val="nil"/>
              <w:bottom w:val="nil"/>
            </w:tcBorders>
            <w:vAlign w:val="top"/>
          </w:tcPr>
          <w:p w14:paraId="5CF65E0E">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786" w:type="dxa"/>
            <w:vMerge w:val="continue"/>
            <w:tcBorders>
              <w:top w:val="nil"/>
              <w:bottom w:val="nil"/>
            </w:tcBorders>
            <w:vAlign w:val="top"/>
          </w:tcPr>
          <w:p w14:paraId="67979D17">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678" w:type="dxa"/>
            <w:vAlign w:val="top"/>
          </w:tcPr>
          <w:p w14:paraId="5563FE61">
            <w:pPr>
              <w:pStyle w:val="257"/>
              <w:keepNext w:val="0"/>
              <w:keepLines w:val="0"/>
              <w:pageBreakBefore w:val="0"/>
              <w:widowControl w:val="0"/>
              <w:kinsoku/>
              <w:wordWrap/>
              <w:overflowPunct/>
              <w:topLinePunct w:val="0"/>
              <w:autoSpaceDE/>
              <w:autoSpaceDN/>
              <w:bidi w:val="0"/>
              <w:adjustRightInd/>
              <w:spacing w:before="71" w:line="288" w:lineRule="auto"/>
              <w:ind w:left="15" w:right="11" w:firstLine="10"/>
              <w:jc w:val="both"/>
              <w:textAlignment w:val="auto"/>
              <w:rPr>
                <w:rFonts w:hint="default" w:ascii="Arial" w:hAnsi="Arial" w:eastAsia="宋体" w:cs="Arial"/>
                <w:sz w:val="21"/>
                <w:szCs w:val="21"/>
              </w:rPr>
            </w:pPr>
            <w:r>
              <w:rPr>
                <w:rFonts w:hint="default" w:ascii="Arial" w:hAnsi="Arial" w:eastAsia="宋体" w:cs="Arial"/>
                <w:spacing w:val="15"/>
                <w:sz w:val="21"/>
                <w:szCs w:val="21"/>
              </w:rPr>
              <w:t>多联式空调（热泵）</w:t>
            </w:r>
            <w:r>
              <w:rPr>
                <w:rFonts w:hint="default" w:ascii="Arial" w:hAnsi="Arial" w:eastAsia="宋体" w:cs="Arial"/>
                <w:spacing w:val="7"/>
                <w:sz w:val="21"/>
                <w:szCs w:val="21"/>
              </w:rPr>
              <w:t xml:space="preserve"> </w:t>
            </w:r>
            <w:r>
              <w:rPr>
                <w:rFonts w:hint="default" w:ascii="Arial" w:hAnsi="Arial" w:eastAsia="宋体" w:cs="Arial"/>
                <w:spacing w:val="-4"/>
                <w:sz w:val="21"/>
                <w:szCs w:val="21"/>
              </w:rPr>
              <w:t>机 组 （</w:t>
            </w:r>
            <w:r>
              <w:rPr>
                <w:rFonts w:hint="default" w:ascii="Arial" w:hAnsi="Arial" w:eastAsia="宋体" w:cs="Arial"/>
                <w:spacing w:val="28"/>
                <w:sz w:val="21"/>
                <w:szCs w:val="21"/>
              </w:rPr>
              <w:t xml:space="preserve"> </w:t>
            </w:r>
            <w:r>
              <w:rPr>
                <w:rFonts w:hint="default" w:ascii="Arial" w:hAnsi="Arial" w:eastAsia="宋体" w:cs="Arial"/>
                <w:spacing w:val="-4"/>
                <w:sz w:val="21"/>
                <w:szCs w:val="21"/>
              </w:rPr>
              <w:t>制 冷 量 ≤</w:t>
            </w:r>
            <w:r>
              <w:rPr>
                <w:rFonts w:hint="default" w:ascii="Arial" w:hAnsi="Arial" w:eastAsia="宋体" w:cs="Arial"/>
                <w:sz w:val="21"/>
                <w:szCs w:val="21"/>
              </w:rPr>
              <w:t xml:space="preserve"> </w:t>
            </w:r>
            <w:r>
              <w:rPr>
                <w:rFonts w:hint="default" w:ascii="Arial" w:hAnsi="Arial" w:eastAsia="宋体" w:cs="Arial"/>
                <w:spacing w:val="3"/>
                <w:sz w:val="21"/>
                <w:szCs w:val="21"/>
              </w:rPr>
              <w:t>14000W）</w:t>
            </w:r>
          </w:p>
        </w:tc>
        <w:tc>
          <w:tcPr>
            <w:tcW w:w="4609" w:type="dxa"/>
            <w:vAlign w:val="top"/>
          </w:tcPr>
          <w:p w14:paraId="4097116E">
            <w:pPr>
              <w:pStyle w:val="257"/>
              <w:keepNext w:val="0"/>
              <w:keepLines w:val="0"/>
              <w:pageBreakBefore w:val="0"/>
              <w:widowControl w:val="0"/>
              <w:kinsoku/>
              <w:wordWrap/>
              <w:overflowPunct/>
              <w:topLinePunct w:val="0"/>
              <w:autoSpaceDE/>
              <w:autoSpaceDN/>
              <w:bidi w:val="0"/>
              <w:adjustRightInd/>
              <w:spacing w:before="225" w:line="288" w:lineRule="auto"/>
              <w:ind w:left="22"/>
              <w:textAlignment w:val="auto"/>
              <w:rPr>
                <w:rFonts w:hint="default" w:ascii="Arial" w:hAnsi="Arial" w:eastAsia="宋体" w:cs="Arial"/>
                <w:sz w:val="21"/>
                <w:szCs w:val="21"/>
              </w:rPr>
            </w:pPr>
            <w:r>
              <w:rPr>
                <w:rFonts w:hint="default" w:ascii="Arial" w:hAnsi="Arial" w:eastAsia="宋体" w:cs="Arial"/>
                <w:sz w:val="21"/>
                <w:szCs w:val="21"/>
              </w:rPr>
              <w:t>《多联式空调（热泵）机组能效限</w:t>
            </w:r>
            <w:r>
              <w:rPr>
                <w:rFonts w:hint="default" w:ascii="Arial" w:hAnsi="Arial" w:eastAsia="宋体" w:cs="Arial"/>
                <w:spacing w:val="2"/>
                <w:sz w:val="21"/>
                <w:szCs w:val="21"/>
              </w:rPr>
              <w:t xml:space="preserve">  </w:t>
            </w:r>
            <w:r>
              <w:rPr>
                <w:rFonts w:hint="default" w:ascii="Arial" w:hAnsi="Arial" w:eastAsia="宋体" w:cs="Arial"/>
                <w:spacing w:val="-4"/>
                <w:sz w:val="21"/>
                <w:szCs w:val="21"/>
              </w:rPr>
              <w:t>定值及能源效率等级》（GB</w:t>
            </w:r>
            <w:r>
              <w:rPr>
                <w:rFonts w:hint="default" w:ascii="Arial" w:hAnsi="Arial" w:eastAsia="宋体" w:cs="Arial"/>
                <w:spacing w:val="-24"/>
                <w:sz w:val="21"/>
                <w:szCs w:val="21"/>
              </w:rPr>
              <w:t xml:space="preserve"> </w:t>
            </w:r>
            <w:r>
              <w:rPr>
                <w:rFonts w:hint="default" w:ascii="Arial" w:hAnsi="Arial" w:eastAsia="宋体" w:cs="Arial"/>
                <w:spacing w:val="-4"/>
                <w:sz w:val="21"/>
                <w:szCs w:val="21"/>
              </w:rPr>
              <w:t>21454）</w:t>
            </w:r>
          </w:p>
        </w:tc>
      </w:tr>
      <w:tr w14:paraId="2BABA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573" w:type="dxa"/>
            <w:vMerge w:val="continue"/>
            <w:tcBorders>
              <w:top w:val="nil"/>
              <w:bottom w:val="nil"/>
            </w:tcBorders>
            <w:vAlign w:val="top"/>
          </w:tcPr>
          <w:p w14:paraId="48AFFED1">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077" w:type="dxa"/>
            <w:vMerge w:val="continue"/>
            <w:tcBorders>
              <w:top w:val="nil"/>
              <w:bottom w:val="nil"/>
            </w:tcBorders>
            <w:vAlign w:val="top"/>
          </w:tcPr>
          <w:p w14:paraId="10E71562">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786" w:type="dxa"/>
            <w:vMerge w:val="continue"/>
            <w:tcBorders>
              <w:top w:val="nil"/>
            </w:tcBorders>
            <w:vAlign w:val="top"/>
          </w:tcPr>
          <w:p w14:paraId="5162852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678" w:type="dxa"/>
            <w:vAlign w:val="top"/>
          </w:tcPr>
          <w:p w14:paraId="745A02AE">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p w14:paraId="1C83C537">
            <w:pPr>
              <w:pStyle w:val="257"/>
              <w:keepNext w:val="0"/>
              <w:keepLines w:val="0"/>
              <w:pageBreakBefore w:val="0"/>
              <w:widowControl w:val="0"/>
              <w:kinsoku/>
              <w:wordWrap/>
              <w:overflowPunct/>
              <w:topLinePunct w:val="0"/>
              <w:autoSpaceDE/>
              <w:autoSpaceDN/>
              <w:bidi w:val="0"/>
              <w:adjustRightInd/>
              <w:spacing w:before="61" w:line="288" w:lineRule="auto"/>
              <w:ind w:left="51" w:right="11" w:hanging="33"/>
              <w:textAlignment w:val="auto"/>
              <w:rPr>
                <w:rFonts w:hint="default" w:ascii="Arial" w:hAnsi="Arial" w:eastAsia="宋体" w:cs="Arial"/>
                <w:sz w:val="21"/>
                <w:szCs w:val="21"/>
              </w:rPr>
            </w:pPr>
            <w:r>
              <w:rPr>
                <w:rFonts w:hint="default" w:ascii="Arial" w:hAnsi="Arial" w:eastAsia="宋体" w:cs="Arial"/>
                <w:spacing w:val="44"/>
                <w:sz w:val="21"/>
                <w:szCs w:val="21"/>
              </w:rPr>
              <w:t>单元式空气调节机</w:t>
            </w:r>
            <w:r>
              <w:rPr>
                <w:rFonts w:hint="default" w:ascii="Arial" w:hAnsi="Arial" w:eastAsia="宋体" w:cs="Arial"/>
                <w:spacing w:val="6"/>
                <w:sz w:val="21"/>
                <w:szCs w:val="21"/>
              </w:rPr>
              <w:t xml:space="preserve"> </w:t>
            </w:r>
            <w:r>
              <w:rPr>
                <w:rFonts w:hint="default" w:ascii="Arial" w:hAnsi="Arial" w:eastAsia="宋体" w:cs="Arial"/>
                <w:spacing w:val="3"/>
                <w:sz w:val="21"/>
                <w:szCs w:val="21"/>
              </w:rPr>
              <w:t>(制冷量≤14000W)</w:t>
            </w:r>
          </w:p>
        </w:tc>
        <w:tc>
          <w:tcPr>
            <w:tcW w:w="4609" w:type="dxa"/>
            <w:vAlign w:val="top"/>
          </w:tcPr>
          <w:p w14:paraId="05145D7A">
            <w:pPr>
              <w:pStyle w:val="257"/>
              <w:keepNext w:val="0"/>
              <w:keepLines w:val="0"/>
              <w:pageBreakBefore w:val="0"/>
              <w:widowControl w:val="0"/>
              <w:kinsoku/>
              <w:wordWrap/>
              <w:overflowPunct/>
              <w:topLinePunct w:val="0"/>
              <w:autoSpaceDE/>
              <w:autoSpaceDN/>
              <w:bidi w:val="0"/>
              <w:adjustRightInd/>
              <w:spacing w:before="72" w:line="288" w:lineRule="auto"/>
              <w:ind w:left="17" w:right="11" w:firstLine="6"/>
              <w:jc w:val="both"/>
              <w:textAlignment w:val="auto"/>
              <w:rPr>
                <w:rFonts w:hint="default" w:ascii="Arial" w:hAnsi="Arial" w:eastAsia="宋体" w:cs="Arial"/>
                <w:sz w:val="21"/>
                <w:szCs w:val="21"/>
              </w:rPr>
            </w:pPr>
            <w:r>
              <w:rPr>
                <w:rFonts w:hint="default" w:ascii="Arial" w:hAnsi="Arial" w:eastAsia="宋体" w:cs="Arial"/>
                <w:spacing w:val="19"/>
                <w:sz w:val="21"/>
                <w:szCs w:val="21"/>
              </w:rPr>
              <w:t>《单元式空气调节机能效限定值</w:t>
            </w:r>
            <w:r>
              <w:rPr>
                <w:rFonts w:hint="default" w:ascii="Arial" w:hAnsi="Arial" w:eastAsia="宋体" w:cs="Arial"/>
                <w:spacing w:val="2"/>
                <w:sz w:val="21"/>
                <w:szCs w:val="21"/>
              </w:rPr>
              <w:t xml:space="preserve"> </w:t>
            </w:r>
            <w:r>
              <w:rPr>
                <w:rFonts w:hint="default" w:ascii="Arial" w:hAnsi="Arial" w:eastAsia="宋体" w:cs="Arial"/>
                <w:spacing w:val="-5"/>
                <w:sz w:val="21"/>
                <w:szCs w:val="21"/>
              </w:rPr>
              <w:t>及能源效率等级》（GB</w:t>
            </w:r>
            <w:r>
              <w:rPr>
                <w:rFonts w:hint="default" w:ascii="Arial" w:hAnsi="Arial" w:eastAsia="宋体" w:cs="Arial"/>
                <w:spacing w:val="-13"/>
                <w:sz w:val="21"/>
                <w:szCs w:val="21"/>
              </w:rPr>
              <w:t xml:space="preserve"> </w:t>
            </w:r>
            <w:r>
              <w:rPr>
                <w:rFonts w:hint="default" w:ascii="Arial" w:hAnsi="Arial" w:eastAsia="宋体" w:cs="Arial"/>
                <w:spacing w:val="-5"/>
                <w:sz w:val="21"/>
                <w:szCs w:val="21"/>
              </w:rPr>
              <w:t>19576）《风</w:t>
            </w:r>
            <w:r>
              <w:rPr>
                <w:rFonts w:hint="default" w:ascii="Arial" w:hAnsi="Arial" w:eastAsia="宋体" w:cs="Arial"/>
                <w:sz w:val="21"/>
                <w:szCs w:val="21"/>
              </w:rPr>
              <w:t xml:space="preserve"> </w:t>
            </w:r>
            <w:r>
              <w:rPr>
                <w:rFonts w:hint="default" w:ascii="Arial" w:hAnsi="Arial" w:eastAsia="宋体" w:cs="Arial"/>
                <w:spacing w:val="19"/>
                <w:sz w:val="21"/>
                <w:szCs w:val="21"/>
              </w:rPr>
              <w:t>管送风式空调机组能效限定值及</w:t>
            </w:r>
            <w:r>
              <w:rPr>
                <w:rFonts w:hint="default" w:ascii="Arial" w:hAnsi="Arial" w:eastAsia="宋体" w:cs="Arial"/>
                <w:spacing w:val="8"/>
                <w:sz w:val="21"/>
                <w:szCs w:val="21"/>
              </w:rPr>
              <w:t xml:space="preserve"> </w:t>
            </w:r>
            <w:r>
              <w:rPr>
                <w:rFonts w:hint="default" w:ascii="Arial" w:hAnsi="Arial" w:eastAsia="宋体" w:cs="Arial"/>
                <w:spacing w:val="7"/>
                <w:sz w:val="21"/>
                <w:szCs w:val="21"/>
              </w:rPr>
              <w:t>能效等级》（</w:t>
            </w:r>
            <w:r>
              <w:rPr>
                <w:rFonts w:hint="default" w:ascii="Arial" w:hAnsi="Arial" w:eastAsia="宋体" w:cs="Arial"/>
                <w:sz w:val="21"/>
                <w:szCs w:val="21"/>
              </w:rPr>
              <w:t>GB</w:t>
            </w:r>
            <w:r>
              <w:rPr>
                <w:rFonts w:hint="default" w:ascii="Arial" w:hAnsi="Arial" w:eastAsia="宋体" w:cs="Arial"/>
                <w:spacing w:val="7"/>
                <w:sz w:val="21"/>
                <w:szCs w:val="21"/>
              </w:rPr>
              <w:t xml:space="preserve"> 37479）</w:t>
            </w:r>
          </w:p>
        </w:tc>
      </w:tr>
      <w:tr w14:paraId="793D8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573" w:type="dxa"/>
            <w:vMerge w:val="continue"/>
            <w:tcBorders>
              <w:top w:val="nil"/>
            </w:tcBorders>
            <w:vAlign w:val="top"/>
          </w:tcPr>
          <w:p w14:paraId="25D9BA3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077" w:type="dxa"/>
            <w:vMerge w:val="continue"/>
            <w:tcBorders>
              <w:top w:val="nil"/>
            </w:tcBorders>
            <w:vAlign w:val="top"/>
          </w:tcPr>
          <w:p w14:paraId="7DD1EC21">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1786" w:type="dxa"/>
            <w:vAlign w:val="top"/>
          </w:tcPr>
          <w:p w14:paraId="2105E109">
            <w:pPr>
              <w:pStyle w:val="257"/>
              <w:keepNext w:val="0"/>
              <w:keepLines w:val="0"/>
              <w:pageBreakBefore w:val="0"/>
              <w:widowControl w:val="0"/>
              <w:kinsoku/>
              <w:wordWrap/>
              <w:overflowPunct/>
              <w:topLinePunct w:val="0"/>
              <w:autoSpaceDE/>
              <w:autoSpaceDN/>
              <w:bidi w:val="0"/>
              <w:adjustRightInd/>
              <w:spacing w:before="230" w:line="288" w:lineRule="auto"/>
              <w:ind w:left="9"/>
              <w:textAlignment w:val="auto"/>
              <w:rPr>
                <w:rFonts w:hint="default" w:ascii="Arial" w:hAnsi="Arial" w:eastAsia="宋体" w:cs="Arial"/>
                <w:sz w:val="21"/>
                <w:szCs w:val="21"/>
              </w:rPr>
            </w:pPr>
            <w:r>
              <w:rPr>
                <w:rFonts w:hint="default" w:ascii="Arial" w:hAnsi="Arial" w:eastAsia="宋体" w:cs="Arial"/>
                <w:spacing w:val="5"/>
                <w:sz w:val="21"/>
                <w:szCs w:val="21"/>
              </w:rPr>
              <w:t>A0206180301</w:t>
            </w:r>
            <w:r>
              <w:rPr>
                <w:rFonts w:hint="default" w:ascii="Arial" w:hAnsi="Arial" w:eastAsia="宋体" w:cs="Arial"/>
                <w:spacing w:val="-33"/>
                <w:sz w:val="21"/>
                <w:szCs w:val="21"/>
              </w:rPr>
              <w:t xml:space="preserve"> </w:t>
            </w:r>
            <w:r>
              <w:rPr>
                <w:rFonts w:hint="default" w:ascii="Arial" w:hAnsi="Arial" w:eastAsia="宋体" w:cs="Arial"/>
                <w:spacing w:val="5"/>
                <w:sz w:val="21"/>
                <w:szCs w:val="21"/>
              </w:rPr>
              <w:t>洗衣机</w:t>
            </w:r>
          </w:p>
        </w:tc>
        <w:tc>
          <w:tcPr>
            <w:tcW w:w="1678" w:type="dxa"/>
            <w:vAlign w:val="top"/>
          </w:tcPr>
          <w:p w14:paraId="7A382A8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宋体" w:cs="Arial"/>
                <w:sz w:val="21"/>
                <w:szCs w:val="21"/>
              </w:rPr>
            </w:pPr>
          </w:p>
        </w:tc>
        <w:tc>
          <w:tcPr>
            <w:tcW w:w="4609" w:type="dxa"/>
            <w:vAlign w:val="top"/>
          </w:tcPr>
          <w:p w14:paraId="17E09339">
            <w:pPr>
              <w:pStyle w:val="257"/>
              <w:keepNext w:val="0"/>
              <w:keepLines w:val="0"/>
              <w:pageBreakBefore w:val="0"/>
              <w:widowControl w:val="0"/>
              <w:kinsoku/>
              <w:wordWrap/>
              <w:overflowPunct/>
              <w:topLinePunct w:val="0"/>
              <w:autoSpaceDE/>
              <w:autoSpaceDN/>
              <w:bidi w:val="0"/>
              <w:adjustRightInd/>
              <w:spacing w:before="74" w:line="288" w:lineRule="auto"/>
              <w:ind w:left="19" w:right="11" w:firstLine="3"/>
              <w:textAlignment w:val="auto"/>
              <w:rPr>
                <w:rFonts w:hint="default" w:ascii="Arial" w:hAnsi="Arial" w:eastAsia="宋体" w:cs="Arial"/>
                <w:sz w:val="21"/>
                <w:szCs w:val="21"/>
              </w:rPr>
            </w:pPr>
            <w:r>
              <w:rPr>
                <w:rFonts w:hint="default" w:ascii="Arial" w:hAnsi="Arial" w:eastAsia="宋体" w:cs="Arial"/>
                <w:spacing w:val="19"/>
                <w:sz w:val="21"/>
                <w:szCs w:val="21"/>
              </w:rPr>
              <w:t>《电动洗衣机能效水效限定值及</w:t>
            </w:r>
            <w:r>
              <w:rPr>
                <w:rFonts w:hint="default" w:ascii="Arial" w:hAnsi="Arial" w:eastAsia="宋体" w:cs="Arial"/>
                <w:spacing w:val="2"/>
                <w:sz w:val="21"/>
                <w:szCs w:val="21"/>
              </w:rPr>
              <w:t xml:space="preserve"> </w:t>
            </w:r>
            <w:r>
              <w:rPr>
                <w:rFonts w:hint="default" w:ascii="Arial" w:hAnsi="Arial" w:eastAsia="宋体" w:cs="Arial"/>
                <w:spacing w:val="4"/>
                <w:sz w:val="21"/>
                <w:szCs w:val="21"/>
              </w:rPr>
              <w:t>等级》（</w:t>
            </w:r>
            <w:r>
              <w:rPr>
                <w:rFonts w:hint="default" w:ascii="Arial" w:hAnsi="Arial" w:eastAsia="宋体" w:cs="Arial"/>
                <w:sz w:val="21"/>
                <w:szCs w:val="21"/>
              </w:rPr>
              <w:t>GB</w:t>
            </w:r>
            <w:r>
              <w:rPr>
                <w:rFonts w:hint="default" w:ascii="Arial" w:hAnsi="Arial" w:eastAsia="宋体" w:cs="Arial"/>
                <w:spacing w:val="33"/>
                <w:sz w:val="21"/>
                <w:szCs w:val="21"/>
              </w:rPr>
              <w:t xml:space="preserve"> </w:t>
            </w:r>
            <w:r>
              <w:rPr>
                <w:rFonts w:hint="default" w:ascii="Arial" w:hAnsi="Arial" w:eastAsia="宋体" w:cs="Arial"/>
                <w:spacing w:val="4"/>
                <w:sz w:val="21"/>
                <w:szCs w:val="21"/>
              </w:rPr>
              <w:t>12021.4）</w:t>
            </w:r>
          </w:p>
        </w:tc>
      </w:tr>
    </w:tbl>
    <w:p w14:paraId="44622A36">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49F23B4C">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Arial" w:cs="Arial"/>
          <w:sz w:val="21"/>
          <w:szCs w:val="21"/>
        </w:rPr>
        <w:sectPr>
          <w:pgSz w:w="11906" w:h="16838"/>
          <w:pgMar w:top="1431" w:right="1691" w:bottom="1134" w:left="1783" w:header="850" w:footer="992" w:gutter="0"/>
          <w:pgBorders>
            <w:top w:val="none" w:sz="0" w:space="0"/>
            <w:left w:val="none" w:sz="0" w:space="0"/>
            <w:bottom w:val="none" w:sz="0" w:space="0"/>
            <w:right w:val="none" w:sz="0" w:space="0"/>
          </w:pgBorders>
          <w:cols w:space="720" w:num="1"/>
        </w:sectPr>
      </w:pPr>
    </w:p>
    <w:p w14:paraId="397E8DA5">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bl>
      <w:tblPr>
        <w:tblStyle w:val="258"/>
        <w:tblW w:w="9177" w:type="dxa"/>
        <w:tblInd w:w="-33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064"/>
        <w:gridCol w:w="1854"/>
        <w:gridCol w:w="1964"/>
        <w:gridCol w:w="3586"/>
      </w:tblGrid>
      <w:tr w14:paraId="19CE1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709" w:type="dxa"/>
            <w:vMerge w:val="restart"/>
            <w:tcBorders>
              <w:bottom w:val="nil"/>
            </w:tcBorders>
            <w:vAlign w:val="top"/>
          </w:tcPr>
          <w:p w14:paraId="68DF05E0">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064" w:type="dxa"/>
            <w:vMerge w:val="restart"/>
            <w:tcBorders>
              <w:bottom w:val="nil"/>
            </w:tcBorders>
            <w:vAlign w:val="top"/>
          </w:tcPr>
          <w:p w14:paraId="232F69D4">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854" w:type="dxa"/>
            <w:vMerge w:val="restart"/>
            <w:tcBorders>
              <w:bottom w:val="nil"/>
            </w:tcBorders>
            <w:vAlign w:val="top"/>
          </w:tcPr>
          <w:p w14:paraId="5255A10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5F21F882">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769077C0">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485A0B0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67F7C1E6">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1E6CC48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11F845B0">
            <w:pPr>
              <w:pStyle w:val="257"/>
              <w:keepNext w:val="0"/>
              <w:keepLines w:val="0"/>
              <w:pageBreakBefore w:val="0"/>
              <w:widowControl w:val="0"/>
              <w:kinsoku/>
              <w:wordWrap/>
              <w:overflowPunct/>
              <w:topLinePunct w:val="0"/>
              <w:autoSpaceDE/>
              <w:autoSpaceDN/>
              <w:bidi w:val="0"/>
              <w:adjustRightInd/>
              <w:spacing w:before="62" w:line="288" w:lineRule="auto"/>
              <w:ind w:left="9"/>
              <w:textAlignment w:val="auto"/>
              <w:rPr>
                <w:rFonts w:hint="default" w:ascii="Arial" w:hAnsi="Arial" w:cs="Arial"/>
                <w:sz w:val="21"/>
                <w:szCs w:val="21"/>
              </w:rPr>
            </w:pPr>
            <w:r>
              <w:rPr>
                <w:rFonts w:hint="default" w:ascii="Arial" w:hAnsi="Arial" w:cs="Arial"/>
                <w:spacing w:val="5"/>
                <w:sz w:val="21"/>
                <w:szCs w:val="21"/>
              </w:rPr>
              <w:t>A02061808</w:t>
            </w:r>
            <w:r>
              <w:rPr>
                <w:rFonts w:hint="default" w:ascii="Arial" w:hAnsi="Arial" w:cs="Arial"/>
                <w:spacing w:val="-32"/>
                <w:sz w:val="21"/>
                <w:szCs w:val="21"/>
              </w:rPr>
              <w:t xml:space="preserve"> </w:t>
            </w:r>
            <w:r>
              <w:rPr>
                <w:rFonts w:hint="default" w:ascii="Arial" w:hAnsi="Arial" w:cs="Arial"/>
                <w:spacing w:val="5"/>
                <w:sz w:val="21"/>
                <w:szCs w:val="21"/>
              </w:rPr>
              <w:t>热水器</w:t>
            </w:r>
          </w:p>
        </w:tc>
        <w:tc>
          <w:tcPr>
            <w:tcW w:w="1964" w:type="dxa"/>
            <w:vAlign w:val="top"/>
          </w:tcPr>
          <w:p w14:paraId="3DBE7627">
            <w:pPr>
              <w:pStyle w:val="257"/>
              <w:keepNext w:val="0"/>
              <w:keepLines w:val="0"/>
              <w:pageBreakBefore w:val="0"/>
              <w:widowControl w:val="0"/>
              <w:kinsoku/>
              <w:wordWrap/>
              <w:overflowPunct/>
              <w:topLinePunct w:val="0"/>
              <w:autoSpaceDE/>
              <w:autoSpaceDN/>
              <w:bidi w:val="0"/>
              <w:adjustRightInd/>
              <w:spacing w:before="275" w:line="288" w:lineRule="auto"/>
              <w:ind w:left="19"/>
              <w:textAlignment w:val="auto"/>
              <w:rPr>
                <w:rFonts w:hint="default" w:ascii="Arial" w:hAnsi="Arial" w:cs="Arial"/>
                <w:sz w:val="21"/>
                <w:szCs w:val="21"/>
              </w:rPr>
            </w:pPr>
            <w:r>
              <w:rPr>
                <w:rFonts w:hint="default" w:ascii="Arial" w:hAnsi="Arial" w:cs="Arial"/>
                <w:spacing w:val="7"/>
                <w:sz w:val="21"/>
                <w:szCs w:val="21"/>
              </w:rPr>
              <w:t>★电热水器</w:t>
            </w:r>
          </w:p>
        </w:tc>
        <w:tc>
          <w:tcPr>
            <w:tcW w:w="3586" w:type="dxa"/>
            <w:vAlign w:val="top"/>
          </w:tcPr>
          <w:p w14:paraId="40986011">
            <w:pPr>
              <w:pStyle w:val="257"/>
              <w:keepNext w:val="0"/>
              <w:keepLines w:val="0"/>
              <w:pageBreakBefore w:val="0"/>
              <w:widowControl w:val="0"/>
              <w:kinsoku/>
              <w:wordWrap/>
              <w:overflowPunct/>
              <w:topLinePunct w:val="0"/>
              <w:autoSpaceDE/>
              <w:autoSpaceDN/>
              <w:bidi w:val="0"/>
              <w:adjustRightInd/>
              <w:spacing w:before="119" w:line="288" w:lineRule="auto"/>
              <w:ind w:left="25" w:right="11" w:hanging="2"/>
              <w:textAlignment w:val="auto"/>
              <w:rPr>
                <w:rFonts w:hint="default" w:ascii="Arial" w:hAnsi="Arial" w:cs="Arial"/>
                <w:sz w:val="21"/>
                <w:szCs w:val="21"/>
              </w:rPr>
            </w:pPr>
            <w:r>
              <w:rPr>
                <w:rFonts w:hint="default" w:ascii="Arial" w:hAnsi="Arial" w:cs="Arial"/>
                <w:spacing w:val="19"/>
                <w:sz w:val="21"/>
                <w:szCs w:val="21"/>
              </w:rPr>
              <w:t>《储水式电热水器能效限定值及</w:t>
            </w:r>
            <w:r>
              <w:rPr>
                <w:rFonts w:hint="default" w:ascii="Arial" w:hAnsi="Arial" w:cs="Arial"/>
                <w:spacing w:val="2"/>
                <w:sz w:val="21"/>
                <w:szCs w:val="21"/>
              </w:rPr>
              <w:t xml:space="preserve"> </w:t>
            </w:r>
            <w:r>
              <w:rPr>
                <w:rFonts w:hint="default" w:ascii="Arial" w:hAnsi="Arial" w:cs="Arial"/>
                <w:spacing w:val="6"/>
                <w:sz w:val="21"/>
                <w:szCs w:val="21"/>
              </w:rPr>
              <w:t>能效等级》（</w:t>
            </w:r>
            <w:r>
              <w:rPr>
                <w:rFonts w:hint="default" w:ascii="Arial" w:hAnsi="Arial" w:cs="Arial"/>
                <w:sz w:val="21"/>
                <w:szCs w:val="21"/>
              </w:rPr>
              <w:t>GB</w:t>
            </w:r>
            <w:r>
              <w:rPr>
                <w:rFonts w:hint="default" w:ascii="Arial" w:hAnsi="Arial" w:cs="Arial"/>
                <w:spacing w:val="6"/>
                <w:sz w:val="21"/>
                <w:szCs w:val="21"/>
              </w:rPr>
              <w:t xml:space="preserve">  21519）</w:t>
            </w:r>
          </w:p>
        </w:tc>
      </w:tr>
      <w:tr w14:paraId="0BD14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709" w:type="dxa"/>
            <w:vMerge w:val="continue"/>
            <w:tcBorders>
              <w:top w:val="nil"/>
              <w:bottom w:val="nil"/>
            </w:tcBorders>
            <w:vAlign w:val="top"/>
          </w:tcPr>
          <w:p w14:paraId="6005965A">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064" w:type="dxa"/>
            <w:vMerge w:val="continue"/>
            <w:tcBorders>
              <w:top w:val="nil"/>
              <w:bottom w:val="nil"/>
            </w:tcBorders>
            <w:vAlign w:val="top"/>
          </w:tcPr>
          <w:p w14:paraId="3D56B3AD">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854" w:type="dxa"/>
            <w:vMerge w:val="continue"/>
            <w:tcBorders>
              <w:top w:val="nil"/>
              <w:bottom w:val="nil"/>
            </w:tcBorders>
            <w:vAlign w:val="top"/>
          </w:tcPr>
          <w:p w14:paraId="43E781D7">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964" w:type="dxa"/>
            <w:vAlign w:val="top"/>
          </w:tcPr>
          <w:p w14:paraId="647A98FC">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70738594">
            <w:pPr>
              <w:pStyle w:val="257"/>
              <w:keepNext w:val="0"/>
              <w:keepLines w:val="0"/>
              <w:pageBreakBefore w:val="0"/>
              <w:widowControl w:val="0"/>
              <w:kinsoku/>
              <w:wordWrap/>
              <w:overflowPunct/>
              <w:topLinePunct w:val="0"/>
              <w:autoSpaceDE/>
              <w:autoSpaceDN/>
              <w:bidi w:val="0"/>
              <w:adjustRightInd/>
              <w:spacing w:before="61" w:line="288" w:lineRule="auto"/>
              <w:ind w:left="15"/>
              <w:textAlignment w:val="auto"/>
              <w:rPr>
                <w:rFonts w:hint="default" w:ascii="Arial" w:hAnsi="Arial" w:cs="Arial"/>
                <w:sz w:val="21"/>
                <w:szCs w:val="21"/>
              </w:rPr>
            </w:pPr>
            <w:r>
              <w:rPr>
                <w:rFonts w:hint="default" w:ascii="Arial" w:hAnsi="Arial" w:cs="Arial"/>
                <w:spacing w:val="8"/>
                <w:sz w:val="21"/>
                <w:szCs w:val="21"/>
              </w:rPr>
              <w:t>燃气热水器</w:t>
            </w:r>
          </w:p>
        </w:tc>
        <w:tc>
          <w:tcPr>
            <w:tcW w:w="3586" w:type="dxa"/>
            <w:vAlign w:val="top"/>
          </w:tcPr>
          <w:p w14:paraId="4A0B5633">
            <w:pPr>
              <w:pStyle w:val="257"/>
              <w:keepNext w:val="0"/>
              <w:keepLines w:val="0"/>
              <w:pageBreakBefore w:val="0"/>
              <w:widowControl w:val="0"/>
              <w:kinsoku/>
              <w:wordWrap/>
              <w:overflowPunct/>
              <w:topLinePunct w:val="0"/>
              <w:autoSpaceDE/>
              <w:autoSpaceDN/>
              <w:bidi w:val="0"/>
              <w:adjustRightInd/>
              <w:spacing w:before="68" w:line="288" w:lineRule="auto"/>
              <w:ind w:left="25" w:hanging="2"/>
              <w:jc w:val="both"/>
              <w:textAlignment w:val="auto"/>
              <w:rPr>
                <w:rFonts w:hint="default" w:ascii="Arial" w:hAnsi="Arial" w:cs="Arial"/>
                <w:sz w:val="21"/>
                <w:szCs w:val="21"/>
              </w:rPr>
            </w:pPr>
            <w:r>
              <w:rPr>
                <w:rFonts w:hint="default" w:ascii="Arial" w:hAnsi="Arial" w:cs="Arial"/>
                <w:spacing w:val="17"/>
                <w:sz w:val="21"/>
                <w:szCs w:val="21"/>
              </w:rPr>
              <w:t>《家用燃气快速热水器和燃气采</w:t>
            </w:r>
            <w:r>
              <w:rPr>
                <w:rFonts w:hint="default" w:ascii="Arial" w:hAnsi="Arial" w:cs="Arial"/>
                <w:sz w:val="21"/>
                <w:szCs w:val="21"/>
              </w:rPr>
              <w:t xml:space="preserve"> </w:t>
            </w:r>
            <w:r>
              <w:rPr>
                <w:rFonts w:hint="default" w:ascii="Arial" w:hAnsi="Arial" w:cs="Arial"/>
                <w:spacing w:val="5"/>
                <w:sz w:val="21"/>
                <w:szCs w:val="21"/>
              </w:rPr>
              <w:t>暖热水炉能效限定值及能效等级》</w:t>
            </w:r>
            <w:r>
              <w:rPr>
                <w:rFonts w:hint="default" w:ascii="Arial" w:hAnsi="Arial" w:cs="Arial"/>
                <w:spacing w:val="12"/>
                <w:sz w:val="21"/>
                <w:szCs w:val="21"/>
              </w:rPr>
              <w:t xml:space="preserve"> </w:t>
            </w:r>
            <w:r>
              <w:rPr>
                <w:rFonts w:hint="default" w:ascii="Arial" w:hAnsi="Arial" w:cs="Arial"/>
                <w:spacing w:val="1"/>
                <w:sz w:val="21"/>
                <w:szCs w:val="21"/>
              </w:rPr>
              <w:t>（</w:t>
            </w:r>
            <w:r>
              <w:rPr>
                <w:rFonts w:hint="default" w:ascii="Arial" w:hAnsi="Arial" w:cs="Arial"/>
                <w:sz w:val="21"/>
                <w:szCs w:val="21"/>
              </w:rPr>
              <w:t>GB</w:t>
            </w:r>
            <w:r>
              <w:rPr>
                <w:rFonts w:hint="default" w:ascii="Arial" w:hAnsi="Arial" w:cs="Arial"/>
                <w:spacing w:val="18"/>
                <w:sz w:val="21"/>
                <w:szCs w:val="21"/>
              </w:rPr>
              <w:t xml:space="preserve"> </w:t>
            </w:r>
            <w:r>
              <w:rPr>
                <w:rFonts w:hint="default" w:ascii="Arial" w:hAnsi="Arial" w:cs="Arial"/>
                <w:spacing w:val="1"/>
                <w:sz w:val="21"/>
                <w:szCs w:val="21"/>
              </w:rPr>
              <w:t>20665）</w:t>
            </w:r>
          </w:p>
        </w:tc>
      </w:tr>
      <w:tr w14:paraId="7C243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709" w:type="dxa"/>
            <w:vMerge w:val="continue"/>
            <w:tcBorders>
              <w:top w:val="nil"/>
              <w:bottom w:val="nil"/>
            </w:tcBorders>
            <w:vAlign w:val="top"/>
          </w:tcPr>
          <w:p w14:paraId="2B5A8A2A">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064" w:type="dxa"/>
            <w:vMerge w:val="continue"/>
            <w:tcBorders>
              <w:top w:val="nil"/>
              <w:bottom w:val="nil"/>
            </w:tcBorders>
            <w:vAlign w:val="top"/>
          </w:tcPr>
          <w:p w14:paraId="0B3E6B5E">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854" w:type="dxa"/>
            <w:vMerge w:val="continue"/>
            <w:tcBorders>
              <w:top w:val="nil"/>
              <w:bottom w:val="nil"/>
            </w:tcBorders>
            <w:vAlign w:val="top"/>
          </w:tcPr>
          <w:p w14:paraId="31AE8D92">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964" w:type="dxa"/>
            <w:vAlign w:val="top"/>
          </w:tcPr>
          <w:p w14:paraId="6FD46B1C">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0CA164E9">
            <w:pPr>
              <w:pStyle w:val="257"/>
              <w:keepNext w:val="0"/>
              <w:keepLines w:val="0"/>
              <w:pageBreakBefore w:val="0"/>
              <w:widowControl w:val="0"/>
              <w:kinsoku/>
              <w:wordWrap/>
              <w:overflowPunct/>
              <w:topLinePunct w:val="0"/>
              <w:autoSpaceDE/>
              <w:autoSpaceDN/>
              <w:bidi w:val="0"/>
              <w:adjustRightInd/>
              <w:spacing w:before="62" w:line="288" w:lineRule="auto"/>
              <w:ind w:left="20"/>
              <w:textAlignment w:val="auto"/>
              <w:rPr>
                <w:rFonts w:hint="default" w:ascii="Arial" w:hAnsi="Arial" w:cs="Arial"/>
                <w:sz w:val="21"/>
                <w:szCs w:val="21"/>
              </w:rPr>
            </w:pPr>
            <w:r>
              <w:rPr>
                <w:rFonts w:hint="default" w:ascii="Arial" w:hAnsi="Arial" w:cs="Arial"/>
                <w:spacing w:val="7"/>
                <w:sz w:val="21"/>
                <w:szCs w:val="21"/>
              </w:rPr>
              <w:t>热泵热水器</w:t>
            </w:r>
          </w:p>
        </w:tc>
        <w:tc>
          <w:tcPr>
            <w:tcW w:w="3586" w:type="dxa"/>
            <w:vAlign w:val="top"/>
          </w:tcPr>
          <w:p w14:paraId="73FE9B8A">
            <w:pPr>
              <w:pStyle w:val="257"/>
              <w:keepNext w:val="0"/>
              <w:keepLines w:val="0"/>
              <w:pageBreakBefore w:val="0"/>
              <w:widowControl w:val="0"/>
              <w:kinsoku/>
              <w:wordWrap/>
              <w:overflowPunct/>
              <w:topLinePunct w:val="0"/>
              <w:autoSpaceDE/>
              <w:autoSpaceDN/>
              <w:bidi w:val="0"/>
              <w:adjustRightInd/>
              <w:spacing w:before="156" w:line="288" w:lineRule="auto"/>
              <w:ind w:left="25" w:right="13" w:hanging="2"/>
              <w:textAlignment w:val="auto"/>
              <w:rPr>
                <w:rFonts w:hint="default" w:ascii="Arial" w:hAnsi="Arial" w:cs="Arial"/>
                <w:sz w:val="21"/>
                <w:szCs w:val="21"/>
              </w:rPr>
            </w:pPr>
            <w:r>
              <w:rPr>
                <w:rFonts w:hint="default" w:ascii="Arial" w:hAnsi="Arial" w:cs="Arial"/>
                <w:spacing w:val="5"/>
                <w:sz w:val="21"/>
                <w:szCs w:val="21"/>
              </w:rPr>
              <w:t>《热泵热水机（器）能效限定值及</w:t>
            </w:r>
            <w:r>
              <w:rPr>
                <w:rFonts w:hint="default" w:ascii="Arial" w:hAnsi="Arial" w:cs="Arial"/>
                <w:spacing w:val="1"/>
                <w:sz w:val="21"/>
                <w:szCs w:val="21"/>
              </w:rPr>
              <w:t xml:space="preserve"> </w:t>
            </w:r>
            <w:r>
              <w:rPr>
                <w:rFonts w:hint="default" w:ascii="Arial" w:hAnsi="Arial" w:cs="Arial"/>
                <w:spacing w:val="6"/>
                <w:sz w:val="21"/>
                <w:szCs w:val="21"/>
              </w:rPr>
              <w:t>能效等级》（</w:t>
            </w:r>
            <w:r>
              <w:rPr>
                <w:rFonts w:hint="default" w:ascii="Arial" w:hAnsi="Arial" w:cs="Arial"/>
                <w:sz w:val="21"/>
                <w:szCs w:val="21"/>
              </w:rPr>
              <w:t>GB</w:t>
            </w:r>
            <w:r>
              <w:rPr>
                <w:rFonts w:hint="default" w:ascii="Arial" w:hAnsi="Arial" w:cs="Arial"/>
                <w:spacing w:val="6"/>
                <w:sz w:val="21"/>
                <w:szCs w:val="21"/>
              </w:rPr>
              <w:t xml:space="preserve"> 29541）</w:t>
            </w:r>
          </w:p>
        </w:tc>
      </w:tr>
      <w:tr w14:paraId="3CE22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709" w:type="dxa"/>
            <w:vMerge w:val="continue"/>
            <w:tcBorders>
              <w:top w:val="nil"/>
            </w:tcBorders>
            <w:vAlign w:val="top"/>
          </w:tcPr>
          <w:p w14:paraId="748CE7B1">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064" w:type="dxa"/>
            <w:vMerge w:val="continue"/>
            <w:tcBorders>
              <w:top w:val="nil"/>
            </w:tcBorders>
            <w:vAlign w:val="top"/>
          </w:tcPr>
          <w:p w14:paraId="2AA3A1D4">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854" w:type="dxa"/>
            <w:vMerge w:val="continue"/>
            <w:tcBorders>
              <w:top w:val="nil"/>
            </w:tcBorders>
            <w:vAlign w:val="top"/>
          </w:tcPr>
          <w:p w14:paraId="6895AE21">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964" w:type="dxa"/>
            <w:vAlign w:val="top"/>
          </w:tcPr>
          <w:p w14:paraId="774FBF49">
            <w:pPr>
              <w:pStyle w:val="257"/>
              <w:keepNext w:val="0"/>
              <w:keepLines w:val="0"/>
              <w:pageBreakBefore w:val="0"/>
              <w:widowControl w:val="0"/>
              <w:kinsoku/>
              <w:wordWrap/>
              <w:overflowPunct/>
              <w:topLinePunct w:val="0"/>
              <w:autoSpaceDE/>
              <w:autoSpaceDN/>
              <w:bidi w:val="0"/>
              <w:adjustRightInd/>
              <w:spacing w:before="271" w:line="288" w:lineRule="auto"/>
              <w:ind w:left="16"/>
              <w:textAlignment w:val="auto"/>
              <w:rPr>
                <w:rFonts w:hint="default" w:ascii="Arial" w:hAnsi="Arial" w:cs="Arial"/>
                <w:sz w:val="21"/>
                <w:szCs w:val="21"/>
              </w:rPr>
            </w:pPr>
            <w:r>
              <w:rPr>
                <w:rFonts w:hint="default" w:ascii="Arial" w:hAnsi="Arial" w:cs="Arial"/>
                <w:spacing w:val="8"/>
                <w:sz w:val="21"/>
                <w:szCs w:val="21"/>
              </w:rPr>
              <w:t>太阳能热水系统</w:t>
            </w:r>
          </w:p>
        </w:tc>
        <w:tc>
          <w:tcPr>
            <w:tcW w:w="3586" w:type="dxa"/>
            <w:vAlign w:val="top"/>
          </w:tcPr>
          <w:p w14:paraId="5EDA258B">
            <w:pPr>
              <w:pStyle w:val="257"/>
              <w:keepNext w:val="0"/>
              <w:keepLines w:val="0"/>
              <w:pageBreakBefore w:val="0"/>
              <w:widowControl w:val="0"/>
              <w:kinsoku/>
              <w:wordWrap/>
              <w:overflowPunct/>
              <w:topLinePunct w:val="0"/>
              <w:autoSpaceDE/>
              <w:autoSpaceDN/>
              <w:bidi w:val="0"/>
              <w:adjustRightInd/>
              <w:spacing w:before="114" w:line="288" w:lineRule="auto"/>
              <w:ind w:left="17" w:right="11" w:firstLine="5"/>
              <w:textAlignment w:val="auto"/>
              <w:rPr>
                <w:rFonts w:hint="default" w:ascii="Arial" w:hAnsi="Arial" w:cs="Arial"/>
                <w:sz w:val="21"/>
                <w:szCs w:val="21"/>
              </w:rPr>
            </w:pPr>
            <w:r>
              <w:rPr>
                <w:rFonts w:hint="default" w:ascii="Arial" w:hAnsi="Arial" w:cs="Arial"/>
                <w:spacing w:val="19"/>
                <w:sz w:val="21"/>
                <w:szCs w:val="21"/>
              </w:rPr>
              <w:t>《家用太阳能热水系统能效限定</w:t>
            </w:r>
            <w:r>
              <w:rPr>
                <w:rFonts w:hint="default" w:ascii="Arial" w:hAnsi="Arial" w:cs="Arial"/>
                <w:spacing w:val="2"/>
                <w:sz w:val="21"/>
                <w:szCs w:val="21"/>
              </w:rPr>
              <w:t xml:space="preserve"> </w:t>
            </w:r>
            <w:r>
              <w:rPr>
                <w:rFonts w:hint="default" w:ascii="Arial" w:hAnsi="Arial" w:cs="Arial"/>
                <w:spacing w:val="7"/>
                <w:sz w:val="21"/>
                <w:szCs w:val="21"/>
              </w:rPr>
              <w:t>值及能效等级》（</w:t>
            </w:r>
            <w:r>
              <w:rPr>
                <w:rFonts w:hint="default" w:ascii="Arial" w:hAnsi="Arial" w:cs="Arial"/>
                <w:sz w:val="21"/>
                <w:szCs w:val="21"/>
              </w:rPr>
              <w:t>GB</w:t>
            </w:r>
            <w:r>
              <w:rPr>
                <w:rFonts w:hint="default" w:ascii="Arial" w:hAnsi="Arial" w:cs="Arial"/>
                <w:spacing w:val="7"/>
                <w:sz w:val="21"/>
                <w:szCs w:val="21"/>
              </w:rPr>
              <w:t xml:space="preserve"> 26969）</w:t>
            </w:r>
          </w:p>
        </w:tc>
      </w:tr>
      <w:tr w14:paraId="1B03C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709" w:type="dxa"/>
            <w:vMerge w:val="restart"/>
            <w:tcBorders>
              <w:bottom w:val="nil"/>
            </w:tcBorders>
            <w:vAlign w:val="top"/>
          </w:tcPr>
          <w:p w14:paraId="5EB53C24">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74E7D8B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3925A38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64684425">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37BDCB2E">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1D5F833E">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2E1A2EBE">
            <w:pPr>
              <w:pStyle w:val="257"/>
              <w:keepNext w:val="0"/>
              <w:keepLines w:val="0"/>
              <w:pageBreakBefore w:val="0"/>
              <w:widowControl w:val="0"/>
              <w:kinsoku/>
              <w:wordWrap/>
              <w:overflowPunct/>
              <w:topLinePunct w:val="0"/>
              <w:autoSpaceDE/>
              <w:autoSpaceDN/>
              <w:bidi w:val="0"/>
              <w:adjustRightInd/>
              <w:spacing w:before="61" w:line="288" w:lineRule="auto"/>
              <w:ind w:left="209"/>
              <w:textAlignment w:val="auto"/>
              <w:rPr>
                <w:rFonts w:hint="default" w:ascii="Arial" w:hAnsi="Arial" w:cs="Arial"/>
                <w:sz w:val="21"/>
                <w:szCs w:val="21"/>
              </w:rPr>
            </w:pPr>
            <w:r>
              <w:rPr>
                <w:rFonts w:hint="default" w:ascii="Arial" w:hAnsi="Arial" w:cs="Arial"/>
                <w:spacing w:val="-7"/>
                <w:position w:val="1"/>
                <w:sz w:val="21"/>
                <w:szCs w:val="21"/>
              </w:rPr>
              <w:t>11</w:t>
            </w:r>
          </w:p>
        </w:tc>
        <w:tc>
          <w:tcPr>
            <w:tcW w:w="1064" w:type="dxa"/>
            <w:vMerge w:val="restart"/>
            <w:tcBorders>
              <w:bottom w:val="nil"/>
            </w:tcBorders>
            <w:vAlign w:val="top"/>
          </w:tcPr>
          <w:p w14:paraId="56A14D05">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0BCC3ABE">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32242E1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711CB48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0E854077">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0969A93B">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2D3F9A27">
            <w:pPr>
              <w:pStyle w:val="257"/>
              <w:keepNext w:val="0"/>
              <w:keepLines w:val="0"/>
              <w:pageBreakBefore w:val="0"/>
              <w:widowControl w:val="0"/>
              <w:kinsoku/>
              <w:wordWrap/>
              <w:overflowPunct/>
              <w:topLinePunct w:val="0"/>
              <w:autoSpaceDE/>
              <w:autoSpaceDN/>
              <w:bidi w:val="0"/>
              <w:adjustRightInd/>
              <w:spacing w:before="61" w:line="288" w:lineRule="auto"/>
              <w:ind w:left="18" w:right="8" w:hanging="9"/>
              <w:textAlignment w:val="auto"/>
              <w:rPr>
                <w:rFonts w:hint="default" w:ascii="Arial" w:hAnsi="Arial" w:cs="Arial"/>
                <w:sz w:val="21"/>
                <w:szCs w:val="21"/>
              </w:rPr>
            </w:pPr>
            <w:r>
              <w:rPr>
                <w:rFonts w:hint="default" w:ascii="Arial" w:hAnsi="Arial" w:cs="Arial"/>
                <w:spacing w:val="5"/>
                <w:sz w:val="21"/>
                <w:szCs w:val="21"/>
              </w:rPr>
              <w:t>A020619</w:t>
            </w:r>
            <w:r>
              <w:rPr>
                <w:rFonts w:hint="default" w:ascii="Arial" w:hAnsi="Arial" w:cs="Arial"/>
                <w:spacing w:val="-43"/>
                <w:sz w:val="21"/>
                <w:szCs w:val="21"/>
              </w:rPr>
              <w:t xml:space="preserve"> </w:t>
            </w:r>
            <w:r>
              <w:rPr>
                <w:rFonts w:hint="default" w:ascii="Arial" w:hAnsi="Arial" w:cs="Arial"/>
                <w:spacing w:val="5"/>
                <w:sz w:val="21"/>
                <w:szCs w:val="21"/>
              </w:rPr>
              <w:t>照明</w:t>
            </w:r>
            <w:r>
              <w:rPr>
                <w:rFonts w:hint="default" w:ascii="Arial" w:hAnsi="Arial" w:cs="Arial"/>
                <w:sz w:val="21"/>
                <w:szCs w:val="21"/>
              </w:rPr>
              <w:t xml:space="preserve"> </w:t>
            </w:r>
            <w:r>
              <w:rPr>
                <w:rFonts w:hint="default" w:ascii="Arial" w:hAnsi="Arial" w:cs="Arial"/>
                <w:spacing w:val="3"/>
                <w:sz w:val="21"/>
                <w:szCs w:val="21"/>
              </w:rPr>
              <w:t>设备</w:t>
            </w:r>
          </w:p>
        </w:tc>
        <w:tc>
          <w:tcPr>
            <w:tcW w:w="1854" w:type="dxa"/>
            <w:vAlign w:val="top"/>
          </w:tcPr>
          <w:p w14:paraId="2B28A870">
            <w:pPr>
              <w:pStyle w:val="257"/>
              <w:keepNext w:val="0"/>
              <w:keepLines w:val="0"/>
              <w:pageBreakBefore w:val="0"/>
              <w:widowControl w:val="0"/>
              <w:kinsoku/>
              <w:wordWrap/>
              <w:overflowPunct/>
              <w:topLinePunct w:val="0"/>
              <w:autoSpaceDE/>
              <w:autoSpaceDN/>
              <w:bidi w:val="0"/>
              <w:adjustRightInd/>
              <w:spacing w:before="198" w:line="288" w:lineRule="auto"/>
              <w:ind w:left="20" w:right="12" w:hanging="2"/>
              <w:textAlignment w:val="auto"/>
              <w:rPr>
                <w:rFonts w:hint="default" w:ascii="Arial" w:hAnsi="Arial" w:cs="Arial"/>
                <w:sz w:val="21"/>
                <w:szCs w:val="21"/>
              </w:rPr>
            </w:pPr>
            <w:r>
              <w:rPr>
                <w:rFonts w:hint="default" w:ascii="Arial" w:hAnsi="Arial" w:cs="Arial"/>
                <w:spacing w:val="19"/>
                <w:sz w:val="21"/>
                <w:szCs w:val="21"/>
              </w:rPr>
              <w:t>★</w:t>
            </w:r>
            <w:r>
              <w:rPr>
                <w:rFonts w:hint="default" w:ascii="Arial" w:hAnsi="Arial" w:cs="Arial"/>
                <w:spacing w:val="-59"/>
                <w:sz w:val="21"/>
                <w:szCs w:val="21"/>
              </w:rPr>
              <w:t xml:space="preserve"> </w:t>
            </w:r>
            <w:r>
              <w:rPr>
                <w:rFonts w:hint="default" w:ascii="Arial" w:hAnsi="Arial" w:cs="Arial"/>
                <w:spacing w:val="19"/>
                <w:sz w:val="21"/>
                <w:szCs w:val="21"/>
              </w:rPr>
              <w:t>普通照</w:t>
            </w:r>
            <w:r>
              <w:rPr>
                <w:rFonts w:hint="default" w:ascii="Arial" w:hAnsi="Arial" w:cs="Arial"/>
                <w:spacing w:val="-42"/>
                <w:sz w:val="21"/>
                <w:szCs w:val="21"/>
              </w:rPr>
              <w:t xml:space="preserve"> </w:t>
            </w:r>
            <w:r>
              <w:rPr>
                <w:rFonts w:hint="default" w:ascii="Arial" w:hAnsi="Arial" w:cs="Arial"/>
                <w:spacing w:val="19"/>
                <w:sz w:val="21"/>
                <w:szCs w:val="21"/>
              </w:rPr>
              <w:t>明用双端</w:t>
            </w:r>
            <w:r>
              <w:rPr>
                <w:rFonts w:hint="default" w:ascii="Arial" w:hAnsi="Arial" w:cs="Arial"/>
                <w:sz w:val="21"/>
                <w:szCs w:val="21"/>
              </w:rPr>
              <w:t xml:space="preserve"> </w:t>
            </w:r>
            <w:r>
              <w:rPr>
                <w:rFonts w:hint="default" w:ascii="Arial" w:hAnsi="Arial" w:cs="Arial"/>
                <w:spacing w:val="4"/>
                <w:sz w:val="21"/>
                <w:szCs w:val="21"/>
              </w:rPr>
              <w:t>荧光灯</w:t>
            </w:r>
          </w:p>
        </w:tc>
        <w:tc>
          <w:tcPr>
            <w:tcW w:w="1964" w:type="dxa"/>
            <w:vAlign w:val="top"/>
          </w:tcPr>
          <w:p w14:paraId="2ED8761F">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3586" w:type="dxa"/>
            <w:vAlign w:val="top"/>
          </w:tcPr>
          <w:p w14:paraId="08486711">
            <w:pPr>
              <w:pStyle w:val="257"/>
              <w:keepNext w:val="0"/>
              <w:keepLines w:val="0"/>
              <w:pageBreakBefore w:val="0"/>
              <w:widowControl w:val="0"/>
              <w:kinsoku/>
              <w:wordWrap/>
              <w:overflowPunct/>
              <w:topLinePunct w:val="0"/>
              <w:autoSpaceDE/>
              <w:autoSpaceDN/>
              <w:bidi w:val="0"/>
              <w:adjustRightInd/>
              <w:spacing w:before="198" w:line="288" w:lineRule="auto"/>
              <w:ind w:left="22" w:right="11"/>
              <w:textAlignment w:val="auto"/>
              <w:rPr>
                <w:rFonts w:hint="default" w:ascii="Arial" w:hAnsi="Arial" w:cs="Arial"/>
                <w:sz w:val="21"/>
                <w:szCs w:val="21"/>
              </w:rPr>
            </w:pPr>
            <w:r>
              <w:rPr>
                <w:rFonts w:hint="default" w:ascii="Arial" w:hAnsi="Arial" w:cs="Arial"/>
                <w:spacing w:val="19"/>
                <w:sz w:val="21"/>
                <w:szCs w:val="21"/>
              </w:rPr>
              <w:t>《普通照明用双端荧光灯能效限</w:t>
            </w:r>
            <w:r>
              <w:rPr>
                <w:rFonts w:hint="default" w:ascii="Arial" w:hAnsi="Arial" w:cs="Arial"/>
                <w:spacing w:val="2"/>
                <w:sz w:val="21"/>
                <w:szCs w:val="21"/>
              </w:rPr>
              <w:t xml:space="preserve"> </w:t>
            </w:r>
            <w:r>
              <w:rPr>
                <w:rFonts w:hint="default" w:ascii="Arial" w:hAnsi="Arial" w:cs="Arial"/>
                <w:spacing w:val="5"/>
                <w:sz w:val="21"/>
                <w:szCs w:val="21"/>
              </w:rPr>
              <w:t>定值及能效等级》（</w:t>
            </w:r>
            <w:r>
              <w:rPr>
                <w:rFonts w:hint="default" w:ascii="Arial" w:hAnsi="Arial" w:cs="Arial"/>
                <w:sz w:val="21"/>
                <w:szCs w:val="21"/>
              </w:rPr>
              <w:t>GB</w:t>
            </w:r>
            <w:r>
              <w:rPr>
                <w:rFonts w:hint="default" w:ascii="Arial" w:hAnsi="Arial" w:cs="Arial"/>
                <w:spacing w:val="42"/>
                <w:sz w:val="21"/>
                <w:szCs w:val="21"/>
              </w:rPr>
              <w:t xml:space="preserve"> </w:t>
            </w:r>
            <w:r>
              <w:rPr>
                <w:rFonts w:hint="default" w:ascii="Arial" w:hAnsi="Arial" w:cs="Arial"/>
                <w:spacing w:val="5"/>
                <w:sz w:val="21"/>
                <w:szCs w:val="21"/>
              </w:rPr>
              <w:t>19043）</w:t>
            </w:r>
          </w:p>
        </w:tc>
      </w:tr>
      <w:tr w14:paraId="7BA47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09" w:type="dxa"/>
            <w:vMerge w:val="continue"/>
            <w:tcBorders>
              <w:top w:val="nil"/>
              <w:bottom w:val="nil"/>
            </w:tcBorders>
            <w:vAlign w:val="top"/>
          </w:tcPr>
          <w:p w14:paraId="78B9F2AA">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064" w:type="dxa"/>
            <w:vMerge w:val="continue"/>
            <w:tcBorders>
              <w:top w:val="nil"/>
              <w:bottom w:val="nil"/>
            </w:tcBorders>
            <w:vAlign w:val="top"/>
          </w:tcPr>
          <w:p w14:paraId="20FF4058">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854" w:type="dxa"/>
            <w:vAlign w:val="top"/>
          </w:tcPr>
          <w:p w14:paraId="5D6B13E4">
            <w:pPr>
              <w:pStyle w:val="257"/>
              <w:keepNext w:val="0"/>
              <w:keepLines w:val="0"/>
              <w:pageBreakBefore w:val="0"/>
              <w:widowControl w:val="0"/>
              <w:kinsoku/>
              <w:wordWrap/>
              <w:overflowPunct/>
              <w:topLinePunct w:val="0"/>
              <w:autoSpaceDE/>
              <w:autoSpaceDN/>
              <w:bidi w:val="0"/>
              <w:adjustRightInd/>
              <w:spacing w:before="156" w:line="288" w:lineRule="auto"/>
              <w:ind w:left="14" w:right="7" w:hanging="1"/>
              <w:textAlignment w:val="auto"/>
              <w:rPr>
                <w:rFonts w:hint="default" w:ascii="Arial" w:hAnsi="Arial" w:cs="Arial"/>
                <w:sz w:val="21"/>
                <w:szCs w:val="21"/>
              </w:rPr>
            </w:pPr>
            <w:r>
              <w:rPr>
                <w:rFonts w:hint="default" w:ascii="Arial" w:hAnsi="Arial" w:cs="Arial"/>
                <w:sz w:val="21"/>
                <w:szCs w:val="21"/>
              </w:rPr>
              <w:t>LED</w:t>
            </w:r>
            <w:r>
              <w:rPr>
                <w:rFonts w:hint="default" w:ascii="Arial" w:hAnsi="Arial" w:cs="Arial"/>
                <w:spacing w:val="23"/>
                <w:sz w:val="21"/>
                <w:szCs w:val="21"/>
              </w:rPr>
              <w:t xml:space="preserve"> </w:t>
            </w:r>
            <w:r>
              <w:rPr>
                <w:rFonts w:hint="default" w:ascii="Arial" w:hAnsi="Arial" w:cs="Arial"/>
                <w:spacing w:val="19"/>
                <w:sz w:val="21"/>
                <w:szCs w:val="21"/>
              </w:rPr>
              <w:t>道路/隧道照明</w:t>
            </w:r>
            <w:r>
              <w:rPr>
                <w:rFonts w:hint="default" w:ascii="Arial" w:hAnsi="Arial" w:cs="Arial"/>
                <w:sz w:val="21"/>
                <w:szCs w:val="21"/>
              </w:rPr>
              <w:t xml:space="preserve"> </w:t>
            </w:r>
            <w:r>
              <w:rPr>
                <w:rFonts w:hint="default" w:ascii="Arial" w:hAnsi="Arial" w:cs="Arial"/>
                <w:spacing w:val="5"/>
                <w:sz w:val="21"/>
                <w:szCs w:val="21"/>
              </w:rPr>
              <w:t>产品</w:t>
            </w:r>
          </w:p>
        </w:tc>
        <w:tc>
          <w:tcPr>
            <w:tcW w:w="1964" w:type="dxa"/>
            <w:vAlign w:val="top"/>
          </w:tcPr>
          <w:p w14:paraId="3CE345D1">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3586" w:type="dxa"/>
            <w:vAlign w:val="top"/>
          </w:tcPr>
          <w:p w14:paraId="241D4861">
            <w:pPr>
              <w:pStyle w:val="257"/>
              <w:keepNext w:val="0"/>
              <w:keepLines w:val="0"/>
              <w:pageBreakBefore w:val="0"/>
              <w:widowControl w:val="0"/>
              <w:kinsoku/>
              <w:wordWrap/>
              <w:overflowPunct/>
              <w:topLinePunct w:val="0"/>
              <w:autoSpaceDE/>
              <w:autoSpaceDN/>
              <w:bidi w:val="0"/>
              <w:adjustRightInd/>
              <w:spacing w:before="156" w:line="288" w:lineRule="auto"/>
              <w:ind w:left="22"/>
              <w:textAlignment w:val="auto"/>
              <w:rPr>
                <w:rFonts w:hint="default" w:ascii="Arial" w:hAnsi="Arial" w:cs="Arial"/>
                <w:sz w:val="21"/>
                <w:szCs w:val="21"/>
              </w:rPr>
            </w:pPr>
            <w:r>
              <w:rPr>
                <w:rFonts w:hint="default" w:ascii="Arial" w:hAnsi="Arial" w:cs="Arial"/>
                <w:spacing w:val="7"/>
                <w:sz w:val="21"/>
                <w:szCs w:val="21"/>
              </w:rPr>
              <w:t xml:space="preserve">《道路和隧道照明用 </w:t>
            </w:r>
            <w:r>
              <w:rPr>
                <w:rFonts w:hint="default" w:ascii="Arial" w:hAnsi="Arial" w:cs="Arial"/>
                <w:sz w:val="21"/>
                <w:szCs w:val="21"/>
              </w:rPr>
              <w:t>LED</w:t>
            </w:r>
            <w:r>
              <w:rPr>
                <w:rFonts w:hint="default" w:ascii="Arial" w:hAnsi="Arial" w:cs="Arial"/>
                <w:spacing w:val="7"/>
                <w:sz w:val="21"/>
                <w:szCs w:val="21"/>
              </w:rPr>
              <w:t xml:space="preserve"> 灯具能</w:t>
            </w:r>
            <w:r>
              <w:rPr>
                <w:rFonts w:hint="default" w:ascii="Arial" w:hAnsi="Arial" w:cs="Arial"/>
                <w:sz w:val="21"/>
                <w:szCs w:val="21"/>
              </w:rPr>
              <w:t xml:space="preserve">  </w:t>
            </w:r>
            <w:r>
              <w:rPr>
                <w:rFonts w:hint="default" w:ascii="Arial" w:hAnsi="Arial" w:cs="Arial"/>
                <w:spacing w:val="-4"/>
                <w:sz w:val="21"/>
                <w:szCs w:val="21"/>
              </w:rPr>
              <w:t>效限定值及能效等级》（GB</w:t>
            </w:r>
            <w:r>
              <w:rPr>
                <w:rFonts w:hint="default" w:ascii="Arial" w:hAnsi="Arial" w:cs="Arial"/>
                <w:spacing w:val="-24"/>
                <w:sz w:val="21"/>
                <w:szCs w:val="21"/>
              </w:rPr>
              <w:t xml:space="preserve"> </w:t>
            </w:r>
            <w:r>
              <w:rPr>
                <w:rFonts w:hint="default" w:ascii="Arial" w:hAnsi="Arial" w:cs="Arial"/>
                <w:spacing w:val="-4"/>
                <w:sz w:val="21"/>
                <w:szCs w:val="21"/>
              </w:rPr>
              <w:t>37478）</w:t>
            </w:r>
          </w:p>
        </w:tc>
      </w:tr>
      <w:tr w14:paraId="6B5ED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709" w:type="dxa"/>
            <w:vMerge w:val="continue"/>
            <w:tcBorders>
              <w:top w:val="nil"/>
              <w:bottom w:val="nil"/>
            </w:tcBorders>
            <w:vAlign w:val="top"/>
          </w:tcPr>
          <w:p w14:paraId="038DD605">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064" w:type="dxa"/>
            <w:vMerge w:val="continue"/>
            <w:tcBorders>
              <w:top w:val="nil"/>
              <w:bottom w:val="nil"/>
            </w:tcBorders>
            <w:vAlign w:val="top"/>
          </w:tcPr>
          <w:p w14:paraId="7ECD9DDA">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854" w:type="dxa"/>
            <w:vAlign w:val="top"/>
          </w:tcPr>
          <w:p w14:paraId="43633CFA">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493C90A2">
            <w:pPr>
              <w:pStyle w:val="257"/>
              <w:keepNext w:val="0"/>
              <w:keepLines w:val="0"/>
              <w:pageBreakBefore w:val="0"/>
              <w:widowControl w:val="0"/>
              <w:kinsoku/>
              <w:wordWrap/>
              <w:overflowPunct/>
              <w:topLinePunct w:val="0"/>
              <w:autoSpaceDE/>
              <w:autoSpaceDN/>
              <w:bidi w:val="0"/>
              <w:adjustRightInd/>
              <w:spacing w:before="62" w:line="288" w:lineRule="auto"/>
              <w:ind w:left="13"/>
              <w:textAlignment w:val="auto"/>
              <w:rPr>
                <w:rFonts w:hint="default" w:ascii="Arial" w:hAnsi="Arial" w:cs="Arial"/>
                <w:sz w:val="21"/>
                <w:szCs w:val="21"/>
              </w:rPr>
            </w:pPr>
            <w:r>
              <w:rPr>
                <w:rFonts w:hint="default" w:ascii="Arial" w:hAnsi="Arial" w:cs="Arial"/>
                <w:sz w:val="21"/>
                <w:szCs w:val="21"/>
              </w:rPr>
              <w:t>LED</w:t>
            </w:r>
            <w:r>
              <w:rPr>
                <w:rFonts w:hint="default" w:ascii="Arial" w:hAnsi="Arial" w:cs="Arial"/>
                <w:spacing w:val="-32"/>
                <w:sz w:val="21"/>
                <w:szCs w:val="21"/>
              </w:rPr>
              <w:t xml:space="preserve"> </w:t>
            </w:r>
            <w:r>
              <w:rPr>
                <w:rFonts w:hint="default" w:ascii="Arial" w:hAnsi="Arial" w:cs="Arial"/>
                <w:spacing w:val="8"/>
                <w:sz w:val="21"/>
                <w:szCs w:val="21"/>
              </w:rPr>
              <w:t>筒灯</w:t>
            </w:r>
          </w:p>
        </w:tc>
        <w:tc>
          <w:tcPr>
            <w:tcW w:w="1964" w:type="dxa"/>
            <w:vAlign w:val="top"/>
          </w:tcPr>
          <w:p w14:paraId="3B0070CD">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3586" w:type="dxa"/>
            <w:vAlign w:val="top"/>
          </w:tcPr>
          <w:p w14:paraId="41F25484">
            <w:pPr>
              <w:pStyle w:val="257"/>
              <w:keepNext w:val="0"/>
              <w:keepLines w:val="0"/>
              <w:pageBreakBefore w:val="0"/>
              <w:widowControl w:val="0"/>
              <w:kinsoku/>
              <w:wordWrap/>
              <w:overflowPunct/>
              <w:topLinePunct w:val="0"/>
              <w:autoSpaceDE/>
              <w:autoSpaceDN/>
              <w:bidi w:val="0"/>
              <w:adjustRightInd/>
              <w:spacing w:before="148" w:line="288" w:lineRule="auto"/>
              <w:ind w:left="17" w:right="13" w:firstLine="5"/>
              <w:textAlignment w:val="auto"/>
              <w:rPr>
                <w:rFonts w:hint="default" w:ascii="Arial" w:hAnsi="Arial" w:cs="Arial"/>
                <w:sz w:val="21"/>
                <w:szCs w:val="21"/>
              </w:rPr>
            </w:pPr>
            <w:r>
              <w:rPr>
                <w:rFonts w:hint="default" w:ascii="Arial" w:hAnsi="Arial" w:cs="Arial"/>
                <w:spacing w:val="12"/>
                <w:sz w:val="21"/>
                <w:szCs w:val="21"/>
              </w:rPr>
              <w:t xml:space="preserve">《室内照明用 </w:t>
            </w:r>
            <w:r>
              <w:rPr>
                <w:rFonts w:hint="default" w:ascii="Arial" w:hAnsi="Arial" w:cs="Arial"/>
                <w:sz w:val="21"/>
                <w:szCs w:val="21"/>
              </w:rPr>
              <w:t>LED</w:t>
            </w:r>
            <w:r>
              <w:rPr>
                <w:rFonts w:hint="default" w:ascii="Arial" w:hAnsi="Arial" w:cs="Arial"/>
                <w:spacing w:val="12"/>
                <w:sz w:val="21"/>
                <w:szCs w:val="21"/>
              </w:rPr>
              <w:t xml:space="preserve"> 产品能效限定</w:t>
            </w:r>
            <w:r>
              <w:rPr>
                <w:rFonts w:hint="default" w:ascii="Arial" w:hAnsi="Arial" w:cs="Arial"/>
                <w:spacing w:val="2"/>
                <w:sz w:val="21"/>
                <w:szCs w:val="21"/>
              </w:rPr>
              <w:t xml:space="preserve"> </w:t>
            </w:r>
            <w:r>
              <w:rPr>
                <w:rFonts w:hint="default" w:ascii="Arial" w:hAnsi="Arial" w:cs="Arial"/>
                <w:spacing w:val="7"/>
                <w:sz w:val="21"/>
                <w:szCs w:val="21"/>
              </w:rPr>
              <w:t>值及能效等级》（</w:t>
            </w:r>
            <w:r>
              <w:rPr>
                <w:rFonts w:hint="default" w:ascii="Arial" w:hAnsi="Arial" w:cs="Arial"/>
                <w:sz w:val="21"/>
                <w:szCs w:val="21"/>
              </w:rPr>
              <w:t>GB</w:t>
            </w:r>
            <w:r>
              <w:rPr>
                <w:rFonts w:hint="default" w:ascii="Arial" w:hAnsi="Arial" w:cs="Arial"/>
                <w:spacing w:val="7"/>
                <w:sz w:val="21"/>
                <w:szCs w:val="21"/>
              </w:rPr>
              <w:t xml:space="preserve"> 30255）</w:t>
            </w:r>
          </w:p>
        </w:tc>
      </w:tr>
      <w:tr w14:paraId="1DE4C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6" w:hRule="atLeast"/>
        </w:trPr>
        <w:tc>
          <w:tcPr>
            <w:tcW w:w="709" w:type="dxa"/>
            <w:vMerge w:val="continue"/>
            <w:tcBorders>
              <w:top w:val="nil"/>
            </w:tcBorders>
            <w:vAlign w:val="top"/>
          </w:tcPr>
          <w:p w14:paraId="724F1B3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064" w:type="dxa"/>
            <w:vMerge w:val="continue"/>
            <w:tcBorders>
              <w:top w:val="nil"/>
            </w:tcBorders>
            <w:vAlign w:val="top"/>
          </w:tcPr>
          <w:p w14:paraId="1C182A65">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854" w:type="dxa"/>
            <w:vAlign w:val="top"/>
          </w:tcPr>
          <w:p w14:paraId="350DC787">
            <w:pPr>
              <w:pStyle w:val="257"/>
              <w:keepNext w:val="0"/>
              <w:keepLines w:val="0"/>
              <w:pageBreakBefore w:val="0"/>
              <w:widowControl w:val="0"/>
              <w:kinsoku/>
              <w:wordWrap/>
              <w:overflowPunct/>
              <w:topLinePunct w:val="0"/>
              <w:autoSpaceDE/>
              <w:autoSpaceDN/>
              <w:bidi w:val="0"/>
              <w:adjustRightInd/>
              <w:spacing w:before="265" w:line="288" w:lineRule="auto"/>
              <w:ind w:left="47" w:right="12" w:hanging="33"/>
              <w:textAlignment w:val="auto"/>
              <w:rPr>
                <w:rFonts w:hint="default" w:ascii="Arial" w:hAnsi="Arial" w:cs="Arial"/>
                <w:sz w:val="21"/>
                <w:szCs w:val="21"/>
              </w:rPr>
            </w:pPr>
            <w:r>
              <w:rPr>
                <w:rFonts w:hint="default" w:ascii="Arial" w:hAnsi="Arial" w:cs="Arial"/>
                <w:spacing w:val="30"/>
                <w:sz w:val="21"/>
                <w:szCs w:val="21"/>
              </w:rPr>
              <w:t>普通照明用非定向</w:t>
            </w:r>
            <w:r>
              <w:rPr>
                <w:rFonts w:hint="default" w:ascii="Arial" w:hAnsi="Arial" w:cs="Arial"/>
                <w:spacing w:val="5"/>
                <w:sz w:val="21"/>
                <w:szCs w:val="21"/>
              </w:rPr>
              <w:t xml:space="preserve"> </w:t>
            </w:r>
            <w:r>
              <w:rPr>
                <w:rFonts w:hint="default" w:ascii="Arial" w:hAnsi="Arial" w:cs="Arial"/>
                <w:spacing w:val="-1"/>
                <w:sz w:val="21"/>
                <w:szCs w:val="21"/>
              </w:rPr>
              <w:t>自镇流</w:t>
            </w:r>
            <w:r>
              <w:rPr>
                <w:rFonts w:hint="default" w:ascii="Arial" w:hAnsi="Arial" w:cs="Arial"/>
                <w:spacing w:val="-33"/>
                <w:sz w:val="21"/>
                <w:szCs w:val="21"/>
              </w:rPr>
              <w:t xml:space="preserve"> </w:t>
            </w:r>
            <w:r>
              <w:rPr>
                <w:rFonts w:hint="default" w:ascii="Arial" w:hAnsi="Arial" w:cs="Arial"/>
                <w:spacing w:val="-1"/>
                <w:sz w:val="21"/>
                <w:szCs w:val="21"/>
              </w:rPr>
              <w:t>LED</w:t>
            </w:r>
            <w:r>
              <w:rPr>
                <w:rFonts w:hint="default" w:ascii="Arial" w:hAnsi="Arial" w:cs="Arial"/>
                <w:spacing w:val="-37"/>
                <w:sz w:val="21"/>
                <w:szCs w:val="21"/>
              </w:rPr>
              <w:t xml:space="preserve"> </w:t>
            </w:r>
            <w:r>
              <w:rPr>
                <w:rFonts w:hint="default" w:ascii="Arial" w:hAnsi="Arial" w:cs="Arial"/>
                <w:spacing w:val="-1"/>
                <w:sz w:val="21"/>
                <w:szCs w:val="21"/>
              </w:rPr>
              <w:t>灯</w:t>
            </w:r>
          </w:p>
        </w:tc>
        <w:tc>
          <w:tcPr>
            <w:tcW w:w="1964" w:type="dxa"/>
            <w:vAlign w:val="top"/>
          </w:tcPr>
          <w:p w14:paraId="660D9771">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3586" w:type="dxa"/>
            <w:vAlign w:val="top"/>
          </w:tcPr>
          <w:p w14:paraId="218E746A">
            <w:pPr>
              <w:pStyle w:val="257"/>
              <w:keepNext w:val="0"/>
              <w:keepLines w:val="0"/>
              <w:pageBreakBefore w:val="0"/>
              <w:widowControl w:val="0"/>
              <w:kinsoku/>
              <w:wordWrap/>
              <w:overflowPunct/>
              <w:topLinePunct w:val="0"/>
              <w:autoSpaceDE/>
              <w:autoSpaceDN/>
              <w:bidi w:val="0"/>
              <w:adjustRightInd/>
              <w:spacing w:before="265" w:line="288" w:lineRule="auto"/>
              <w:ind w:left="17" w:right="13" w:firstLine="5"/>
              <w:textAlignment w:val="auto"/>
              <w:rPr>
                <w:rFonts w:hint="default" w:ascii="Arial" w:hAnsi="Arial" w:cs="Arial"/>
                <w:sz w:val="21"/>
                <w:szCs w:val="21"/>
              </w:rPr>
            </w:pPr>
            <w:r>
              <w:rPr>
                <w:rFonts w:hint="default" w:ascii="Arial" w:hAnsi="Arial" w:cs="Arial"/>
                <w:spacing w:val="12"/>
                <w:sz w:val="21"/>
                <w:szCs w:val="21"/>
              </w:rPr>
              <w:t xml:space="preserve">《室内照明用 </w:t>
            </w:r>
            <w:r>
              <w:rPr>
                <w:rFonts w:hint="default" w:ascii="Arial" w:hAnsi="Arial" w:cs="Arial"/>
                <w:sz w:val="21"/>
                <w:szCs w:val="21"/>
              </w:rPr>
              <w:t>LED</w:t>
            </w:r>
            <w:r>
              <w:rPr>
                <w:rFonts w:hint="default" w:ascii="Arial" w:hAnsi="Arial" w:cs="Arial"/>
                <w:spacing w:val="12"/>
                <w:sz w:val="21"/>
                <w:szCs w:val="21"/>
              </w:rPr>
              <w:t xml:space="preserve"> 产品能效限定</w:t>
            </w:r>
            <w:r>
              <w:rPr>
                <w:rFonts w:hint="default" w:ascii="Arial" w:hAnsi="Arial" w:cs="Arial"/>
                <w:spacing w:val="2"/>
                <w:sz w:val="21"/>
                <w:szCs w:val="21"/>
              </w:rPr>
              <w:t xml:space="preserve"> </w:t>
            </w:r>
            <w:r>
              <w:rPr>
                <w:rFonts w:hint="default" w:ascii="Arial" w:hAnsi="Arial" w:cs="Arial"/>
                <w:spacing w:val="7"/>
                <w:sz w:val="21"/>
                <w:szCs w:val="21"/>
              </w:rPr>
              <w:t>值及能效等级》（</w:t>
            </w:r>
            <w:r>
              <w:rPr>
                <w:rFonts w:hint="default" w:ascii="Arial" w:hAnsi="Arial" w:cs="Arial"/>
                <w:sz w:val="21"/>
                <w:szCs w:val="21"/>
              </w:rPr>
              <w:t>GB</w:t>
            </w:r>
            <w:r>
              <w:rPr>
                <w:rFonts w:hint="default" w:ascii="Arial" w:hAnsi="Arial" w:cs="Arial"/>
                <w:spacing w:val="7"/>
                <w:sz w:val="21"/>
                <w:szCs w:val="21"/>
              </w:rPr>
              <w:t xml:space="preserve"> 30255）</w:t>
            </w:r>
          </w:p>
        </w:tc>
      </w:tr>
      <w:tr w14:paraId="4C749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709" w:type="dxa"/>
            <w:vAlign w:val="top"/>
          </w:tcPr>
          <w:p w14:paraId="1A5D257B">
            <w:pPr>
              <w:pStyle w:val="257"/>
              <w:keepNext w:val="0"/>
              <w:keepLines w:val="0"/>
              <w:pageBreakBefore w:val="0"/>
              <w:widowControl w:val="0"/>
              <w:kinsoku/>
              <w:wordWrap/>
              <w:overflowPunct/>
              <w:topLinePunct w:val="0"/>
              <w:autoSpaceDE/>
              <w:autoSpaceDN/>
              <w:bidi w:val="0"/>
              <w:adjustRightInd/>
              <w:spacing w:before="301" w:line="288" w:lineRule="auto"/>
              <w:ind w:left="209"/>
              <w:textAlignment w:val="auto"/>
              <w:rPr>
                <w:rFonts w:hint="default" w:ascii="Arial" w:hAnsi="Arial" w:cs="Arial"/>
                <w:sz w:val="21"/>
                <w:szCs w:val="21"/>
              </w:rPr>
            </w:pPr>
            <w:r>
              <w:rPr>
                <w:rFonts w:hint="default" w:ascii="Arial" w:hAnsi="Arial" w:cs="Arial"/>
                <w:spacing w:val="-7"/>
                <w:position w:val="1"/>
                <w:sz w:val="21"/>
                <w:szCs w:val="21"/>
              </w:rPr>
              <w:t>12</w:t>
            </w:r>
          </w:p>
        </w:tc>
        <w:tc>
          <w:tcPr>
            <w:tcW w:w="1064" w:type="dxa"/>
            <w:vAlign w:val="top"/>
          </w:tcPr>
          <w:p w14:paraId="23DC9EF0">
            <w:pPr>
              <w:pStyle w:val="257"/>
              <w:keepNext w:val="0"/>
              <w:keepLines w:val="0"/>
              <w:pageBreakBefore w:val="0"/>
              <w:widowControl w:val="0"/>
              <w:kinsoku/>
              <w:wordWrap/>
              <w:overflowPunct/>
              <w:topLinePunct w:val="0"/>
              <w:autoSpaceDE/>
              <w:autoSpaceDN/>
              <w:bidi w:val="0"/>
              <w:adjustRightInd/>
              <w:spacing w:before="145" w:line="288" w:lineRule="auto"/>
              <w:ind w:left="14" w:right="8" w:firstLine="3"/>
              <w:textAlignment w:val="auto"/>
              <w:rPr>
                <w:rFonts w:hint="default" w:ascii="Arial" w:hAnsi="Arial" w:cs="Arial"/>
                <w:sz w:val="21"/>
                <w:szCs w:val="21"/>
              </w:rPr>
            </w:pPr>
            <w:r>
              <w:rPr>
                <w:rFonts w:hint="default" w:ascii="Arial" w:hAnsi="Arial" w:cs="Arial"/>
                <w:spacing w:val="1"/>
                <w:sz w:val="21"/>
                <w:szCs w:val="21"/>
              </w:rPr>
              <w:t>★A020910</w:t>
            </w:r>
            <w:r>
              <w:rPr>
                <w:rFonts w:hint="default" w:ascii="Arial" w:hAnsi="Arial" w:cs="Arial"/>
                <w:spacing w:val="-17"/>
                <w:sz w:val="21"/>
                <w:szCs w:val="21"/>
              </w:rPr>
              <w:t xml:space="preserve"> </w:t>
            </w:r>
            <w:r>
              <w:rPr>
                <w:rFonts w:hint="default" w:ascii="Arial" w:hAnsi="Arial" w:cs="Arial"/>
                <w:spacing w:val="1"/>
                <w:sz w:val="21"/>
                <w:szCs w:val="21"/>
              </w:rPr>
              <w:t>电</w:t>
            </w:r>
            <w:r>
              <w:rPr>
                <w:rFonts w:hint="default" w:ascii="Arial" w:hAnsi="Arial" w:cs="Arial"/>
                <w:sz w:val="21"/>
                <w:szCs w:val="21"/>
              </w:rPr>
              <w:t xml:space="preserve"> </w:t>
            </w:r>
            <w:r>
              <w:rPr>
                <w:rFonts w:hint="default" w:ascii="Arial" w:hAnsi="Arial" w:cs="Arial"/>
                <w:spacing w:val="6"/>
                <w:sz w:val="21"/>
                <w:szCs w:val="21"/>
              </w:rPr>
              <w:t>视设备</w:t>
            </w:r>
          </w:p>
        </w:tc>
        <w:tc>
          <w:tcPr>
            <w:tcW w:w="1854" w:type="dxa"/>
            <w:vAlign w:val="top"/>
          </w:tcPr>
          <w:p w14:paraId="602A962D">
            <w:pPr>
              <w:pStyle w:val="257"/>
              <w:keepNext w:val="0"/>
              <w:keepLines w:val="0"/>
              <w:pageBreakBefore w:val="0"/>
              <w:widowControl w:val="0"/>
              <w:kinsoku/>
              <w:wordWrap/>
              <w:overflowPunct/>
              <w:topLinePunct w:val="0"/>
              <w:autoSpaceDE/>
              <w:autoSpaceDN/>
              <w:bidi w:val="0"/>
              <w:adjustRightInd/>
              <w:spacing w:before="145" w:line="288" w:lineRule="auto"/>
              <w:ind w:left="18" w:right="10" w:hanging="9"/>
              <w:textAlignment w:val="auto"/>
              <w:rPr>
                <w:rFonts w:hint="default" w:ascii="Arial" w:hAnsi="Arial" w:cs="Arial"/>
                <w:sz w:val="21"/>
                <w:szCs w:val="21"/>
              </w:rPr>
            </w:pPr>
            <w:r>
              <w:rPr>
                <w:rFonts w:hint="default" w:ascii="Arial" w:hAnsi="Arial" w:cs="Arial"/>
                <w:spacing w:val="4"/>
                <w:sz w:val="21"/>
                <w:szCs w:val="21"/>
              </w:rPr>
              <w:t>A02091001 普通电视</w:t>
            </w:r>
            <w:r>
              <w:rPr>
                <w:rFonts w:hint="default" w:ascii="Arial" w:hAnsi="Arial" w:cs="Arial"/>
                <w:spacing w:val="7"/>
                <w:sz w:val="21"/>
                <w:szCs w:val="21"/>
              </w:rPr>
              <w:t xml:space="preserve"> </w:t>
            </w:r>
            <w:r>
              <w:rPr>
                <w:rFonts w:hint="default" w:ascii="Arial" w:hAnsi="Arial" w:cs="Arial"/>
                <w:spacing w:val="6"/>
                <w:sz w:val="21"/>
                <w:szCs w:val="21"/>
              </w:rPr>
              <w:t>设备（电视机）</w:t>
            </w:r>
          </w:p>
        </w:tc>
        <w:tc>
          <w:tcPr>
            <w:tcW w:w="1964" w:type="dxa"/>
            <w:vAlign w:val="top"/>
          </w:tcPr>
          <w:p w14:paraId="687D4C5B">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3586" w:type="dxa"/>
            <w:vAlign w:val="top"/>
          </w:tcPr>
          <w:p w14:paraId="6D852FF4">
            <w:pPr>
              <w:pStyle w:val="257"/>
              <w:keepNext w:val="0"/>
              <w:keepLines w:val="0"/>
              <w:pageBreakBefore w:val="0"/>
              <w:widowControl w:val="0"/>
              <w:kinsoku/>
              <w:wordWrap/>
              <w:overflowPunct/>
              <w:topLinePunct w:val="0"/>
              <w:autoSpaceDE/>
              <w:autoSpaceDN/>
              <w:bidi w:val="0"/>
              <w:adjustRightInd/>
              <w:spacing w:before="146" w:line="288" w:lineRule="auto"/>
              <w:ind w:left="21" w:right="11" w:firstLine="2"/>
              <w:textAlignment w:val="auto"/>
              <w:rPr>
                <w:rFonts w:hint="default" w:ascii="Arial" w:hAnsi="Arial" w:cs="Arial"/>
                <w:sz w:val="21"/>
                <w:szCs w:val="21"/>
              </w:rPr>
            </w:pPr>
            <w:r>
              <w:rPr>
                <w:rFonts w:hint="default" w:ascii="Arial" w:hAnsi="Arial" w:cs="Arial"/>
                <w:spacing w:val="19"/>
                <w:sz w:val="21"/>
                <w:szCs w:val="21"/>
              </w:rPr>
              <w:t>《平板电视能效限定值及能效等</w:t>
            </w:r>
            <w:r>
              <w:rPr>
                <w:rFonts w:hint="default" w:ascii="Arial" w:hAnsi="Arial" w:cs="Arial"/>
                <w:spacing w:val="2"/>
                <w:sz w:val="21"/>
                <w:szCs w:val="21"/>
              </w:rPr>
              <w:t xml:space="preserve"> </w:t>
            </w:r>
            <w:r>
              <w:rPr>
                <w:rFonts w:hint="default" w:ascii="Arial" w:hAnsi="Arial" w:cs="Arial"/>
                <w:spacing w:val="4"/>
                <w:sz w:val="21"/>
                <w:szCs w:val="21"/>
              </w:rPr>
              <w:t>级》（</w:t>
            </w:r>
            <w:r>
              <w:rPr>
                <w:rFonts w:hint="default" w:ascii="Arial" w:hAnsi="Arial" w:cs="Arial"/>
                <w:sz w:val="21"/>
                <w:szCs w:val="21"/>
              </w:rPr>
              <w:t>GB</w:t>
            </w:r>
            <w:r>
              <w:rPr>
                <w:rFonts w:hint="default" w:ascii="Arial" w:hAnsi="Arial" w:cs="Arial"/>
                <w:spacing w:val="23"/>
                <w:sz w:val="21"/>
                <w:szCs w:val="21"/>
              </w:rPr>
              <w:t xml:space="preserve"> </w:t>
            </w:r>
            <w:r>
              <w:rPr>
                <w:rFonts w:hint="default" w:ascii="Arial" w:hAnsi="Arial" w:cs="Arial"/>
                <w:spacing w:val="4"/>
                <w:sz w:val="21"/>
                <w:szCs w:val="21"/>
              </w:rPr>
              <w:t>24850）</w:t>
            </w:r>
          </w:p>
        </w:tc>
      </w:tr>
      <w:tr w14:paraId="17B47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6" w:hRule="atLeast"/>
        </w:trPr>
        <w:tc>
          <w:tcPr>
            <w:tcW w:w="709" w:type="dxa"/>
            <w:vAlign w:val="top"/>
          </w:tcPr>
          <w:p w14:paraId="0B7C1DC1">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4937BACC">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35A6CC62">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48B9F6FC">
            <w:pPr>
              <w:pStyle w:val="257"/>
              <w:keepNext w:val="0"/>
              <w:keepLines w:val="0"/>
              <w:pageBreakBefore w:val="0"/>
              <w:widowControl w:val="0"/>
              <w:kinsoku/>
              <w:wordWrap/>
              <w:overflowPunct/>
              <w:topLinePunct w:val="0"/>
              <w:autoSpaceDE/>
              <w:autoSpaceDN/>
              <w:bidi w:val="0"/>
              <w:adjustRightInd/>
              <w:spacing w:before="62" w:line="288" w:lineRule="auto"/>
              <w:ind w:left="209"/>
              <w:textAlignment w:val="auto"/>
              <w:rPr>
                <w:rFonts w:hint="default" w:ascii="Arial" w:hAnsi="Arial" w:cs="Arial"/>
                <w:sz w:val="21"/>
                <w:szCs w:val="21"/>
              </w:rPr>
            </w:pPr>
            <w:r>
              <w:rPr>
                <w:rFonts w:hint="default" w:ascii="Arial" w:hAnsi="Arial" w:cs="Arial"/>
                <w:spacing w:val="-7"/>
                <w:position w:val="1"/>
                <w:sz w:val="21"/>
                <w:szCs w:val="21"/>
              </w:rPr>
              <w:t>13</w:t>
            </w:r>
          </w:p>
        </w:tc>
        <w:tc>
          <w:tcPr>
            <w:tcW w:w="1064" w:type="dxa"/>
            <w:vAlign w:val="top"/>
          </w:tcPr>
          <w:p w14:paraId="6A2C27E7">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1B1074DF">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162AA68E">
            <w:pPr>
              <w:pStyle w:val="257"/>
              <w:keepNext w:val="0"/>
              <w:keepLines w:val="0"/>
              <w:pageBreakBefore w:val="0"/>
              <w:widowControl w:val="0"/>
              <w:kinsoku/>
              <w:wordWrap/>
              <w:overflowPunct/>
              <w:topLinePunct w:val="0"/>
              <w:autoSpaceDE/>
              <w:autoSpaceDN/>
              <w:bidi w:val="0"/>
              <w:adjustRightInd/>
              <w:spacing w:before="62" w:line="288" w:lineRule="auto"/>
              <w:ind w:left="16" w:right="8" w:firstLine="2"/>
              <w:textAlignment w:val="auto"/>
              <w:rPr>
                <w:rFonts w:hint="default" w:ascii="Arial" w:hAnsi="Arial" w:cs="Arial"/>
                <w:sz w:val="21"/>
                <w:szCs w:val="21"/>
              </w:rPr>
            </w:pPr>
            <w:r>
              <w:rPr>
                <w:rFonts w:hint="default" w:ascii="Arial" w:hAnsi="Arial" w:cs="Arial"/>
                <w:spacing w:val="4"/>
                <w:sz w:val="21"/>
                <w:szCs w:val="21"/>
              </w:rPr>
              <w:t>★A020911</w:t>
            </w:r>
            <w:r>
              <w:rPr>
                <w:rFonts w:hint="default" w:ascii="Arial" w:hAnsi="Arial" w:cs="Arial"/>
                <w:spacing w:val="-44"/>
                <w:sz w:val="21"/>
                <w:szCs w:val="21"/>
              </w:rPr>
              <w:t xml:space="preserve"> </w:t>
            </w:r>
            <w:r>
              <w:rPr>
                <w:rFonts w:hint="default" w:ascii="Arial" w:hAnsi="Arial" w:cs="Arial"/>
                <w:spacing w:val="4"/>
                <w:sz w:val="21"/>
                <w:szCs w:val="21"/>
              </w:rPr>
              <w:t>视</w:t>
            </w:r>
            <w:r>
              <w:rPr>
                <w:rFonts w:hint="default" w:ascii="Arial" w:hAnsi="Arial" w:cs="Arial"/>
                <w:sz w:val="21"/>
                <w:szCs w:val="21"/>
              </w:rPr>
              <w:t xml:space="preserve"> </w:t>
            </w:r>
            <w:r>
              <w:rPr>
                <w:rFonts w:hint="default" w:ascii="Arial" w:hAnsi="Arial" w:cs="Arial"/>
                <w:spacing w:val="6"/>
                <w:sz w:val="21"/>
                <w:szCs w:val="21"/>
              </w:rPr>
              <w:t>频设备</w:t>
            </w:r>
          </w:p>
        </w:tc>
        <w:tc>
          <w:tcPr>
            <w:tcW w:w="1854" w:type="dxa"/>
            <w:vAlign w:val="top"/>
          </w:tcPr>
          <w:p w14:paraId="40E984F6">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0E87A601">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5E79B368">
            <w:pPr>
              <w:pStyle w:val="257"/>
              <w:keepNext w:val="0"/>
              <w:keepLines w:val="0"/>
              <w:pageBreakBefore w:val="0"/>
              <w:widowControl w:val="0"/>
              <w:kinsoku/>
              <w:wordWrap/>
              <w:overflowPunct/>
              <w:topLinePunct w:val="0"/>
              <w:autoSpaceDE/>
              <w:autoSpaceDN/>
              <w:bidi w:val="0"/>
              <w:adjustRightInd/>
              <w:spacing w:before="62" w:line="288" w:lineRule="auto"/>
              <w:ind w:left="18" w:right="10" w:hanging="9"/>
              <w:textAlignment w:val="auto"/>
              <w:rPr>
                <w:rFonts w:hint="default" w:ascii="Arial" w:hAnsi="Arial" w:cs="Arial"/>
                <w:sz w:val="21"/>
                <w:szCs w:val="21"/>
              </w:rPr>
            </w:pPr>
            <w:r>
              <w:rPr>
                <w:rFonts w:hint="default" w:ascii="Arial" w:hAnsi="Arial" w:cs="Arial"/>
                <w:spacing w:val="4"/>
                <w:sz w:val="21"/>
                <w:szCs w:val="21"/>
              </w:rPr>
              <w:t>A02091107 视频监控</w:t>
            </w:r>
            <w:r>
              <w:rPr>
                <w:rFonts w:hint="default" w:ascii="Arial" w:hAnsi="Arial" w:cs="Arial"/>
                <w:spacing w:val="7"/>
                <w:sz w:val="21"/>
                <w:szCs w:val="21"/>
              </w:rPr>
              <w:t xml:space="preserve"> </w:t>
            </w:r>
            <w:r>
              <w:rPr>
                <w:rFonts w:hint="default" w:ascii="Arial" w:hAnsi="Arial" w:cs="Arial"/>
                <w:spacing w:val="3"/>
                <w:sz w:val="21"/>
                <w:szCs w:val="21"/>
              </w:rPr>
              <w:t>设备</w:t>
            </w:r>
          </w:p>
        </w:tc>
        <w:tc>
          <w:tcPr>
            <w:tcW w:w="1964" w:type="dxa"/>
            <w:vAlign w:val="top"/>
          </w:tcPr>
          <w:p w14:paraId="7E981341">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6FB42634">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6B6291C4">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144E9D4D">
            <w:pPr>
              <w:pStyle w:val="257"/>
              <w:keepNext w:val="0"/>
              <w:keepLines w:val="0"/>
              <w:pageBreakBefore w:val="0"/>
              <w:widowControl w:val="0"/>
              <w:kinsoku/>
              <w:wordWrap/>
              <w:overflowPunct/>
              <w:topLinePunct w:val="0"/>
              <w:autoSpaceDE/>
              <w:autoSpaceDN/>
              <w:bidi w:val="0"/>
              <w:adjustRightInd/>
              <w:spacing w:before="62" w:line="288" w:lineRule="auto"/>
              <w:ind w:left="17"/>
              <w:textAlignment w:val="auto"/>
              <w:rPr>
                <w:rFonts w:hint="default" w:ascii="Arial" w:hAnsi="Arial" w:cs="Arial"/>
                <w:sz w:val="21"/>
                <w:szCs w:val="21"/>
              </w:rPr>
            </w:pPr>
            <w:r>
              <w:rPr>
                <w:rFonts w:hint="default" w:ascii="Arial" w:hAnsi="Arial" w:cs="Arial"/>
                <w:spacing w:val="6"/>
                <w:sz w:val="21"/>
                <w:szCs w:val="21"/>
              </w:rPr>
              <w:t>监视器</w:t>
            </w:r>
          </w:p>
        </w:tc>
        <w:tc>
          <w:tcPr>
            <w:tcW w:w="3586" w:type="dxa"/>
            <w:vAlign w:val="top"/>
          </w:tcPr>
          <w:p w14:paraId="29162634">
            <w:pPr>
              <w:pStyle w:val="257"/>
              <w:keepNext w:val="0"/>
              <w:keepLines w:val="0"/>
              <w:pageBreakBefore w:val="0"/>
              <w:widowControl w:val="0"/>
              <w:kinsoku/>
              <w:wordWrap/>
              <w:overflowPunct/>
              <w:topLinePunct w:val="0"/>
              <w:autoSpaceDE/>
              <w:autoSpaceDN/>
              <w:bidi w:val="0"/>
              <w:adjustRightInd/>
              <w:spacing w:before="93" w:line="288" w:lineRule="auto"/>
              <w:ind w:left="17" w:right="11" w:firstLine="23"/>
              <w:textAlignment w:val="auto"/>
              <w:rPr>
                <w:rFonts w:hint="default" w:ascii="Arial" w:hAnsi="Arial" w:cs="Arial"/>
                <w:sz w:val="21"/>
                <w:szCs w:val="21"/>
              </w:rPr>
            </w:pPr>
            <w:r>
              <w:rPr>
                <w:rFonts w:hint="default" w:ascii="Arial" w:hAnsi="Arial" w:cs="Arial"/>
                <w:spacing w:val="18"/>
                <w:sz w:val="21"/>
                <w:szCs w:val="21"/>
              </w:rPr>
              <w:t>以射频信号为主要信号输入的监</w:t>
            </w:r>
            <w:r>
              <w:rPr>
                <w:rFonts w:hint="default" w:ascii="Arial" w:hAnsi="Arial" w:cs="Arial"/>
                <w:sz w:val="21"/>
                <w:szCs w:val="21"/>
              </w:rPr>
              <w:t xml:space="preserve"> </w:t>
            </w:r>
            <w:r>
              <w:rPr>
                <w:rFonts w:hint="default" w:ascii="Arial" w:hAnsi="Arial" w:cs="Arial"/>
                <w:spacing w:val="5"/>
                <w:sz w:val="21"/>
                <w:szCs w:val="21"/>
              </w:rPr>
              <w:t>视器应符合《平板电视能效限定值</w:t>
            </w:r>
            <w:r>
              <w:rPr>
                <w:rFonts w:hint="default" w:ascii="Arial" w:hAnsi="Arial" w:cs="Arial"/>
                <w:spacing w:val="7"/>
                <w:sz w:val="21"/>
                <w:szCs w:val="21"/>
              </w:rPr>
              <w:t xml:space="preserve"> </w:t>
            </w:r>
            <w:r>
              <w:rPr>
                <w:rFonts w:hint="default" w:ascii="Arial" w:hAnsi="Arial" w:cs="Arial"/>
                <w:spacing w:val="8"/>
                <w:sz w:val="21"/>
                <w:szCs w:val="21"/>
              </w:rPr>
              <w:t>及能效等级》（</w:t>
            </w:r>
            <w:r>
              <w:rPr>
                <w:rFonts w:hint="default" w:ascii="Arial" w:hAnsi="Arial" w:cs="Arial"/>
                <w:sz w:val="21"/>
                <w:szCs w:val="21"/>
              </w:rPr>
              <w:t>GB</w:t>
            </w:r>
            <w:r>
              <w:rPr>
                <w:rFonts w:hint="default" w:ascii="Arial" w:hAnsi="Arial" w:cs="Arial"/>
                <w:spacing w:val="8"/>
                <w:sz w:val="21"/>
                <w:szCs w:val="21"/>
              </w:rPr>
              <w:t xml:space="preserve"> 24850</w:t>
            </w:r>
            <w:r>
              <w:rPr>
                <w:rFonts w:hint="default" w:ascii="Arial" w:hAnsi="Arial" w:cs="Arial"/>
                <w:sz w:val="21"/>
                <w:szCs w:val="21"/>
              </w:rPr>
              <w:t>），</w:t>
            </w:r>
          </w:p>
          <w:p w14:paraId="78C3DB6A">
            <w:pPr>
              <w:pStyle w:val="257"/>
              <w:keepNext w:val="0"/>
              <w:keepLines w:val="0"/>
              <w:pageBreakBefore w:val="0"/>
              <w:widowControl w:val="0"/>
              <w:kinsoku/>
              <w:wordWrap/>
              <w:overflowPunct/>
              <w:topLinePunct w:val="0"/>
              <w:autoSpaceDE/>
              <w:autoSpaceDN/>
              <w:bidi w:val="0"/>
              <w:adjustRightInd/>
              <w:spacing w:before="1" w:line="288" w:lineRule="auto"/>
              <w:ind w:left="17" w:right="11" w:firstLine="23"/>
              <w:textAlignment w:val="auto"/>
              <w:rPr>
                <w:rFonts w:hint="default" w:ascii="Arial" w:hAnsi="Arial" w:cs="Arial"/>
                <w:sz w:val="21"/>
                <w:szCs w:val="21"/>
              </w:rPr>
            </w:pPr>
            <w:r>
              <w:rPr>
                <w:rFonts w:hint="default" w:ascii="Arial" w:hAnsi="Arial" w:cs="Arial"/>
                <w:spacing w:val="18"/>
                <w:sz w:val="21"/>
                <w:szCs w:val="21"/>
              </w:rPr>
              <w:t>以数字信号为主要信号输入的监</w:t>
            </w:r>
            <w:r>
              <w:rPr>
                <w:rFonts w:hint="default" w:ascii="Arial" w:hAnsi="Arial" w:cs="Arial"/>
                <w:sz w:val="21"/>
                <w:szCs w:val="21"/>
              </w:rPr>
              <w:t xml:space="preserve"> </w:t>
            </w:r>
            <w:r>
              <w:rPr>
                <w:rFonts w:hint="default" w:ascii="Arial" w:hAnsi="Arial" w:cs="Arial"/>
                <w:spacing w:val="5"/>
                <w:sz w:val="21"/>
                <w:szCs w:val="21"/>
              </w:rPr>
              <w:t>视器应符合《计算机显示器能效限</w:t>
            </w:r>
            <w:r>
              <w:rPr>
                <w:rFonts w:hint="default" w:ascii="Arial" w:hAnsi="Arial" w:cs="Arial"/>
                <w:spacing w:val="7"/>
                <w:sz w:val="21"/>
                <w:szCs w:val="21"/>
              </w:rPr>
              <w:t xml:space="preserve"> 定值及能效等级》（</w:t>
            </w:r>
            <w:r>
              <w:rPr>
                <w:rFonts w:hint="default" w:ascii="Arial" w:hAnsi="Arial" w:cs="Arial"/>
                <w:sz w:val="21"/>
                <w:szCs w:val="21"/>
              </w:rPr>
              <w:t>GB</w:t>
            </w:r>
            <w:r>
              <w:rPr>
                <w:rFonts w:hint="default" w:ascii="Arial" w:hAnsi="Arial" w:cs="Arial"/>
                <w:spacing w:val="7"/>
                <w:sz w:val="21"/>
                <w:szCs w:val="21"/>
              </w:rPr>
              <w:t xml:space="preserve"> 21520）</w:t>
            </w:r>
          </w:p>
        </w:tc>
      </w:tr>
      <w:tr w14:paraId="43CAF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709" w:type="dxa"/>
            <w:vAlign w:val="top"/>
          </w:tcPr>
          <w:p w14:paraId="1A735296">
            <w:pPr>
              <w:pStyle w:val="257"/>
              <w:keepNext w:val="0"/>
              <w:keepLines w:val="0"/>
              <w:pageBreakBefore w:val="0"/>
              <w:widowControl w:val="0"/>
              <w:kinsoku/>
              <w:wordWrap/>
              <w:overflowPunct/>
              <w:topLinePunct w:val="0"/>
              <w:autoSpaceDE/>
              <w:autoSpaceDN/>
              <w:bidi w:val="0"/>
              <w:adjustRightInd/>
              <w:spacing w:before="298" w:line="288" w:lineRule="auto"/>
              <w:ind w:left="209"/>
              <w:textAlignment w:val="auto"/>
              <w:rPr>
                <w:rFonts w:hint="default" w:ascii="Arial" w:hAnsi="Arial" w:cs="Arial"/>
                <w:sz w:val="21"/>
                <w:szCs w:val="21"/>
              </w:rPr>
            </w:pPr>
            <w:r>
              <w:rPr>
                <w:rFonts w:hint="default" w:ascii="Arial" w:hAnsi="Arial" w:cs="Arial"/>
                <w:spacing w:val="-7"/>
                <w:position w:val="1"/>
                <w:sz w:val="21"/>
                <w:szCs w:val="21"/>
              </w:rPr>
              <w:t>14</w:t>
            </w:r>
          </w:p>
        </w:tc>
        <w:tc>
          <w:tcPr>
            <w:tcW w:w="1064" w:type="dxa"/>
            <w:vAlign w:val="top"/>
          </w:tcPr>
          <w:p w14:paraId="0BA5D3DF">
            <w:pPr>
              <w:pStyle w:val="257"/>
              <w:keepNext w:val="0"/>
              <w:keepLines w:val="0"/>
              <w:pageBreakBefore w:val="0"/>
              <w:widowControl w:val="0"/>
              <w:kinsoku/>
              <w:wordWrap/>
              <w:overflowPunct/>
              <w:topLinePunct w:val="0"/>
              <w:autoSpaceDE/>
              <w:autoSpaceDN/>
              <w:bidi w:val="0"/>
              <w:adjustRightInd/>
              <w:spacing w:before="142" w:line="288" w:lineRule="auto"/>
              <w:ind w:left="15" w:right="8" w:hanging="6"/>
              <w:textAlignment w:val="auto"/>
              <w:rPr>
                <w:rFonts w:hint="default" w:ascii="Arial" w:hAnsi="Arial" w:cs="Arial"/>
                <w:sz w:val="21"/>
                <w:szCs w:val="21"/>
              </w:rPr>
            </w:pPr>
            <w:r>
              <w:rPr>
                <w:rFonts w:hint="default" w:ascii="Arial" w:hAnsi="Arial" w:cs="Arial"/>
                <w:spacing w:val="5"/>
                <w:sz w:val="21"/>
                <w:szCs w:val="21"/>
              </w:rPr>
              <w:t>A031210</w:t>
            </w:r>
            <w:r>
              <w:rPr>
                <w:rFonts w:hint="default" w:ascii="Arial" w:hAnsi="Arial" w:cs="Arial"/>
                <w:spacing w:val="-43"/>
                <w:sz w:val="21"/>
                <w:szCs w:val="21"/>
              </w:rPr>
              <w:t xml:space="preserve"> </w:t>
            </w:r>
            <w:r>
              <w:rPr>
                <w:rFonts w:hint="default" w:ascii="Arial" w:hAnsi="Arial" w:cs="Arial"/>
                <w:spacing w:val="5"/>
                <w:sz w:val="21"/>
                <w:szCs w:val="21"/>
              </w:rPr>
              <w:t>饮食</w:t>
            </w:r>
            <w:r>
              <w:rPr>
                <w:rFonts w:hint="default" w:ascii="Arial" w:hAnsi="Arial" w:cs="Arial"/>
                <w:sz w:val="21"/>
                <w:szCs w:val="21"/>
              </w:rPr>
              <w:t xml:space="preserve"> </w:t>
            </w:r>
            <w:r>
              <w:rPr>
                <w:rFonts w:hint="default" w:ascii="Arial" w:hAnsi="Arial" w:cs="Arial"/>
                <w:spacing w:val="7"/>
                <w:sz w:val="21"/>
                <w:szCs w:val="21"/>
              </w:rPr>
              <w:t>炊事机械</w:t>
            </w:r>
          </w:p>
        </w:tc>
        <w:tc>
          <w:tcPr>
            <w:tcW w:w="1854" w:type="dxa"/>
            <w:vAlign w:val="top"/>
          </w:tcPr>
          <w:p w14:paraId="78B39F26">
            <w:pPr>
              <w:pStyle w:val="257"/>
              <w:keepNext w:val="0"/>
              <w:keepLines w:val="0"/>
              <w:pageBreakBefore w:val="0"/>
              <w:widowControl w:val="0"/>
              <w:kinsoku/>
              <w:wordWrap/>
              <w:overflowPunct/>
              <w:topLinePunct w:val="0"/>
              <w:autoSpaceDE/>
              <w:autoSpaceDN/>
              <w:bidi w:val="0"/>
              <w:adjustRightInd/>
              <w:spacing w:before="297" w:line="288" w:lineRule="auto"/>
              <w:ind w:left="19"/>
              <w:textAlignment w:val="auto"/>
              <w:rPr>
                <w:rFonts w:hint="default" w:ascii="Arial" w:hAnsi="Arial" w:cs="Arial"/>
                <w:sz w:val="21"/>
                <w:szCs w:val="21"/>
              </w:rPr>
            </w:pPr>
            <w:r>
              <w:rPr>
                <w:rFonts w:hint="default" w:ascii="Arial" w:hAnsi="Arial" w:cs="Arial"/>
                <w:spacing w:val="7"/>
                <w:sz w:val="21"/>
                <w:szCs w:val="21"/>
              </w:rPr>
              <w:t>商用燃气灶具</w:t>
            </w:r>
          </w:p>
        </w:tc>
        <w:tc>
          <w:tcPr>
            <w:tcW w:w="1964" w:type="dxa"/>
            <w:vAlign w:val="top"/>
          </w:tcPr>
          <w:p w14:paraId="39261D56">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3586" w:type="dxa"/>
            <w:vAlign w:val="top"/>
          </w:tcPr>
          <w:p w14:paraId="0A69EBF9">
            <w:pPr>
              <w:pStyle w:val="257"/>
              <w:keepNext w:val="0"/>
              <w:keepLines w:val="0"/>
              <w:pageBreakBefore w:val="0"/>
              <w:widowControl w:val="0"/>
              <w:kinsoku/>
              <w:wordWrap/>
              <w:overflowPunct/>
              <w:topLinePunct w:val="0"/>
              <w:autoSpaceDE/>
              <w:autoSpaceDN/>
              <w:bidi w:val="0"/>
              <w:adjustRightInd/>
              <w:spacing w:before="142" w:line="288" w:lineRule="auto"/>
              <w:ind w:left="22" w:right="11"/>
              <w:textAlignment w:val="auto"/>
              <w:rPr>
                <w:rFonts w:hint="default" w:ascii="Arial" w:hAnsi="Arial" w:cs="Arial"/>
                <w:sz w:val="21"/>
                <w:szCs w:val="21"/>
              </w:rPr>
            </w:pPr>
            <w:r>
              <w:rPr>
                <w:rFonts w:hint="default" w:ascii="Arial" w:hAnsi="Arial" w:cs="Arial"/>
                <w:spacing w:val="19"/>
                <w:sz w:val="21"/>
                <w:szCs w:val="21"/>
              </w:rPr>
              <w:t>《商用燃气灶具能效限定值及能</w:t>
            </w:r>
            <w:r>
              <w:rPr>
                <w:rFonts w:hint="default" w:ascii="Arial" w:hAnsi="Arial" w:cs="Arial"/>
                <w:spacing w:val="2"/>
                <w:sz w:val="21"/>
                <w:szCs w:val="21"/>
              </w:rPr>
              <w:t xml:space="preserve"> </w:t>
            </w:r>
            <w:r>
              <w:rPr>
                <w:rFonts w:hint="default" w:ascii="Arial" w:hAnsi="Arial" w:cs="Arial"/>
                <w:spacing w:val="6"/>
                <w:sz w:val="21"/>
                <w:szCs w:val="21"/>
              </w:rPr>
              <w:t>效等级》（</w:t>
            </w:r>
            <w:r>
              <w:rPr>
                <w:rFonts w:hint="default" w:ascii="Arial" w:hAnsi="Arial" w:cs="Arial"/>
                <w:sz w:val="21"/>
                <w:szCs w:val="21"/>
              </w:rPr>
              <w:t>GB</w:t>
            </w:r>
            <w:r>
              <w:rPr>
                <w:rFonts w:hint="default" w:ascii="Arial" w:hAnsi="Arial" w:cs="Arial"/>
                <w:spacing w:val="6"/>
                <w:sz w:val="21"/>
                <w:szCs w:val="21"/>
              </w:rPr>
              <w:t xml:space="preserve"> 30531）</w:t>
            </w:r>
          </w:p>
        </w:tc>
      </w:tr>
      <w:tr w14:paraId="1F4A8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709" w:type="dxa"/>
            <w:vMerge w:val="restart"/>
            <w:tcBorders>
              <w:bottom w:val="nil"/>
            </w:tcBorders>
            <w:vAlign w:val="top"/>
          </w:tcPr>
          <w:p w14:paraId="379A88BA">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415710B0">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1DF74F26">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73A08F9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6679BED7">
            <w:pPr>
              <w:pStyle w:val="257"/>
              <w:keepNext w:val="0"/>
              <w:keepLines w:val="0"/>
              <w:pageBreakBefore w:val="0"/>
              <w:widowControl w:val="0"/>
              <w:kinsoku/>
              <w:wordWrap/>
              <w:overflowPunct/>
              <w:topLinePunct w:val="0"/>
              <w:autoSpaceDE/>
              <w:autoSpaceDN/>
              <w:bidi w:val="0"/>
              <w:adjustRightInd/>
              <w:spacing w:before="62" w:line="288" w:lineRule="auto"/>
              <w:ind w:left="209"/>
              <w:textAlignment w:val="auto"/>
              <w:rPr>
                <w:rFonts w:hint="default" w:ascii="Arial" w:hAnsi="Arial" w:cs="Arial"/>
                <w:sz w:val="21"/>
                <w:szCs w:val="21"/>
              </w:rPr>
            </w:pPr>
            <w:r>
              <w:rPr>
                <w:rFonts w:hint="default" w:ascii="Arial" w:hAnsi="Arial" w:cs="Arial"/>
                <w:spacing w:val="-7"/>
                <w:position w:val="1"/>
                <w:sz w:val="21"/>
                <w:szCs w:val="21"/>
              </w:rPr>
              <w:t>15</w:t>
            </w:r>
          </w:p>
        </w:tc>
        <w:tc>
          <w:tcPr>
            <w:tcW w:w="1064" w:type="dxa"/>
            <w:vMerge w:val="restart"/>
            <w:tcBorders>
              <w:bottom w:val="nil"/>
            </w:tcBorders>
            <w:vAlign w:val="top"/>
          </w:tcPr>
          <w:p w14:paraId="3C83F98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33D15EF4">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556E7C5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2C86B078">
            <w:pPr>
              <w:pStyle w:val="257"/>
              <w:keepNext w:val="0"/>
              <w:keepLines w:val="0"/>
              <w:pageBreakBefore w:val="0"/>
              <w:widowControl w:val="0"/>
              <w:kinsoku/>
              <w:wordWrap/>
              <w:overflowPunct/>
              <w:topLinePunct w:val="0"/>
              <w:autoSpaceDE/>
              <w:autoSpaceDN/>
              <w:bidi w:val="0"/>
              <w:adjustRightInd/>
              <w:spacing w:before="62" w:line="288" w:lineRule="auto"/>
              <w:ind w:left="15" w:right="8" w:firstLine="3"/>
              <w:textAlignment w:val="auto"/>
              <w:rPr>
                <w:rFonts w:hint="default" w:ascii="Arial" w:hAnsi="Arial" w:cs="Arial"/>
                <w:sz w:val="21"/>
                <w:szCs w:val="21"/>
              </w:rPr>
            </w:pPr>
            <w:r>
              <w:rPr>
                <w:rFonts w:hint="default" w:ascii="Arial" w:hAnsi="Arial" w:cs="Arial"/>
                <w:spacing w:val="3"/>
                <w:sz w:val="21"/>
                <w:szCs w:val="21"/>
              </w:rPr>
              <w:t>★A060805</w:t>
            </w:r>
            <w:r>
              <w:rPr>
                <w:rFonts w:hint="default" w:ascii="Arial" w:hAnsi="Arial" w:cs="Arial"/>
                <w:spacing w:val="-35"/>
                <w:sz w:val="21"/>
                <w:szCs w:val="21"/>
              </w:rPr>
              <w:t xml:space="preserve"> </w:t>
            </w:r>
            <w:r>
              <w:rPr>
                <w:rFonts w:hint="default" w:ascii="Arial" w:hAnsi="Arial" w:cs="Arial"/>
                <w:spacing w:val="3"/>
                <w:sz w:val="21"/>
                <w:szCs w:val="21"/>
              </w:rPr>
              <w:t>便</w:t>
            </w:r>
            <w:r>
              <w:rPr>
                <w:rFonts w:hint="default" w:ascii="Arial" w:hAnsi="Arial" w:cs="Arial"/>
                <w:sz w:val="21"/>
                <w:szCs w:val="21"/>
              </w:rPr>
              <w:t xml:space="preserve"> </w:t>
            </w:r>
            <w:r>
              <w:rPr>
                <w:rFonts w:hint="default" w:ascii="Arial" w:hAnsi="Arial" w:cs="Arial"/>
                <w:spacing w:val="1"/>
                <w:sz w:val="21"/>
                <w:szCs w:val="21"/>
              </w:rPr>
              <w:t>器</w:t>
            </w:r>
          </w:p>
        </w:tc>
        <w:tc>
          <w:tcPr>
            <w:tcW w:w="1854" w:type="dxa"/>
            <w:vAlign w:val="top"/>
          </w:tcPr>
          <w:p w14:paraId="69264CCD">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75C4A866">
            <w:pPr>
              <w:pStyle w:val="257"/>
              <w:keepNext w:val="0"/>
              <w:keepLines w:val="0"/>
              <w:pageBreakBefore w:val="0"/>
              <w:widowControl w:val="0"/>
              <w:kinsoku/>
              <w:wordWrap/>
              <w:overflowPunct/>
              <w:topLinePunct w:val="0"/>
              <w:autoSpaceDE/>
              <w:autoSpaceDN/>
              <w:bidi w:val="0"/>
              <w:adjustRightInd/>
              <w:spacing w:before="62" w:line="288" w:lineRule="auto"/>
              <w:ind w:left="16"/>
              <w:textAlignment w:val="auto"/>
              <w:rPr>
                <w:rFonts w:hint="default" w:ascii="Arial" w:hAnsi="Arial" w:cs="Arial"/>
                <w:sz w:val="21"/>
                <w:szCs w:val="21"/>
              </w:rPr>
            </w:pPr>
            <w:r>
              <w:rPr>
                <w:rFonts w:hint="default" w:ascii="Arial" w:hAnsi="Arial" w:cs="Arial"/>
                <w:spacing w:val="6"/>
                <w:sz w:val="21"/>
                <w:szCs w:val="21"/>
              </w:rPr>
              <w:t>坐便器</w:t>
            </w:r>
          </w:p>
        </w:tc>
        <w:tc>
          <w:tcPr>
            <w:tcW w:w="1964" w:type="dxa"/>
            <w:vAlign w:val="top"/>
          </w:tcPr>
          <w:p w14:paraId="06D6FE26">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3586" w:type="dxa"/>
            <w:vAlign w:val="top"/>
          </w:tcPr>
          <w:p w14:paraId="550503C2">
            <w:pPr>
              <w:pStyle w:val="257"/>
              <w:keepNext w:val="0"/>
              <w:keepLines w:val="0"/>
              <w:pageBreakBefore w:val="0"/>
              <w:widowControl w:val="0"/>
              <w:kinsoku/>
              <w:wordWrap/>
              <w:overflowPunct/>
              <w:topLinePunct w:val="0"/>
              <w:autoSpaceDE/>
              <w:autoSpaceDN/>
              <w:bidi w:val="0"/>
              <w:adjustRightInd/>
              <w:spacing w:before="189" w:line="288" w:lineRule="auto"/>
              <w:ind w:left="27" w:hanging="4"/>
              <w:textAlignment w:val="auto"/>
              <w:rPr>
                <w:rFonts w:hint="default" w:ascii="Arial" w:hAnsi="Arial" w:cs="Arial"/>
                <w:sz w:val="21"/>
                <w:szCs w:val="21"/>
              </w:rPr>
            </w:pPr>
            <w:r>
              <w:rPr>
                <w:rFonts w:hint="default" w:ascii="Arial" w:hAnsi="Arial" w:cs="Arial"/>
                <w:spacing w:val="6"/>
                <w:sz w:val="21"/>
                <w:szCs w:val="21"/>
              </w:rPr>
              <w:t>《坐便器水效限定值及水效等级》</w:t>
            </w:r>
            <w:r>
              <w:rPr>
                <w:rFonts w:hint="default" w:ascii="Arial" w:hAnsi="Arial" w:cs="Arial"/>
                <w:sz w:val="21"/>
                <w:szCs w:val="21"/>
              </w:rPr>
              <w:t xml:space="preserve"> </w:t>
            </w:r>
            <w:r>
              <w:rPr>
                <w:rFonts w:hint="default" w:ascii="Arial" w:hAnsi="Arial" w:cs="Arial"/>
                <w:spacing w:val="1"/>
                <w:sz w:val="21"/>
                <w:szCs w:val="21"/>
              </w:rPr>
              <w:t>（</w:t>
            </w:r>
            <w:r>
              <w:rPr>
                <w:rFonts w:hint="default" w:ascii="Arial" w:hAnsi="Arial" w:cs="Arial"/>
                <w:sz w:val="21"/>
                <w:szCs w:val="21"/>
              </w:rPr>
              <w:t>GB</w:t>
            </w:r>
            <w:r>
              <w:rPr>
                <w:rFonts w:hint="default" w:ascii="Arial" w:hAnsi="Arial" w:cs="Arial"/>
                <w:spacing w:val="15"/>
                <w:sz w:val="21"/>
                <w:szCs w:val="21"/>
              </w:rPr>
              <w:t xml:space="preserve"> </w:t>
            </w:r>
            <w:r>
              <w:rPr>
                <w:rFonts w:hint="default" w:ascii="Arial" w:hAnsi="Arial" w:cs="Arial"/>
                <w:spacing w:val="1"/>
                <w:sz w:val="21"/>
                <w:szCs w:val="21"/>
              </w:rPr>
              <w:t>25502）</w:t>
            </w:r>
          </w:p>
        </w:tc>
      </w:tr>
      <w:tr w14:paraId="6FC46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709" w:type="dxa"/>
            <w:vMerge w:val="continue"/>
            <w:tcBorders>
              <w:top w:val="nil"/>
              <w:bottom w:val="nil"/>
            </w:tcBorders>
            <w:vAlign w:val="top"/>
          </w:tcPr>
          <w:p w14:paraId="0774E33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064" w:type="dxa"/>
            <w:vMerge w:val="continue"/>
            <w:tcBorders>
              <w:top w:val="nil"/>
              <w:bottom w:val="nil"/>
            </w:tcBorders>
            <w:vAlign w:val="top"/>
          </w:tcPr>
          <w:p w14:paraId="47573F4F">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854" w:type="dxa"/>
            <w:vAlign w:val="top"/>
          </w:tcPr>
          <w:p w14:paraId="27ADEF01">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002A8B1C">
            <w:pPr>
              <w:pStyle w:val="257"/>
              <w:keepNext w:val="0"/>
              <w:keepLines w:val="0"/>
              <w:pageBreakBefore w:val="0"/>
              <w:widowControl w:val="0"/>
              <w:kinsoku/>
              <w:wordWrap/>
              <w:overflowPunct/>
              <w:topLinePunct w:val="0"/>
              <w:autoSpaceDE/>
              <w:autoSpaceDN/>
              <w:bidi w:val="0"/>
              <w:adjustRightInd/>
              <w:spacing w:before="62" w:line="288" w:lineRule="auto"/>
              <w:ind w:left="14"/>
              <w:textAlignment w:val="auto"/>
              <w:rPr>
                <w:rFonts w:hint="default" w:ascii="Arial" w:hAnsi="Arial" w:cs="Arial"/>
                <w:sz w:val="21"/>
                <w:szCs w:val="21"/>
              </w:rPr>
            </w:pPr>
            <w:r>
              <w:rPr>
                <w:rFonts w:hint="default" w:ascii="Arial" w:hAnsi="Arial" w:cs="Arial"/>
                <w:spacing w:val="6"/>
                <w:sz w:val="21"/>
                <w:szCs w:val="21"/>
              </w:rPr>
              <w:t>蹲便器</w:t>
            </w:r>
          </w:p>
        </w:tc>
        <w:tc>
          <w:tcPr>
            <w:tcW w:w="1964" w:type="dxa"/>
            <w:vAlign w:val="top"/>
          </w:tcPr>
          <w:p w14:paraId="155CD212">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3586" w:type="dxa"/>
            <w:vAlign w:val="top"/>
          </w:tcPr>
          <w:p w14:paraId="33F60332">
            <w:pPr>
              <w:pStyle w:val="257"/>
              <w:keepNext w:val="0"/>
              <w:keepLines w:val="0"/>
              <w:pageBreakBefore w:val="0"/>
              <w:widowControl w:val="0"/>
              <w:kinsoku/>
              <w:wordWrap/>
              <w:overflowPunct/>
              <w:topLinePunct w:val="0"/>
              <w:autoSpaceDE/>
              <w:autoSpaceDN/>
              <w:bidi w:val="0"/>
              <w:adjustRightInd/>
              <w:spacing w:before="191" w:line="288" w:lineRule="auto"/>
              <w:ind w:left="22" w:right="11"/>
              <w:textAlignment w:val="auto"/>
              <w:rPr>
                <w:rFonts w:hint="default" w:ascii="Arial" w:hAnsi="Arial" w:cs="Arial"/>
                <w:sz w:val="21"/>
                <w:szCs w:val="21"/>
              </w:rPr>
            </w:pPr>
            <w:r>
              <w:rPr>
                <w:rFonts w:hint="default" w:ascii="Arial" w:hAnsi="Arial" w:cs="Arial"/>
                <w:spacing w:val="19"/>
                <w:sz w:val="21"/>
                <w:szCs w:val="21"/>
              </w:rPr>
              <w:t>《蹲便器用水效率限定值及用水</w:t>
            </w:r>
            <w:r>
              <w:rPr>
                <w:rFonts w:hint="default" w:ascii="Arial" w:hAnsi="Arial" w:cs="Arial"/>
                <w:spacing w:val="2"/>
                <w:sz w:val="21"/>
                <w:szCs w:val="21"/>
              </w:rPr>
              <w:t xml:space="preserve"> </w:t>
            </w:r>
            <w:r>
              <w:rPr>
                <w:rFonts w:hint="default" w:ascii="Arial" w:hAnsi="Arial" w:cs="Arial"/>
                <w:spacing w:val="6"/>
                <w:sz w:val="21"/>
                <w:szCs w:val="21"/>
              </w:rPr>
              <w:t>效率等级》（</w:t>
            </w:r>
            <w:r>
              <w:rPr>
                <w:rFonts w:hint="default" w:ascii="Arial" w:hAnsi="Arial" w:cs="Arial"/>
                <w:sz w:val="21"/>
                <w:szCs w:val="21"/>
              </w:rPr>
              <w:t>GB</w:t>
            </w:r>
            <w:r>
              <w:rPr>
                <w:rFonts w:hint="default" w:ascii="Arial" w:hAnsi="Arial" w:cs="Arial"/>
                <w:spacing w:val="6"/>
                <w:sz w:val="21"/>
                <w:szCs w:val="21"/>
              </w:rPr>
              <w:t xml:space="preserve"> 30717）</w:t>
            </w:r>
          </w:p>
        </w:tc>
      </w:tr>
      <w:tr w14:paraId="01E4D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8" w:hRule="atLeast"/>
        </w:trPr>
        <w:tc>
          <w:tcPr>
            <w:tcW w:w="709" w:type="dxa"/>
            <w:vMerge w:val="continue"/>
            <w:tcBorders>
              <w:top w:val="nil"/>
            </w:tcBorders>
            <w:vAlign w:val="top"/>
          </w:tcPr>
          <w:p w14:paraId="1DECC5AB">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064" w:type="dxa"/>
            <w:vMerge w:val="continue"/>
            <w:tcBorders>
              <w:top w:val="nil"/>
            </w:tcBorders>
            <w:vAlign w:val="top"/>
          </w:tcPr>
          <w:p w14:paraId="0B15BC4C">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854" w:type="dxa"/>
            <w:vAlign w:val="top"/>
          </w:tcPr>
          <w:p w14:paraId="0C655CC8">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2EADDFBF">
            <w:pPr>
              <w:pStyle w:val="257"/>
              <w:keepNext w:val="0"/>
              <w:keepLines w:val="0"/>
              <w:pageBreakBefore w:val="0"/>
              <w:widowControl w:val="0"/>
              <w:kinsoku/>
              <w:wordWrap/>
              <w:overflowPunct/>
              <w:topLinePunct w:val="0"/>
              <w:autoSpaceDE/>
              <w:autoSpaceDN/>
              <w:bidi w:val="0"/>
              <w:adjustRightInd/>
              <w:spacing w:before="61" w:line="288" w:lineRule="auto"/>
              <w:ind w:left="20"/>
              <w:textAlignment w:val="auto"/>
              <w:rPr>
                <w:rFonts w:hint="default" w:ascii="Arial" w:hAnsi="Arial" w:cs="Arial"/>
                <w:sz w:val="21"/>
                <w:szCs w:val="21"/>
              </w:rPr>
            </w:pPr>
            <w:r>
              <w:rPr>
                <w:rFonts w:hint="default" w:ascii="Arial" w:hAnsi="Arial" w:cs="Arial"/>
                <w:spacing w:val="4"/>
                <w:sz w:val="21"/>
                <w:szCs w:val="21"/>
              </w:rPr>
              <w:t>小便器</w:t>
            </w:r>
          </w:p>
        </w:tc>
        <w:tc>
          <w:tcPr>
            <w:tcW w:w="1964" w:type="dxa"/>
            <w:vAlign w:val="top"/>
          </w:tcPr>
          <w:p w14:paraId="026836EF">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3586" w:type="dxa"/>
            <w:vAlign w:val="top"/>
          </w:tcPr>
          <w:p w14:paraId="75C671BE">
            <w:pPr>
              <w:pStyle w:val="257"/>
              <w:keepNext w:val="0"/>
              <w:keepLines w:val="0"/>
              <w:pageBreakBefore w:val="0"/>
              <w:widowControl w:val="0"/>
              <w:kinsoku/>
              <w:wordWrap/>
              <w:overflowPunct/>
              <w:topLinePunct w:val="0"/>
              <w:autoSpaceDE/>
              <w:autoSpaceDN/>
              <w:bidi w:val="0"/>
              <w:adjustRightInd/>
              <w:spacing w:before="192" w:line="288" w:lineRule="auto"/>
              <w:ind w:left="22" w:right="11"/>
              <w:textAlignment w:val="auto"/>
              <w:rPr>
                <w:rFonts w:hint="default" w:ascii="Arial" w:hAnsi="Arial" w:cs="Arial"/>
                <w:sz w:val="21"/>
                <w:szCs w:val="21"/>
              </w:rPr>
            </w:pPr>
            <w:r>
              <w:rPr>
                <w:rFonts w:hint="default" w:ascii="Arial" w:hAnsi="Arial" w:cs="Arial"/>
                <w:spacing w:val="19"/>
                <w:sz w:val="21"/>
                <w:szCs w:val="21"/>
              </w:rPr>
              <w:t>《小便器用水效率限定值及用水</w:t>
            </w:r>
            <w:r>
              <w:rPr>
                <w:rFonts w:hint="default" w:ascii="Arial" w:hAnsi="Arial" w:cs="Arial"/>
                <w:spacing w:val="2"/>
                <w:sz w:val="21"/>
                <w:szCs w:val="21"/>
              </w:rPr>
              <w:t xml:space="preserve"> </w:t>
            </w:r>
            <w:r>
              <w:rPr>
                <w:rFonts w:hint="default" w:ascii="Arial" w:hAnsi="Arial" w:cs="Arial"/>
                <w:spacing w:val="6"/>
                <w:sz w:val="21"/>
                <w:szCs w:val="21"/>
              </w:rPr>
              <w:t>效率等级》（</w:t>
            </w:r>
            <w:r>
              <w:rPr>
                <w:rFonts w:hint="default" w:ascii="Arial" w:hAnsi="Arial" w:cs="Arial"/>
                <w:sz w:val="21"/>
                <w:szCs w:val="21"/>
              </w:rPr>
              <w:t>GB</w:t>
            </w:r>
            <w:r>
              <w:rPr>
                <w:rFonts w:hint="default" w:ascii="Arial" w:hAnsi="Arial" w:cs="Arial"/>
                <w:spacing w:val="6"/>
                <w:sz w:val="21"/>
                <w:szCs w:val="21"/>
              </w:rPr>
              <w:t xml:space="preserve"> 28377）</w:t>
            </w:r>
          </w:p>
        </w:tc>
      </w:tr>
    </w:tbl>
    <w:p w14:paraId="08876F07">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rPr>
      </w:pPr>
    </w:p>
    <w:p w14:paraId="638FF41C">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eastAsia="Arial" w:cs="Arial"/>
          <w:sz w:val="21"/>
          <w:szCs w:val="21"/>
        </w:rPr>
        <w:sectPr>
          <w:pgSz w:w="11906" w:h="16838"/>
          <w:pgMar w:top="1431" w:right="1691" w:bottom="1134" w:left="1783" w:header="850" w:footer="992" w:gutter="0"/>
          <w:pgBorders>
            <w:top w:val="none" w:sz="0" w:space="0"/>
            <w:left w:val="none" w:sz="0" w:space="0"/>
            <w:bottom w:val="none" w:sz="0" w:space="0"/>
            <w:right w:val="none" w:sz="0" w:space="0"/>
          </w:pgBorders>
          <w:cols w:space="720" w:num="1"/>
        </w:sectPr>
      </w:pPr>
    </w:p>
    <w:p w14:paraId="65F2A7F9">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
        </w:rPr>
      </w:pPr>
    </w:p>
    <w:tbl>
      <w:tblPr>
        <w:tblStyle w:val="258"/>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701D4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578" w:type="dxa"/>
            <w:vAlign w:val="top"/>
          </w:tcPr>
          <w:p w14:paraId="2F24B47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530FAF58">
            <w:pPr>
              <w:pStyle w:val="257"/>
              <w:keepNext w:val="0"/>
              <w:keepLines w:val="0"/>
              <w:pageBreakBefore w:val="0"/>
              <w:widowControl w:val="0"/>
              <w:kinsoku/>
              <w:wordWrap/>
              <w:overflowPunct/>
              <w:topLinePunct w:val="0"/>
              <w:autoSpaceDE/>
              <w:autoSpaceDN/>
              <w:bidi w:val="0"/>
              <w:adjustRightInd/>
              <w:spacing w:before="61" w:line="288" w:lineRule="auto"/>
              <w:ind w:left="209"/>
              <w:textAlignment w:val="auto"/>
              <w:rPr>
                <w:rFonts w:hint="default" w:ascii="Arial" w:hAnsi="Arial" w:cs="Arial"/>
                <w:sz w:val="21"/>
                <w:szCs w:val="21"/>
              </w:rPr>
            </w:pPr>
            <w:r>
              <w:rPr>
                <w:rFonts w:hint="default" w:ascii="Arial" w:hAnsi="Arial" w:cs="Arial"/>
                <w:spacing w:val="-7"/>
                <w:position w:val="1"/>
                <w:sz w:val="21"/>
                <w:szCs w:val="21"/>
              </w:rPr>
              <w:t>16</w:t>
            </w:r>
          </w:p>
        </w:tc>
        <w:tc>
          <w:tcPr>
            <w:tcW w:w="1166" w:type="dxa"/>
            <w:vAlign w:val="top"/>
          </w:tcPr>
          <w:p w14:paraId="2A464D7B">
            <w:pPr>
              <w:pStyle w:val="257"/>
              <w:keepNext w:val="0"/>
              <w:keepLines w:val="0"/>
              <w:pageBreakBefore w:val="0"/>
              <w:widowControl w:val="0"/>
              <w:kinsoku/>
              <w:wordWrap/>
              <w:overflowPunct/>
              <w:topLinePunct w:val="0"/>
              <w:autoSpaceDE/>
              <w:autoSpaceDN/>
              <w:bidi w:val="0"/>
              <w:adjustRightInd/>
              <w:spacing w:before="220" w:line="288" w:lineRule="auto"/>
              <w:ind w:left="22" w:right="8" w:hanging="4"/>
              <w:textAlignment w:val="auto"/>
              <w:rPr>
                <w:rFonts w:hint="default" w:ascii="Arial" w:hAnsi="Arial" w:cs="Arial"/>
                <w:sz w:val="21"/>
                <w:szCs w:val="21"/>
              </w:rPr>
            </w:pPr>
            <w:r>
              <w:rPr>
                <w:rFonts w:hint="default" w:ascii="Arial" w:hAnsi="Arial" w:cs="Arial"/>
                <w:spacing w:val="3"/>
                <w:sz w:val="21"/>
                <w:szCs w:val="21"/>
              </w:rPr>
              <w:t>★A060806</w:t>
            </w:r>
            <w:r>
              <w:rPr>
                <w:rFonts w:hint="default" w:ascii="Arial" w:hAnsi="Arial" w:cs="Arial"/>
                <w:spacing w:val="-35"/>
                <w:sz w:val="21"/>
                <w:szCs w:val="21"/>
              </w:rPr>
              <w:t xml:space="preserve"> </w:t>
            </w:r>
            <w:r>
              <w:rPr>
                <w:rFonts w:hint="default" w:ascii="Arial" w:hAnsi="Arial" w:cs="Arial"/>
                <w:spacing w:val="3"/>
                <w:sz w:val="21"/>
                <w:szCs w:val="21"/>
              </w:rPr>
              <w:t>水</w:t>
            </w:r>
            <w:r>
              <w:rPr>
                <w:rFonts w:hint="default" w:ascii="Arial" w:hAnsi="Arial" w:cs="Arial"/>
                <w:sz w:val="21"/>
                <w:szCs w:val="21"/>
              </w:rPr>
              <w:t xml:space="preserve"> 嘴</w:t>
            </w:r>
          </w:p>
        </w:tc>
        <w:tc>
          <w:tcPr>
            <w:tcW w:w="1799" w:type="dxa"/>
            <w:vAlign w:val="top"/>
          </w:tcPr>
          <w:p w14:paraId="7CE072FE">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914" w:type="dxa"/>
            <w:vAlign w:val="top"/>
          </w:tcPr>
          <w:p w14:paraId="7A575F13">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2969" w:type="dxa"/>
            <w:vAlign w:val="top"/>
          </w:tcPr>
          <w:p w14:paraId="3BFC4085">
            <w:pPr>
              <w:pStyle w:val="257"/>
              <w:keepNext w:val="0"/>
              <w:keepLines w:val="0"/>
              <w:pageBreakBefore w:val="0"/>
              <w:widowControl w:val="0"/>
              <w:kinsoku/>
              <w:wordWrap/>
              <w:overflowPunct/>
              <w:topLinePunct w:val="0"/>
              <w:autoSpaceDE/>
              <w:autoSpaceDN/>
              <w:bidi w:val="0"/>
              <w:adjustRightInd/>
              <w:spacing w:before="220" w:line="288" w:lineRule="auto"/>
              <w:ind w:left="19" w:right="11" w:firstLine="3"/>
              <w:textAlignment w:val="auto"/>
              <w:rPr>
                <w:rFonts w:hint="default" w:ascii="Arial" w:hAnsi="Arial" w:cs="Arial"/>
                <w:sz w:val="21"/>
                <w:szCs w:val="21"/>
              </w:rPr>
            </w:pPr>
            <w:r>
              <w:rPr>
                <w:rFonts w:hint="default" w:ascii="Arial" w:hAnsi="Arial" w:cs="Arial"/>
                <w:spacing w:val="19"/>
                <w:sz w:val="21"/>
                <w:szCs w:val="21"/>
              </w:rPr>
              <w:t>《水嘴用水效率限定值及用水效</w:t>
            </w:r>
            <w:r>
              <w:rPr>
                <w:rFonts w:hint="default" w:ascii="Arial" w:hAnsi="Arial" w:cs="Arial"/>
                <w:spacing w:val="2"/>
                <w:sz w:val="21"/>
                <w:szCs w:val="21"/>
              </w:rPr>
              <w:t xml:space="preserve"> </w:t>
            </w:r>
            <w:r>
              <w:rPr>
                <w:rFonts w:hint="default" w:ascii="Arial" w:hAnsi="Arial" w:cs="Arial"/>
                <w:spacing w:val="6"/>
                <w:sz w:val="21"/>
                <w:szCs w:val="21"/>
              </w:rPr>
              <w:t>率等级》（</w:t>
            </w:r>
            <w:r>
              <w:rPr>
                <w:rFonts w:hint="default" w:ascii="Arial" w:hAnsi="Arial" w:cs="Arial"/>
                <w:sz w:val="21"/>
                <w:szCs w:val="21"/>
              </w:rPr>
              <w:t>GB</w:t>
            </w:r>
            <w:r>
              <w:rPr>
                <w:rFonts w:hint="default" w:ascii="Arial" w:hAnsi="Arial" w:cs="Arial"/>
                <w:spacing w:val="6"/>
                <w:sz w:val="21"/>
                <w:szCs w:val="21"/>
              </w:rPr>
              <w:t xml:space="preserve"> 25501）</w:t>
            </w:r>
          </w:p>
        </w:tc>
      </w:tr>
      <w:tr w14:paraId="0E678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578" w:type="dxa"/>
            <w:vAlign w:val="top"/>
          </w:tcPr>
          <w:p w14:paraId="1E1F548C">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7D2FA1D8">
            <w:pPr>
              <w:pStyle w:val="257"/>
              <w:keepNext w:val="0"/>
              <w:keepLines w:val="0"/>
              <w:pageBreakBefore w:val="0"/>
              <w:widowControl w:val="0"/>
              <w:kinsoku/>
              <w:wordWrap/>
              <w:overflowPunct/>
              <w:topLinePunct w:val="0"/>
              <w:autoSpaceDE/>
              <w:autoSpaceDN/>
              <w:bidi w:val="0"/>
              <w:adjustRightInd/>
              <w:spacing w:before="62" w:line="288" w:lineRule="auto"/>
              <w:ind w:left="209"/>
              <w:textAlignment w:val="auto"/>
              <w:rPr>
                <w:rFonts w:hint="default" w:ascii="Arial" w:hAnsi="Arial" w:cs="Arial"/>
                <w:sz w:val="21"/>
                <w:szCs w:val="21"/>
              </w:rPr>
            </w:pPr>
            <w:r>
              <w:rPr>
                <w:rFonts w:hint="default" w:ascii="Arial" w:hAnsi="Arial" w:cs="Arial"/>
                <w:spacing w:val="-7"/>
                <w:position w:val="1"/>
                <w:sz w:val="21"/>
                <w:szCs w:val="21"/>
              </w:rPr>
              <w:t>17</w:t>
            </w:r>
          </w:p>
        </w:tc>
        <w:tc>
          <w:tcPr>
            <w:tcW w:w="1166" w:type="dxa"/>
            <w:vAlign w:val="top"/>
          </w:tcPr>
          <w:p w14:paraId="54053D7A">
            <w:pPr>
              <w:pStyle w:val="257"/>
              <w:keepNext w:val="0"/>
              <w:keepLines w:val="0"/>
              <w:pageBreakBefore w:val="0"/>
              <w:widowControl w:val="0"/>
              <w:kinsoku/>
              <w:wordWrap/>
              <w:overflowPunct/>
              <w:topLinePunct w:val="0"/>
              <w:autoSpaceDE/>
              <w:autoSpaceDN/>
              <w:bidi w:val="0"/>
              <w:adjustRightInd/>
              <w:spacing w:before="176" w:line="288" w:lineRule="auto"/>
              <w:ind w:left="15" w:right="8" w:hanging="6"/>
              <w:textAlignment w:val="auto"/>
              <w:rPr>
                <w:rFonts w:hint="default" w:ascii="Arial" w:hAnsi="Arial" w:cs="Arial"/>
                <w:sz w:val="21"/>
                <w:szCs w:val="21"/>
              </w:rPr>
            </w:pPr>
            <w:r>
              <w:rPr>
                <w:rFonts w:hint="default" w:ascii="Arial" w:hAnsi="Arial" w:cs="Arial"/>
                <w:spacing w:val="5"/>
                <w:sz w:val="21"/>
                <w:szCs w:val="21"/>
              </w:rPr>
              <w:t>A060807</w:t>
            </w:r>
            <w:r>
              <w:rPr>
                <w:rFonts w:hint="default" w:ascii="Arial" w:hAnsi="Arial" w:cs="Arial"/>
                <w:spacing w:val="-43"/>
                <w:sz w:val="21"/>
                <w:szCs w:val="21"/>
              </w:rPr>
              <w:t xml:space="preserve"> </w:t>
            </w:r>
            <w:r>
              <w:rPr>
                <w:rFonts w:hint="default" w:ascii="Arial" w:hAnsi="Arial" w:cs="Arial"/>
                <w:spacing w:val="5"/>
                <w:sz w:val="21"/>
                <w:szCs w:val="21"/>
              </w:rPr>
              <w:t>便器</w:t>
            </w:r>
            <w:r>
              <w:rPr>
                <w:rFonts w:hint="default" w:ascii="Arial" w:hAnsi="Arial" w:cs="Arial"/>
                <w:sz w:val="21"/>
                <w:szCs w:val="21"/>
              </w:rPr>
              <w:t xml:space="preserve"> </w:t>
            </w:r>
            <w:r>
              <w:rPr>
                <w:rFonts w:hint="default" w:ascii="Arial" w:hAnsi="Arial" w:cs="Arial"/>
                <w:spacing w:val="6"/>
                <w:sz w:val="21"/>
                <w:szCs w:val="21"/>
              </w:rPr>
              <w:t>冲洗阀</w:t>
            </w:r>
          </w:p>
        </w:tc>
        <w:tc>
          <w:tcPr>
            <w:tcW w:w="1799" w:type="dxa"/>
            <w:vAlign w:val="top"/>
          </w:tcPr>
          <w:p w14:paraId="186AD530">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914" w:type="dxa"/>
            <w:vAlign w:val="top"/>
          </w:tcPr>
          <w:p w14:paraId="7C785CB7">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2969" w:type="dxa"/>
            <w:vAlign w:val="top"/>
          </w:tcPr>
          <w:p w14:paraId="1FA131D8">
            <w:pPr>
              <w:pStyle w:val="257"/>
              <w:keepNext w:val="0"/>
              <w:keepLines w:val="0"/>
              <w:pageBreakBefore w:val="0"/>
              <w:widowControl w:val="0"/>
              <w:kinsoku/>
              <w:wordWrap/>
              <w:overflowPunct/>
              <w:topLinePunct w:val="0"/>
              <w:autoSpaceDE/>
              <w:autoSpaceDN/>
              <w:bidi w:val="0"/>
              <w:adjustRightInd/>
              <w:spacing w:before="177" w:line="288" w:lineRule="auto"/>
              <w:ind w:left="19" w:right="11" w:firstLine="3"/>
              <w:textAlignment w:val="auto"/>
              <w:rPr>
                <w:rFonts w:hint="default" w:ascii="Arial" w:hAnsi="Arial" w:cs="Arial"/>
                <w:sz w:val="21"/>
                <w:szCs w:val="21"/>
              </w:rPr>
            </w:pPr>
            <w:r>
              <w:rPr>
                <w:rFonts w:hint="default" w:ascii="Arial" w:hAnsi="Arial" w:cs="Arial"/>
                <w:spacing w:val="19"/>
                <w:sz w:val="21"/>
                <w:szCs w:val="21"/>
              </w:rPr>
              <w:t>《便器冲洗阀用水效率限定值及</w:t>
            </w:r>
            <w:r>
              <w:rPr>
                <w:rFonts w:hint="default" w:ascii="Arial" w:hAnsi="Arial" w:cs="Arial"/>
                <w:spacing w:val="2"/>
                <w:sz w:val="21"/>
                <w:szCs w:val="21"/>
              </w:rPr>
              <w:t xml:space="preserve"> </w:t>
            </w:r>
            <w:r>
              <w:rPr>
                <w:rFonts w:hint="default" w:ascii="Arial" w:hAnsi="Arial" w:cs="Arial"/>
                <w:spacing w:val="7"/>
                <w:sz w:val="21"/>
                <w:szCs w:val="21"/>
              </w:rPr>
              <w:t>用水效率等级》（</w:t>
            </w:r>
            <w:r>
              <w:rPr>
                <w:rFonts w:hint="default" w:ascii="Arial" w:hAnsi="Arial" w:cs="Arial"/>
                <w:sz w:val="21"/>
                <w:szCs w:val="21"/>
              </w:rPr>
              <w:t>GB</w:t>
            </w:r>
            <w:r>
              <w:rPr>
                <w:rFonts w:hint="default" w:ascii="Arial" w:hAnsi="Arial" w:cs="Arial"/>
                <w:spacing w:val="7"/>
                <w:sz w:val="21"/>
                <w:szCs w:val="21"/>
              </w:rPr>
              <w:t xml:space="preserve"> 28379）</w:t>
            </w:r>
          </w:p>
        </w:tc>
      </w:tr>
      <w:tr w14:paraId="25733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578" w:type="dxa"/>
            <w:vAlign w:val="top"/>
          </w:tcPr>
          <w:p w14:paraId="5E9BF0E2">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p w14:paraId="6C20F59C">
            <w:pPr>
              <w:pStyle w:val="257"/>
              <w:keepNext w:val="0"/>
              <w:keepLines w:val="0"/>
              <w:pageBreakBefore w:val="0"/>
              <w:widowControl w:val="0"/>
              <w:kinsoku/>
              <w:wordWrap/>
              <w:overflowPunct/>
              <w:topLinePunct w:val="0"/>
              <w:autoSpaceDE/>
              <w:autoSpaceDN/>
              <w:bidi w:val="0"/>
              <w:adjustRightInd/>
              <w:spacing w:before="62" w:line="288" w:lineRule="auto"/>
              <w:ind w:left="209"/>
              <w:textAlignment w:val="auto"/>
              <w:rPr>
                <w:rFonts w:hint="default" w:ascii="Arial" w:hAnsi="Arial" w:cs="Arial"/>
                <w:sz w:val="21"/>
                <w:szCs w:val="21"/>
              </w:rPr>
            </w:pPr>
            <w:r>
              <w:rPr>
                <w:rFonts w:hint="default" w:ascii="Arial" w:hAnsi="Arial" w:cs="Arial"/>
                <w:spacing w:val="-7"/>
                <w:position w:val="1"/>
                <w:sz w:val="21"/>
                <w:szCs w:val="21"/>
              </w:rPr>
              <w:t>18</w:t>
            </w:r>
          </w:p>
        </w:tc>
        <w:tc>
          <w:tcPr>
            <w:tcW w:w="1166" w:type="dxa"/>
            <w:vAlign w:val="top"/>
          </w:tcPr>
          <w:p w14:paraId="6479A66C">
            <w:pPr>
              <w:pStyle w:val="257"/>
              <w:keepNext w:val="0"/>
              <w:keepLines w:val="0"/>
              <w:pageBreakBefore w:val="0"/>
              <w:widowControl w:val="0"/>
              <w:kinsoku/>
              <w:wordWrap/>
              <w:overflowPunct/>
              <w:topLinePunct w:val="0"/>
              <w:autoSpaceDE/>
              <w:autoSpaceDN/>
              <w:bidi w:val="0"/>
              <w:adjustRightInd/>
              <w:spacing w:before="196" w:line="288" w:lineRule="auto"/>
              <w:ind w:left="15" w:right="8" w:hanging="6"/>
              <w:textAlignment w:val="auto"/>
              <w:rPr>
                <w:rFonts w:hint="default" w:ascii="Arial" w:hAnsi="Arial" w:cs="Arial"/>
                <w:sz w:val="21"/>
                <w:szCs w:val="21"/>
              </w:rPr>
            </w:pPr>
            <w:r>
              <w:rPr>
                <w:rFonts w:hint="default" w:ascii="Arial" w:hAnsi="Arial" w:cs="Arial"/>
                <w:spacing w:val="4"/>
                <w:sz w:val="21"/>
                <w:szCs w:val="21"/>
              </w:rPr>
              <w:t>A060810</w:t>
            </w:r>
            <w:r>
              <w:rPr>
                <w:rFonts w:hint="default" w:ascii="Arial" w:hAnsi="Arial" w:cs="Arial"/>
                <w:spacing w:val="-34"/>
                <w:sz w:val="21"/>
                <w:szCs w:val="21"/>
              </w:rPr>
              <w:t xml:space="preserve"> </w:t>
            </w:r>
            <w:r>
              <w:rPr>
                <w:rFonts w:hint="default" w:ascii="Arial" w:hAnsi="Arial" w:cs="Arial"/>
                <w:spacing w:val="4"/>
                <w:sz w:val="21"/>
                <w:szCs w:val="21"/>
              </w:rPr>
              <w:t>淋浴</w:t>
            </w:r>
            <w:r>
              <w:rPr>
                <w:rFonts w:hint="default" w:ascii="Arial" w:hAnsi="Arial" w:cs="Arial"/>
                <w:sz w:val="21"/>
                <w:szCs w:val="21"/>
              </w:rPr>
              <w:t xml:space="preserve"> </w:t>
            </w:r>
            <w:r>
              <w:rPr>
                <w:rFonts w:hint="default" w:ascii="Arial" w:hAnsi="Arial" w:cs="Arial"/>
                <w:spacing w:val="1"/>
                <w:sz w:val="21"/>
                <w:szCs w:val="21"/>
              </w:rPr>
              <w:t>器</w:t>
            </w:r>
          </w:p>
        </w:tc>
        <w:tc>
          <w:tcPr>
            <w:tcW w:w="1799" w:type="dxa"/>
            <w:vAlign w:val="top"/>
          </w:tcPr>
          <w:p w14:paraId="15A8BA2D">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1914" w:type="dxa"/>
            <w:vAlign w:val="top"/>
          </w:tcPr>
          <w:p w14:paraId="1A84F050">
            <w:pPr>
              <w:keepNext w:val="0"/>
              <w:keepLines w:val="0"/>
              <w:pageBreakBefore w:val="0"/>
              <w:widowControl w:val="0"/>
              <w:kinsoku/>
              <w:wordWrap/>
              <w:overflowPunct/>
              <w:topLinePunct w:val="0"/>
              <w:autoSpaceDE/>
              <w:autoSpaceDN/>
              <w:bidi w:val="0"/>
              <w:adjustRightInd/>
              <w:spacing w:line="288" w:lineRule="auto"/>
              <w:textAlignment w:val="auto"/>
              <w:rPr>
                <w:rFonts w:hint="default" w:ascii="Arial" w:hAnsi="Arial" w:cs="Arial"/>
                <w:sz w:val="21"/>
                <w:szCs w:val="21"/>
              </w:rPr>
            </w:pPr>
          </w:p>
        </w:tc>
        <w:tc>
          <w:tcPr>
            <w:tcW w:w="2969" w:type="dxa"/>
            <w:vAlign w:val="top"/>
          </w:tcPr>
          <w:p w14:paraId="763D7EC2">
            <w:pPr>
              <w:pStyle w:val="257"/>
              <w:keepNext w:val="0"/>
              <w:keepLines w:val="0"/>
              <w:pageBreakBefore w:val="0"/>
              <w:widowControl w:val="0"/>
              <w:kinsoku/>
              <w:wordWrap/>
              <w:overflowPunct/>
              <w:topLinePunct w:val="0"/>
              <w:autoSpaceDE/>
              <w:autoSpaceDN/>
              <w:bidi w:val="0"/>
              <w:adjustRightInd/>
              <w:spacing w:before="197" w:line="288" w:lineRule="auto"/>
              <w:ind w:left="22" w:right="11"/>
              <w:textAlignment w:val="auto"/>
              <w:rPr>
                <w:rFonts w:hint="default" w:ascii="Arial" w:hAnsi="Arial" w:cs="Arial"/>
                <w:sz w:val="21"/>
                <w:szCs w:val="21"/>
              </w:rPr>
            </w:pPr>
            <w:r>
              <w:rPr>
                <w:rFonts w:hint="default" w:ascii="Arial" w:hAnsi="Arial" w:cs="Arial"/>
                <w:spacing w:val="19"/>
                <w:sz w:val="21"/>
                <w:szCs w:val="21"/>
              </w:rPr>
              <w:t>《淋浴器用水效率限定值及用水</w:t>
            </w:r>
            <w:r>
              <w:rPr>
                <w:rFonts w:hint="default" w:ascii="Arial" w:hAnsi="Arial" w:cs="Arial"/>
                <w:spacing w:val="2"/>
                <w:sz w:val="21"/>
                <w:szCs w:val="21"/>
              </w:rPr>
              <w:t xml:space="preserve"> </w:t>
            </w:r>
            <w:r>
              <w:rPr>
                <w:rFonts w:hint="default" w:ascii="Arial" w:hAnsi="Arial" w:cs="Arial"/>
                <w:spacing w:val="6"/>
                <w:sz w:val="21"/>
                <w:szCs w:val="21"/>
              </w:rPr>
              <w:t>效率等级》（</w:t>
            </w:r>
            <w:r>
              <w:rPr>
                <w:rFonts w:hint="default" w:ascii="Arial" w:hAnsi="Arial" w:cs="Arial"/>
                <w:sz w:val="21"/>
                <w:szCs w:val="21"/>
              </w:rPr>
              <w:t>GB</w:t>
            </w:r>
            <w:r>
              <w:rPr>
                <w:rFonts w:hint="default" w:ascii="Arial" w:hAnsi="Arial" w:cs="Arial"/>
                <w:spacing w:val="6"/>
                <w:sz w:val="21"/>
                <w:szCs w:val="21"/>
              </w:rPr>
              <w:t xml:space="preserve"> 28378）</w:t>
            </w:r>
          </w:p>
        </w:tc>
      </w:tr>
    </w:tbl>
    <w:p w14:paraId="514CDACB">
      <w:pPr>
        <w:keepNext w:val="0"/>
        <w:keepLines w:val="0"/>
        <w:pageBreakBefore w:val="0"/>
        <w:widowControl w:val="0"/>
        <w:kinsoku/>
        <w:wordWrap/>
        <w:overflowPunct/>
        <w:topLinePunct w:val="0"/>
        <w:autoSpaceDE/>
        <w:autoSpaceDN/>
        <w:bidi w:val="0"/>
        <w:adjustRightInd/>
        <w:spacing w:after="120" w:line="288" w:lineRule="auto"/>
        <w:textAlignment w:val="auto"/>
        <w:rPr>
          <w:rFonts w:hint="eastAsia" w:ascii="宋体" w:hAnsi="宋体" w:eastAsia="宋体"/>
          <w:szCs w:val="21"/>
          <w:lang w:eastAsia="zh-CN"/>
        </w:rPr>
      </w:pPr>
      <w:r>
        <w:rPr>
          <w:rFonts w:hint="eastAsia" w:ascii="宋体" w:hAnsi="宋体"/>
          <w:spacing w:val="-3"/>
          <w:szCs w:val="21"/>
        </w:rPr>
        <w:t>注：1.节能产品认证应依据相关国家标准的最新版本</w:t>
      </w:r>
      <w:r>
        <w:rPr>
          <w:rFonts w:hint="eastAsia" w:ascii="宋体" w:hAnsi="宋体"/>
          <w:spacing w:val="-3"/>
          <w:szCs w:val="21"/>
          <w:lang w:eastAsia="zh-CN"/>
        </w:rPr>
        <w:t>。</w:t>
      </w:r>
    </w:p>
    <w:p w14:paraId="40F4FE58">
      <w:pPr>
        <w:pStyle w:val="30"/>
        <w:keepNext w:val="0"/>
        <w:keepLines w:val="0"/>
        <w:pageBreakBefore w:val="0"/>
        <w:widowControl w:val="0"/>
        <w:kinsoku/>
        <w:wordWrap/>
        <w:overflowPunct/>
        <w:topLinePunct w:val="0"/>
        <w:autoSpaceDE/>
        <w:autoSpaceDN/>
        <w:bidi w:val="0"/>
        <w:adjustRightInd/>
        <w:snapToGrid w:val="0"/>
        <w:spacing w:before="120" w:after="120" w:line="288" w:lineRule="auto"/>
        <w:jc w:val="both"/>
        <w:textAlignment w:val="auto"/>
        <w:outlineLvl w:val="0"/>
        <w:rPr>
          <w:rFonts w:hint="eastAsia" w:ascii="宋体" w:hAnsi="宋体"/>
          <w:szCs w:val="21"/>
        </w:rPr>
      </w:pPr>
      <w:bookmarkStart w:id="96" w:name="_Toc16048"/>
      <w:r>
        <w:rPr>
          <w:rFonts w:hint="eastAsia" w:ascii="宋体" w:hAnsi="宋体"/>
          <w:szCs w:val="21"/>
        </w:rPr>
        <w:t>2.以“★”标注的为政府强制采购产品。</w:t>
      </w:r>
      <w:bookmarkEnd w:id="96"/>
    </w:p>
    <w:p w14:paraId="13383190">
      <w:pPr>
        <w:spacing w:line="528" w:lineRule="exact"/>
        <w:ind w:firstLine="210" w:firstLineChars="100"/>
        <w:jc w:val="center"/>
        <w:rPr>
          <w:rFonts w:hint="eastAsia" w:ascii="Times New Roman" w:hAnsi="Times New Roman" w:eastAsia="宋体" w:cs="Times New Roman"/>
          <w:sz w:val="28"/>
          <w:szCs w:val="28"/>
        </w:rPr>
      </w:pPr>
      <w:r>
        <w:rPr>
          <w:rFonts w:hint="eastAsia" w:ascii="宋体" w:hAnsi="宋体"/>
          <w:szCs w:val="21"/>
        </w:rPr>
        <w:br w:type="page"/>
      </w:r>
      <w:r>
        <w:rPr>
          <w:rFonts w:hint="eastAsia" w:ascii="Times New Roman" w:hAnsi="Times New Roman" w:eastAsia="宋体" w:cs="Times New Roman"/>
          <w:sz w:val="28"/>
          <w:szCs w:val="28"/>
        </w:rPr>
        <w:t>环境标志产品政府采购品目清单</w:t>
      </w:r>
    </w:p>
    <w:p w14:paraId="4AADD56D">
      <w:pPr>
        <w:rPr>
          <w:rFonts w:hint="eastAsia" w:ascii="宋体" w:hAnsi="宋体"/>
          <w:szCs w:val="21"/>
        </w:rPr>
      </w:pPr>
    </w:p>
    <w:tbl>
      <w:tblPr>
        <w:tblStyle w:val="258"/>
        <w:tblW w:w="944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542"/>
        <w:gridCol w:w="2672"/>
        <w:gridCol w:w="2248"/>
        <w:gridCol w:w="2404"/>
      </w:tblGrid>
      <w:tr w14:paraId="7148F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tcBorders>
              <w:top w:val="single" w:color="auto" w:sz="4" w:space="0"/>
              <w:left w:val="single" w:color="auto" w:sz="4" w:space="0"/>
              <w:bottom w:val="single" w:color="auto" w:sz="4" w:space="0"/>
              <w:right w:val="single" w:color="auto" w:sz="4" w:space="0"/>
            </w:tcBorders>
            <w:vAlign w:val="top"/>
          </w:tcPr>
          <w:p w14:paraId="0FAF02D6">
            <w:pPr>
              <w:pStyle w:val="257"/>
              <w:spacing w:before="70" w:line="223" w:lineRule="auto"/>
              <w:ind w:left="129"/>
              <w:rPr>
                <w:rFonts w:hint="default" w:ascii="Arial" w:hAnsi="Arial" w:eastAsia="宋体" w:cs="Arial"/>
                <w:sz w:val="21"/>
                <w:szCs w:val="21"/>
              </w:rPr>
            </w:pPr>
            <w:r>
              <w:rPr>
                <w:rFonts w:hint="default" w:ascii="Arial" w:hAnsi="Arial" w:eastAsia="宋体" w:cs="Arial"/>
                <w:b/>
                <w:bCs/>
                <w:spacing w:val="-12"/>
                <w:sz w:val="21"/>
                <w:szCs w:val="21"/>
              </w:rPr>
              <w:t>品目</w:t>
            </w:r>
          </w:p>
          <w:p w14:paraId="141F03ED">
            <w:pPr>
              <w:pStyle w:val="257"/>
              <w:spacing w:before="91" w:line="222" w:lineRule="auto"/>
              <w:ind w:left="114"/>
              <w:rPr>
                <w:rFonts w:hint="default" w:ascii="Arial" w:hAnsi="Arial" w:eastAsia="宋体" w:cs="Arial"/>
                <w:sz w:val="21"/>
                <w:szCs w:val="21"/>
              </w:rPr>
            </w:pPr>
            <w:r>
              <w:rPr>
                <w:rFonts w:hint="default" w:ascii="Arial" w:hAnsi="Arial" w:eastAsia="宋体" w:cs="Arial"/>
                <w:b/>
                <w:bCs/>
                <w:spacing w:val="-4"/>
                <w:sz w:val="21"/>
                <w:szCs w:val="21"/>
              </w:rPr>
              <w:t>序号</w:t>
            </w:r>
          </w:p>
        </w:tc>
        <w:tc>
          <w:tcPr>
            <w:tcW w:w="6462" w:type="dxa"/>
            <w:gridSpan w:val="3"/>
            <w:tcBorders>
              <w:top w:val="single" w:color="auto" w:sz="4" w:space="0"/>
              <w:left w:val="single" w:color="auto" w:sz="4" w:space="0"/>
              <w:bottom w:val="single" w:color="auto" w:sz="4" w:space="0"/>
              <w:right w:val="single" w:color="auto" w:sz="4" w:space="0"/>
            </w:tcBorders>
            <w:vAlign w:val="top"/>
          </w:tcPr>
          <w:p w14:paraId="4900C852">
            <w:pPr>
              <w:pStyle w:val="257"/>
              <w:spacing w:before="224" w:line="222" w:lineRule="auto"/>
              <w:ind w:left="3054"/>
              <w:rPr>
                <w:rFonts w:hint="default" w:ascii="Arial" w:hAnsi="Arial" w:eastAsia="宋体" w:cs="Arial"/>
                <w:sz w:val="21"/>
                <w:szCs w:val="21"/>
              </w:rPr>
            </w:pPr>
            <w:r>
              <w:rPr>
                <w:rFonts w:hint="default" w:ascii="Arial" w:hAnsi="Arial" w:eastAsia="宋体" w:cs="Arial"/>
                <w:b/>
                <w:bCs/>
                <w:spacing w:val="-6"/>
                <w:sz w:val="21"/>
                <w:szCs w:val="21"/>
              </w:rPr>
              <w:t>名称</w:t>
            </w:r>
          </w:p>
        </w:tc>
        <w:tc>
          <w:tcPr>
            <w:tcW w:w="2404" w:type="dxa"/>
            <w:tcBorders>
              <w:top w:val="single" w:color="auto" w:sz="4" w:space="0"/>
              <w:left w:val="single" w:color="auto" w:sz="4" w:space="0"/>
              <w:bottom w:val="single" w:color="auto" w:sz="4" w:space="0"/>
              <w:right w:val="single" w:color="auto" w:sz="4" w:space="0"/>
            </w:tcBorders>
            <w:vAlign w:val="top"/>
          </w:tcPr>
          <w:p w14:paraId="4AACD77E">
            <w:pPr>
              <w:pStyle w:val="257"/>
              <w:spacing w:before="224" w:line="219" w:lineRule="auto"/>
              <w:ind w:left="1325"/>
              <w:rPr>
                <w:rFonts w:hint="default" w:ascii="Arial" w:hAnsi="Arial" w:eastAsia="宋体" w:cs="Arial"/>
                <w:sz w:val="21"/>
                <w:szCs w:val="21"/>
              </w:rPr>
            </w:pPr>
            <w:r>
              <w:rPr>
                <w:rFonts w:hint="default" w:ascii="Arial" w:hAnsi="Arial" w:eastAsia="宋体" w:cs="Arial"/>
                <w:b/>
                <w:bCs/>
                <w:spacing w:val="-4"/>
                <w:sz w:val="21"/>
                <w:szCs w:val="21"/>
              </w:rPr>
              <w:t>依据的标准</w:t>
            </w:r>
          </w:p>
        </w:tc>
      </w:tr>
      <w:tr w14:paraId="10F11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1583F73B">
            <w:pPr>
              <w:pStyle w:val="257"/>
              <w:spacing w:before="66" w:line="242" w:lineRule="auto"/>
              <w:ind w:left="128"/>
              <w:rPr>
                <w:rFonts w:hint="default" w:ascii="Arial" w:hAnsi="Arial" w:eastAsia="宋体" w:cs="Arial"/>
                <w:sz w:val="21"/>
                <w:szCs w:val="21"/>
              </w:rPr>
            </w:pPr>
            <w:r>
              <w:rPr>
                <w:rFonts w:hint="default" w:ascii="Arial" w:hAnsi="Arial" w:eastAsia="宋体" w:cs="Arial"/>
                <w:sz w:val="21"/>
                <w:szCs w:val="21"/>
              </w:rPr>
              <w:t>1</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571078CD">
            <w:pPr>
              <w:pStyle w:val="257"/>
              <w:spacing w:before="65" w:line="323" w:lineRule="auto"/>
              <w:ind w:left="110" w:right="108" w:hanging="8"/>
              <w:rPr>
                <w:rFonts w:hint="default" w:ascii="Arial" w:hAnsi="Arial" w:eastAsia="宋体" w:cs="Arial"/>
                <w:sz w:val="21"/>
                <w:szCs w:val="21"/>
              </w:rPr>
            </w:pPr>
            <w:r>
              <w:rPr>
                <w:rFonts w:hint="default" w:ascii="Arial" w:hAnsi="Arial" w:eastAsia="宋体" w:cs="Arial"/>
                <w:spacing w:val="3"/>
                <w:sz w:val="21"/>
                <w:szCs w:val="21"/>
              </w:rPr>
              <w:t>A020101</w:t>
            </w:r>
            <w:r>
              <w:rPr>
                <w:rFonts w:hint="default" w:ascii="Arial" w:hAnsi="Arial" w:eastAsia="宋体" w:cs="Arial"/>
                <w:spacing w:val="34"/>
                <w:sz w:val="21"/>
                <w:szCs w:val="21"/>
              </w:rPr>
              <w:t xml:space="preserve"> </w:t>
            </w:r>
            <w:r>
              <w:rPr>
                <w:rFonts w:hint="default" w:ascii="Arial" w:hAnsi="Arial" w:eastAsia="宋体" w:cs="Arial"/>
                <w:spacing w:val="3"/>
                <w:sz w:val="21"/>
                <w:szCs w:val="21"/>
              </w:rPr>
              <w:t>计算机</w:t>
            </w:r>
            <w:r>
              <w:rPr>
                <w:rFonts w:hint="default" w:ascii="Arial" w:hAnsi="Arial" w:eastAsia="宋体" w:cs="Arial"/>
                <w:sz w:val="21"/>
                <w:szCs w:val="21"/>
              </w:rPr>
              <w:t xml:space="preserve"> </w:t>
            </w:r>
            <w:r>
              <w:rPr>
                <w:rFonts w:hint="default" w:ascii="Arial" w:hAnsi="Arial" w:eastAsia="宋体" w:cs="Arial"/>
                <w:spacing w:val="-3"/>
                <w:sz w:val="21"/>
                <w:szCs w:val="21"/>
              </w:rPr>
              <w:t>设备</w:t>
            </w:r>
          </w:p>
        </w:tc>
        <w:tc>
          <w:tcPr>
            <w:tcW w:w="2672" w:type="dxa"/>
            <w:tcBorders>
              <w:top w:val="single" w:color="auto" w:sz="4" w:space="0"/>
              <w:left w:val="single" w:color="auto" w:sz="4" w:space="0"/>
              <w:bottom w:val="single" w:color="auto" w:sz="4" w:space="0"/>
              <w:right w:val="single" w:color="auto" w:sz="4" w:space="0"/>
            </w:tcBorders>
            <w:vAlign w:val="top"/>
          </w:tcPr>
          <w:p w14:paraId="0F33466F">
            <w:pPr>
              <w:pStyle w:val="257"/>
              <w:spacing w:before="66" w:line="220" w:lineRule="auto"/>
              <w:ind w:left="103"/>
              <w:rPr>
                <w:rFonts w:hint="default" w:ascii="Arial" w:hAnsi="Arial" w:eastAsia="宋体" w:cs="Arial"/>
                <w:sz w:val="21"/>
                <w:szCs w:val="21"/>
              </w:rPr>
            </w:pPr>
            <w:r>
              <w:rPr>
                <w:rFonts w:hint="default" w:ascii="Arial" w:hAnsi="Arial" w:eastAsia="宋体" w:cs="Arial"/>
                <w:spacing w:val="-1"/>
                <w:sz w:val="21"/>
                <w:szCs w:val="21"/>
              </w:rPr>
              <w:t>A02010103</w:t>
            </w:r>
            <w:r>
              <w:rPr>
                <w:rFonts w:hint="default" w:ascii="Arial" w:hAnsi="Arial" w:eastAsia="宋体" w:cs="Arial"/>
                <w:spacing w:val="-32"/>
                <w:sz w:val="21"/>
                <w:szCs w:val="21"/>
              </w:rPr>
              <w:t xml:space="preserve"> </w:t>
            </w:r>
            <w:r>
              <w:rPr>
                <w:rFonts w:hint="default" w:ascii="Arial" w:hAnsi="Arial" w:eastAsia="宋体" w:cs="Arial"/>
                <w:spacing w:val="-1"/>
                <w:sz w:val="21"/>
                <w:szCs w:val="21"/>
              </w:rPr>
              <w:t>服务器</w:t>
            </w:r>
          </w:p>
        </w:tc>
        <w:tc>
          <w:tcPr>
            <w:tcW w:w="2248" w:type="dxa"/>
            <w:tcBorders>
              <w:top w:val="single" w:color="auto" w:sz="4" w:space="0"/>
              <w:left w:val="single" w:color="auto" w:sz="4" w:space="0"/>
              <w:bottom w:val="single" w:color="auto" w:sz="4" w:space="0"/>
              <w:right w:val="single" w:color="auto" w:sz="4" w:space="0"/>
            </w:tcBorders>
            <w:vAlign w:val="top"/>
          </w:tcPr>
          <w:p w14:paraId="2A755ED7">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21022B4E">
            <w:pPr>
              <w:pStyle w:val="257"/>
              <w:spacing w:before="66" w:line="219" w:lineRule="auto"/>
              <w:ind w:left="109"/>
              <w:rPr>
                <w:rFonts w:hint="default" w:ascii="Arial" w:hAnsi="Arial" w:eastAsia="宋体" w:cs="Arial"/>
                <w:sz w:val="21"/>
                <w:szCs w:val="21"/>
              </w:rPr>
            </w:pPr>
            <w:r>
              <w:rPr>
                <w:rFonts w:hint="default" w:ascii="Arial" w:hAnsi="Arial" w:eastAsia="宋体" w:cs="Arial"/>
                <w:spacing w:val="-2"/>
                <w:sz w:val="21"/>
                <w:szCs w:val="21"/>
              </w:rPr>
              <w:t>HJ2507</w:t>
            </w:r>
            <w:r>
              <w:rPr>
                <w:rFonts w:hint="default" w:ascii="Arial" w:hAnsi="Arial" w:eastAsia="宋体" w:cs="Arial"/>
                <w:spacing w:val="-20"/>
                <w:sz w:val="21"/>
                <w:szCs w:val="21"/>
              </w:rPr>
              <w:t xml:space="preserve"> </w:t>
            </w:r>
            <w:r>
              <w:rPr>
                <w:rFonts w:hint="default" w:ascii="Arial" w:hAnsi="Arial" w:eastAsia="宋体" w:cs="Arial"/>
                <w:spacing w:val="-2"/>
                <w:sz w:val="21"/>
                <w:szCs w:val="21"/>
              </w:rPr>
              <w:t>网络服务器</w:t>
            </w:r>
          </w:p>
        </w:tc>
      </w:tr>
      <w:tr w14:paraId="6627B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37E18E1B">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2A27DE12">
            <w:pPr>
              <w:rPr>
                <w:rFonts w:hint="default" w:ascii="Arial" w:hAnsi="Arial" w:eastAsia="宋体" w:cs="Arial"/>
                <w:sz w:val="21"/>
                <w:szCs w:val="21"/>
              </w:rPr>
            </w:pPr>
          </w:p>
        </w:tc>
        <w:tc>
          <w:tcPr>
            <w:tcW w:w="2672" w:type="dxa"/>
            <w:tcBorders>
              <w:top w:val="single" w:color="auto" w:sz="4" w:space="0"/>
              <w:left w:val="single" w:color="auto" w:sz="4" w:space="0"/>
              <w:bottom w:val="single" w:color="auto" w:sz="4" w:space="0"/>
              <w:right w:val="single" w:color="auto" w:sz="4" w:space="0"/>
            </w:tcBorders>
            <w:vAlign w:val="top"/>
          </w:tcPr>
          <w:p w14:paraId="6BC65539">
            <w:pPr>
              <w:pStyle w:val="257"/>
              <w:spacing w:before="65" w:line="219" w:lineRule="auto"/>
              <w:ind w:left="103"/>
              <w:rPr>
                <w:rFonts w:hint="default" w:ascii="Arial" w:hAnsi="Arial" w:eastAsia="宋体" w:cs="Arial"/>
                <w:sz w:val="21"/>
                <w:szCs w:val="21"/>
              </w:rPr>
            </w:pPr>
            <w:r>
              <w:rPr>
                <w:rFonts w:hint="default" w:ascii="Arial" w:hAnsi="Arial" w:eastAsia="宋体" w:cs="Arial"/>
                <w:spacing w:val="-2"/>
                <w:sz w:val="21"/>
                <w:szCs w:val="21"/>
              </w:rPr>
              <w:t>A02010104</w:t>
            </w:r>
            <w:r>
              <w:rPr>
                <w:rFonts w:hint="default" w:ascii="Arial" w:hAnsi="Arial" w:eastAsia="宋体" w:cs="Arial"/>
                <w:spacing w:val="-14"/>
                <w:sz w:val="21"/>
                <w:szCs w:val="21"/>
              </w:rPr>
              <w:t xml:space="preserve"> </w:t>
            </w:r>
            <w:r>
              <w:rPr>
                <w:rFonts w:hint="default" w:ascii="Arial" w:hAnsi="Arial" w:eastAsia="宋体" w:cs="Arial"/>
                <w:spacing w:val="-2"/>
                <w:sz w:val="21"/>
                <w:szCs w:val="21"/>
              </w:rPr>
              <w:t>台式计算机</w:t>
            </w:r>
          </w:p>
        </w:tc>
        <w:tc>
          <w:tcPr>
            <w:tcW w:w="2248" w:type="dxa"/>
            <w:tcBorders>
              <w:top w:val="single" w:color="auto" w:sz="4" w:space="0"/>
              <w:left w:val="single" w:color="auto" w:sz="4" w:space="0"/>
              <w:bottom w:val="single" w:color="auto" w:sz="4" w:space="0"/>
              <w:right w:val="single" w:color="auto" w:sz="4" w:space="0"/>
            </w:tcBorders>
            <w:vAlign w:val="top"/>
          </w:tcPr>
          <w:p w14:paraId="057A59D6">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67E13A12">
            <w:pPr>
              <w:pStyle w:val="257"/>
              <w:spacing w:before="64" w:line="219" w:lineRule="auto"/>
              <w:ind w:left="109"/>
              <w:rPr>
                <w:rFonts w:hint="default" w:ascii="Arial" w:hAnsi="Arial" w:eastAsia="宋体" w:cs="Arial"/>
                <w:sz w:val="21"/>
                <w:szCs w:val="21"/>
              </w:rPr>
            </w:pPr>
            <w:r>
              <w:rPr>
                <w:rFonts w:hint="default" w:ascii="Arial" w:hAnsi="Arial" w:eastAsia="宋体" w:cs="Arial"/>
                <w:spacing w:val="-1"/>
                <w:sz w:val="21"/>
                <w:szCs w:val="21"/>
              </w:rPr>
              <w:t>HJ2536</w:t>
            </w:r>
            <w:r>
              <w:rPr>
                <w:rFonts w:hint="default" w:ascii="Arial" w:hAnsi="Arial" w:eastAsia="宋体" w:cs="Arial"/>
                <w:spacing w:val="-28"/>
                <w:sz w:val="21"/>
                <w:szCs w:val="21"/>
              </w:rPr>
              <w:t xml:space="preserve"> </w:t>
            </w:r>
            <w:r>
              <w:rPr>
                <w:rFonts w:hint="default" w:ascii="Arial" w:hAnsi="Arial" w:eastAsia="宋体" w:cs="Arial"/>
                <w:spacing w:val="-1"/>
                <w:sz w:val="21"/>
                <w:szCs w:val="21"/>
              </w:rPr>
              <w:t>微型计算机、显示器</w:t>
            </w:r>
          </w:p>
        </w:tc>
      </w:tr>
      <w:tr w14:paraId="29F73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3CC2B9AB">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835A11A">
            <w:pPr>
              <w:rPr>
                <w:rFonts w:hint="default" w:ascii="Arial" w:hAnsi="Arial" w:eastAsia="宋体" w:cs="Arial"/>
                <w:sz w:val="21"/>
                <w:szCs w:val="21"/>
              </w:rPr>
            </w:pPr>
          </w:p>
        </w:tc>
        <w:tc>
          <w:tcPr>
            <w:tcW w:w="2672" w:type="dxa"/>
            <w:tcBorders>
              <w:top w:val="single" w:color="auto" w:sz="4" w:space="0"/>
              <w:left w:val="single" w:color="auto" w:sz="4" w:space="0"/>
              <w:bottom w:val="single" w:color="auto" w:sz="4" w:space="0"/>
              <w:right w:val="single" w:color="auto" w:sz="4" w:space="0"/>
            </w:tcBorders>
            <w:vAlign w:val="top"/>
          </w:tcPr>
          <w:p w14:paraId="2586937D">
            <w:pPr>
              <w:pStyle w:val="257"/>
              <w:spacing w:before="64" w:line="219" w:lineRule="auto"/>
              <w:ind w:left="103"/>
              <w:rPr>
                <w:rFonts w:hint="default" w:ascii="Arial" w:hAnsi="Arial" w:eastAsia="宋体" w:cs="Arial"/>
                <w:sz w:val="21"/>
                <w:szCs w:val="21"/>
              </w:rPr>
            </w:pPr>
            <w:r>
              <w:rPr>
                <w:rFonts w:hint="default" w:ascii="Arial" w:hAnsi="Arial" w:eastAsia="宋体" w:cs="Arial"/>
                <w:spacing w:val="-1"/>
                <w:sz w:val="21"/>
                <w:szCs w:val="21"/>
              </w:rPr>
              <w:t>A02010105</w:t>
            </w:r>
            <w:r>
              <w:rPr>
                <w:rFonts w:hint="default" w:ascii="Arial" w:hAnsi="Arial" w:eastAsia="宋体" w:cs="Arial"/>
                <w:spacing w:val="-30"/>
                <w:sz w:val="21"/>
                <w:szCs w:val="21"/>
              </w:rPr>
              <w:t xml:space="preserve"> </w:t>
            </w:r>
            <w:r>
              <w:rPr>
                <w:rFonts w:hint="default" w:ascii="Arial" w:hAnsi="Arial" w:eastAsia="宋体" w:cs="Arial"/>
                <w:spacing w:val="-1"/>
                <w:sz w:val="21"/>
                <w:szCs w:val="21"/>
              </w:rPr>
              <w:t>便携式计算机</w:t>
            </w:r>
          </w:p>
        </w:tc>
        <w:tc>
          <w:tcPr>
            <w:tcW w:w="2248" w:type="dxa"/>
            <w:tcBorders>
              <w:top w:val="single" w:color="auto" w:sz="4" w:space="0"/>
              <w:left w:val="single" w:color="auto" w:sz="4" w:space="0"/>
              <w:bottom w:val="single" w:color="auto" w:sz="4" w:space="0"/>
              <w:right w:val="single" w:color="auto" w:sz="4" w:space="0"/>
            </w:tcBorders>
            <w:vAlign w:val="top"/>
          </w:tcPr>
          <w:p w14:paraId="07AAF5EB">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69CFD470">
            <w:pPr>
              <w:pStyle w:val="257"/>
              <w:spacing w:before="64" w:line="219" w:lineRule="auto"/>
              <w:ind w:left="109"/>
              <w:rPr>
                <w:rFonts w:hint="default" w:ascii="Arial" w:hAnsi="Arial" w:eastAsia="宋体" w:cs="Arial"/>
                <w:sz w:val="21"/>
                <w:szCs w:val="21"/>
              </w:rPr>
            </w:pPr>
            <w:r>
              <w:rPr>
                <w:rFonts w:hint="default" w:ascii="Arial" w:hAnsi="Arial" w:eastAsia="宋体" w:cs="Arial"/>
                <w:spacing w:val="-1"/>
                <w:sz w:val="21"/>
                <w:szCs w:val="21"/>
              </w:rPr>
              <w:t>HJ2536</w:t>
            </w:r>
            <w:r>
              <w:rPr>
                <w:rFonts w:hint="default" w:ascii="Arial" w:hAnsi="Arial" w:eastAsia="宋体" w:cs="Arial"/>
                <w:spacing w:val="-28"/>
                <w:sz w:val="21"/>
                <w:szCs w:val="21"/>
              </w:rPr>
              <w:t xml:space="preserve"> </w:t>
            </w:r>
            <w:r>
              <w:rPr>
                <w:rFonts w:hint="default" w:ascii="Arial" w:hAnsi="Arial" w:eastAsia="宋体" w:cs="Arial"/>
                <w:spacing w:val="-1"/>
                <w:sz w:val="21"/>
                <w:szCs w:val="21"/>
              </w:rPr>
              <w:t>微型计算机、显示器</w:t>
            </w:r>
          </w:p>
        </w:tc>
      </w:tr>
      <w:tr w14:paraId="00AE1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5CD2D516">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87B538D">
            <w:pPr>
              <w:rPr>
                <w:rFonts w:hint="default" w:ascii="Arial" w:hAnsi="Arial" w:eastAsia="宋体" w:cs="Arial"/>
                <w:sz w:val="21"/>
                <w:szCs w:val="21"/>
              </w:rPr>
            </w:pPr>
          </w:p>
        </w:tc>
        <w:tc>
          <w:tcPr>
            <w:tcW w:w="2672" w:type="dxa"/>
            <w:tcBorders>
              <w:top w:val="single" w:color="auto" w:sz="4" w:space="0"/>
              <w:left w:val="single" w:color="auto" w:sz="4" w:space="0"/>
              <w:bottom w:val="single" w:color="auto" w:sz="4" w:space="0"/>
              <w:right w:val="single" w:color="auto" w:sz="4" w:space="0"/>
            </w:tcBorders>
            <w:vAlign w:val="top"/>
          </w:tcPr>
          <w:p w14:paraId="07A3820E">
            <w:pPr>
              <w:pStyle w:val="257"/>
              <w:spacing w:before="64" w:line="219" w:lineRule="auto"/>
              <w:ind w:left="103"/>
              <w:rPr>
                <w:rFonts w:hint="default" w:ascii="Arial" w:hAnsi="Arial" w:eastAsia="宋体" w:cs="Arial"/>
                <w:sz w:val="21"/>
                <w:szCs w:val="21"/>
              </w:rPr>
            </w:pPr>
            <w:r>
              <w:rPr>
                <w:rFonts w:hint="default" w:ascii="Arial" w:hAnsi="Arial" w:eastAsia="宋体" w:cs="Arial"/>
                <w:spacing w:val="-1"/>
                <w:sz w:val="21"/>
                <w:szCs w:val="21"/>
              </w:rPr>
              <w:t>A02010107</w:t>
            </w:r>
            <w:r>
              <w:rPr>
                <w:rFonts w:hint="default" w:ascii="Arial" w:hAnsi="Arial" w:eastAsia="宋体" w:cs="Arial"/>
                <w:spacing w:val="-28"/>
                <w:sz w:val="21"/>
                <w:szCs w:val="21"/>
              </w:rPr>
              <w:t xml:space="preserve"> </w:t>
            </w:r>
            <w:r>
              <w:rPr>
                <w:rFonts w:hint="default" w:ascii="Arial" w:hAnsi="Arial" w:eastAsia="宋体" w:cs="Arial"/>
                <w:spacing w:val="-1"/>
                <w:sz w:val="21"/>
                <w:szCs w:val="21"/>
              </w:rPr>
              <w:t>平板式微型计算机</w:t>
            </w:r>
          </w:p>
        </w:tc>
        <w:tc>
          <w:tcPr>
            <w:tcW w:w="2248" w:type="dxa"/>
            <w:tcBorders>
              <w:top w:val="single" w:color="auto" w:sz="4" w:space="0"/>
              <w:left w:val="single" w:color="auto" w:sz="4" w:space="0"/>
              <w:bottom w:val="single" w:color="auto" w:sz="4" w:space="0"/>
              <w:right w:val="single" w:color="auto" w:sz="4" w:space="0"/>
            </w:tcBorders>
            <w:vAlign w:val="top"/>
          </w:tcPr>
          <w:p w14:paraId="1B748563">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747EECB8">
            <w:pPr>
              <w:pStyle w:val="257"/>
              <w:spacing w:before="63" w:line="219" w:lineRule="auto"/>
              <w:ind w:left="109"/>
              <w:rPr>
                <w:rFonts w:hint="default" w:ascii="Arial" w:hAnsi="Arial" w:eastAsia="宋体" w:cs="Arial"/>
                <w:sz w:val="21"/>
                <w:szCs w:val="21"/>
              </w:rPr>
            </w:pPr>
            <w:r>
              <w:rPr>
                <w:rFonts w:hint="default" w:ascii="Arial" w:hAnsi="Arial" w:eastAsia="宋体" w:cs="Arial"/>
                <w:spacing w:val="-1"/>
                <w:sz w:val="21"/>
                <w:szCs w:val="21"/>
              </w:rPr>
              <w:t>HJ2536</w:t>
            </w:r>
            <w:r>
              <w:rPr>
                <w:rFonts w:hint="default" w:ascii="Arial" w:hAnsi="Arial" w:eastAsia="宋体" w:cs="Arial"/>
                <w:spacing w:val="-28"/>
                <w:sz w:val="21"/>
                <w:szCs w:val="21"/>
              </w:rPr>
              <w:t xml:space="preserve"> </w:t>
            </w:r>
            <w:r>
              <w:rPr>
                <w:rFonts w:hint="default" w:ascii="Arial" w:hAnsi="Arial" w:eastAsia="宋体" w:cs="Arial"/>
                <w:spacing w:val="-1"/>
                <w:sz w:val="21"/>
                <w:szCs w:val="21"/>
              </w:rPr>
              <w:t>微型计算机、显示器</w:t>
            </w:r>
          </w:p>
        </w:tc>
      </w:tr>
      <w:tr w14:paraId="3A7CA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7E04A968">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28AA29B5">
            <w:pPr>
              <w:rPr>
                <w:rFonts w:hint="default" w:ascii="Arial" w:hAnsi="Arial" w:eastAsia="宋体" w:cs="Arial"/>
                <w:sz w:val="21"/>
                <w:szCs w:val="21"/>
              </w:rPr>
            </w:pPr>
          </w:p>
        </w:tc>
        <w:tc>
          <w:tcPr>
            <w:tcW w:w="2672" w:type="dxa"/>
            <w:tcBorders>
              <w:top w:val="single" w:color="auto" w:sz="4" w:space="0"/>
              <w:left w:val="single" w:color="auto" w:sz="4" w:space="0"/>
              <w:bottom w:val="single" w:color="auto" w:sz="4" w:space="0"/>
              <w:right w:val="single" w:color="auto" w:sz="4" w:space="0"/>
            </w:tcBorders>
            <w:vAlign w:val="top"/>
          </w:tcPr>
          <w:p w14:paraId="672A73F4">
            <w:pPr>
              <w:pStyle w:val="257"/>
              <w:spacing w:before="65" w:line="219" w:lineRule="auto"/>
              <w:ind w:left="103"/>
              <w:rPr>
                <w:rFonts w:hint="default" w:ascii="Arial" w:hAnsi="Arial" w:eastAsia="宋体" w:cs="Arial"/>
                <w:sz w:val="21"/>
                <w:szCs w:val="21"/>
              </w:rPr>
            </w:pPr>
            <w:r>
              <w:rPr>
                <w:rFonts w:hint="default" w:ascii="Arial" w:hAnsi="Arial" w:eastAsia="宋体" w:cs="Arial"/>
                <w:spacing w:val="-2"/>
                <w:sz w:val="21"/>
                <w:szCs w:val="21"/>
              </w:rPr>
              <w:t>A02010108</w:t>
            </w:r>
            <w:r>
              <w:rPr>
                <w:rFonts w:hint="default" w:ascii="Arial" w:hAnsi="Arial" w:eastAsia="宋体" w:cs="Arial"/>
                <w:spacing w:val="32"/>
                <w:sz w:val="21"/>
                <w:szCs w:val="21"/>
              </w:rPr>
              <w:t xml:space="preserve"> </w:t>
            </w:r>
            <w:r>
              <w:rPr>
                <w:rFonts w:hint="default" w:ascii="Arial" w:hAnsi="Arial" w:eastAsia="宋体" w:cs="Arial"/>
                <w:spacing w:val="-2"/>
                <w:sz w:val="21"/>
                <w:szCs w:val="21"/>
              </w:rPr>
              <w:t>网络计算机</w:t>
            </w:r>
          </w:p>
        </w:tc>
        <w:tc>
          <w:tcPr>
            <w:tcW w:w="2248" w:type="dxa"/>
            <w:tcBorders>
              <w:top w:val="single" w:color="auto" w:sz="4" w:space="0"/>
              <w:left w:val="single" w:color="auto" w:sz="4" w:space="0"/>
              <w:bottom w:val="single" w:color="auto" w:sz="4" w:space="0"/>
              <w:right w:val="single" w:color="auto" w:sz="4" w:space="0"/>
            </w:tcBorders>
            <w:vAlign w:val="top"/>
          </w:tcPr>
          <w:p w14:paraId="652D58F5">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56260D36">
            <w:pPr>
              <w:pStyle w:val="257"/>
              <w:spacing w:before="64" w:line="219" w:lineRule="auto"/>
              <w:ind w:left="109"/>
              <w:rPr>
                <w:rFonts w:hint="default" w:ascii="Arial" w:hAnsi="Arial" w:eastAsia="宋体" w:cs="Arial"/>
                <w:sz w:val="21"/>
                <w:szCs w:val="21"/>
              </w:rPr>
            </w:pPr>
            <w:r>
              <w:rPr>
                <w:rFonts w:hint="default" w:ascii="Arial" w:hAnsi="Arial" w:eastAsia="宋体" w:cs="Arial"/>
                <w:spacing w:val="-1"/>
                <w:sz w:val="21"/>
                <w:szCs w:val="21"/>
              </w:rPr>
              <w:t>HJ2536</w:t>
            </w:r>
            <w:r>
              <w:rPr>
                <w:rFonts w:hint="default" w:ascii="Arial" w:hAnsi="Arial" w:eastAsia="宋体" w:cs="Arial"/>
                <w:spacing w:val="-28"/>
                <w:sz w:val="21"/>
                <w:szCs w:val="21"/>
              </w:rPr>
              <w:t xml:space="preserve"> </w:t>
            </w:r>
            <w:r>
              <w:rPr>
                <w:rFonts w:hint="default" w:ascii="Arial" w:hAnsi="Arial" w:eastAsia="宋体" w:cs="Arial"/>
                <w:spacing w:val="-1"/>
                <w:sz w:val="21"/>
                <w:szCs w:val="21"/>
              </w:rPr>
              <w:t>微型计算机、显示器</w:t>
            </w:r>
          </w:p>
        </w:tc>
      </w:tr>
      <w:tr w14:paraId="375FF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33E6D6D3">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3E82BE0D">
            <w:pPr>
              <w:rPr>
                <w:rFonts w:hint="default" w:ascii="Arial" w:hAnsi="Arial" w:eastAsia="宋体" w:cs="Arial"/>
                <w:sz w:val="21"/>
                <w:szCs w:val="21"/>
              </w:rPr>
            </w:pPr>
          </w:p>
        </w:tc>
        <w:tc>
          <w:tcPr>
            <w:tcW w:w="2672" w:type="dxa"/>
            <w:tcBorders>
              <w:top w:val="single" w:color="auto" w:sz="4" w:space="0"/>
              <w:left w:val="single" w:color="auto" w:sz="4" w:space="0"/>
              <w:bottom w:val="single" w:color="auto" w:sz="4" w:space="0"/>
              <w:right w:val="single" w:color="auto" w:sz="4" w:space="0"/>
            </w:tcBorders>
            <w:vAlign w:val="top"/>
          </w:tcPr>
          <w:p w14:paraId="1336E76F">
            <w:pPr>
              <w:pStyle w:val="257"/>
              <w:spacing w:before="64" w:line="219" w:lineRule="auto"/>
              <w:ind w:left="103"/>
              <w:rPr>
                <w:rFonts w:hint="default" w:ascii="Arial" w:hAnsi="Arial" w:eastAsia="宋体" w:cs="Arial"/>
                <w:sz w:val="21"/>
                <w:szCs w:val="21"/>
              </w:rPr>
            </w:pPr>
            <w:r>
              <w:rPr>
                <w:rFonts w:hint="default" w:ascii="Arial" w:hAnsi="Arial" w:eastAsia="宋体" w:cs="Arial"/>
                <w:sz w:val="21"/>
                <w:szCs w:val="21"/>
              </w:rPr>
              <w:t>A02010109 计算机工作站</w:t>
            </w:r>
          </w:p>
        </w:tc>
        <w:tc>
          <w:tcPr>
            <w:tcW w:w="2248" w:type="dxa"/>
            <w:tcBorders>
              <w:top w:val="single" w:color="auto" w:sz="4" w:space="0"/>
              <w:left w:val="single" w:color="auto" w:sz="4" w:space="0"/>
              <w:bottom w:val="single" w:color="auto" w:sz="4" w:space="0"/>
              <w:right w:val="single" w:color="auto" w:sz="4" w:space="0"/>
            </w:tcBorders>
            <w:vAlign w:val="top"/>
          </w:tcPr>
          <w:p w14:paraId="34C7AF7D">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58008142">
            <w:pPr>
              <w:pStyle w:val="257"/>
              <w:spacing w:before="64" w:line="219" w:lineRule="auto"/>
              <w:ind w:left="109"/>
              <w:rPr>
                <w:rFonts w:hint="default" w:ascii="Arial" w:hAnsi="Arial" w:eastAsia="宋体" w:cs="Arial"/>
                <w:sz w:val="21"/>
                <w:szCs w:val="21"/>
              </w:rPr>
            </w:pPr>
            <w:r>
              <w:rPr>
                <w:rFonts w:hint="default" w:ascii="Arial" w:hAnsi="Arial" w:eastAsia="宋体" w:cs="Arial"/>
                <w:spacing w:val="-1"/>
                <w:sz w:val="21"/>
                <w:szCs w:val="21"/>
              </w:rPr>
              <w:t>HJ2536</w:t>
            </w:r>
            <w:r>
              <w:rPr>
                <w:rFonts w:hint="default" w:ascii="Arial" w:hAnsi="Arial" w:eastAsia="宋体" w:cs="Arial"/>
                <w:spacing w:val="-28"/>
                <w:sz w:val="21"/>
                <w:szCs w:val="21"/>
              </w:rPr>
              <w:t xml:space="preserve"> </w:t>
            </w:r>
            <w:r>
              <w:rPr>
                <w:rFonts w:hint="default" w:ascii="Arial" w:hAnsi="Arial" w:eastAsia="宋体" w:cs="Arial"/>
                <w:spacing w:val="-1"/>
                <w:sz w:val="21"/>
                <w:szCs w:val="21"/>
              </w:rPr>
              <w:t>微型计算机、显示器</w:t>
            </w:r>
          </w:p>
        </w:tc>
      </w:tr>
      <w:tr w14:paraId="01BDF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532E45BE">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14F57387">
            <w:pPr>
              <w:rPr>
                <w:rFonts w:hint="default" w:ascii="Arial" w:hAnsi="Arial" w:eastAsia="宋体" w:cs="Arial"/>
                <w:sz w:val="21"/>
                <w:szCs w:val="21"/>
              </w:rPr>
            </w:pPr>
          </w:p>
        </w:tc>
        <w:tc>
          <w:tcPr>
            <w:tcW w:w="2672" w:type="dxa"/>
            <w:tcBorders>
              <w:top w:val="single" w:color="auto" w:sz="4" w:space="0"/>
              <w:left w:val="single" w:color="auto" w:sz="4" w:space="0"/>
              <w:bottom w:val="single" w:color="auto" w:sz="4" w:space="0"/>
              <w:right w:val="single" w:color="auto" w:sz="4" w:space="0"/>
            </w:tcBorders>
            <w:vAlign w:val="top"/>
          </w:tcPr>
          <w:p w14:paraId="47CA96C1">
            <w:pPr>
              <w:pStyle w:val="257"/>
              <w:spacing w:before="64" w:line="219" w:lineRule="auto"/>
              <w:ind w:left="103"/>
              <w:rPr>
                <w:rFonts w:hint="default" w:ascii="Arial" w:hAnsi="Arial" w:eastAsia="宋体" w:cs="Arial"/>
                <w:sz w:val="21"/>
                <w:szCs w:val="21"/>
              </w:rPr>
            </w:pPr>
            <w:r>
              <w:rPr>
                <w:rFonts w:hint="default" w:ascii="Arial" w:hAnsi="Arial" w:eastAsia="宋体" w:cs="Arial"/>
                <w:spacing w:val="-1"/>
                <w:sz w:val="21"/>
                <w:szCs w:val="21"/>
              </w:rPr>
              <w:t>A02010199</w:t>
            </w:r>
            <w:r>
              <w:rPr>
                <w:rFonts w:hint="default" w:ascii="Arial" w:hAnsi="Arial" w:eastAsia="宋体" w:cs="Arial"/>
                <w:spacing w:val="-29"/>
                <w:sz w:val="21"/>
                <w:szCs w:val="21"/>
              </w:rPr>
              <w:t xml:space="preserve"> </w:t>
            </w:r>
            <w:r>
              <w:rPr>
                <w:rFonts w:hint="default" w:ascii="Arial" w:hAnsi="Arial" w:eastAsia="宋体" w:cs="Arial"/>
                <w:spacing w:val="-1"/>
                <w:sz w:val="21"/>
                <w:szCs w:val="21"/>
              </w:rPr>
              <w:t>其他计算机设备</w:t>
            </w:r>
          </w:p>
        </w:tc>
        <w:tc>
          <w:tcPr>
            <w:tcW w:w="2248" w:type="dxa"/>
            <w:tcBorders>
              <w:top w:val="single" w:color="auto" w:sz="4" w:space="0"/>
              <w:left w:val="single" w:color="auto" w:sz="4" w:space="0"/>
              <w:bottom w:val="single" w:color="auto" w:sz="4" w:space="0"/>
              <w:right w:val="single" w:color="auto" w:sz="4" w:space="0"/>
            </w:tcBorders>
            <w:vAlign w:val="top"/>
          </w:tcPr>
          <w:p w14:paraId="74F29028">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774281FE">
            <w:pPr>
              <w:pStyle w:val="257"/>
              <w:spacing w:before="64" w:line="219" w:lineRule="auto"/>
              <w:ind w:left="109"/>
              <w:rPr>
                <w:rFonts w:hint="default" w:ascii="Arial" w:hAnsi="Arial" w:eastAsia="宋体" w:cs="Arial"/>
                <w:sz w:val="21"/>
                <w:szCs w:val="21"/>
              </w:rPr>
            </w:pPr>
            <w:r>
              <w:rPr>
                <w:rFonts w:hint="default" w:ascii="Arial" w:hAnsi="Arial" w:eastAsia="宋体" w:cs="Arial"/>
                <w:spacing w:val="-1"/>
                <w:sz w:val="21"/>
                <w:szCs w:val="21"/>
              </w:rPr>
              <w:t>HJ2536</w:t>
            </w:r>
            <w:r>
              <w:rPr>
                <w:rFonts w:hint="default" w:ascii="Arial" w:hAnsi="Arial" w:eastAsia="宋体" w:cs="Arial"/>
                <w:spacing w:val="-28"/>
                <w:sz w:val="21"/>
                <w:szCs w:val="21"/>
              </w:rPr>
              <w:t xml:space="preserve"> </w:t>
            </w:r>
            <w:r>
              <w:rPr>
                <w:rFonts w:hint="default" w:ascii="Arial" w:hAnsi="Arial" w:eastAsia="宋体" w:cs="Arial"/>
                <w:spacing w:val="-1"/>
                <w:sz w:val="21"/>
                <w:szCs w:val="21"/>
              </w:rPr>
              <w:t>微型计算机、显示器</w:t>
            </w:r>
          </w:p>
        </w:tc>
      </w:tr>
      <w:tr w14:paraId="1A8EF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41746529">
            <w:pPr>
              <w:pStyle w:val="257"/>
              <w:spacing w:before="64" w:line="242" w:lineRule="auto"/>
              <w:ind w:left="116"/>
              <w:rPr>
                <w:rFonts w:hint="default" w:ascii="Arial" w:hAnsi="Arial" w:eastAsia="宋体" w:cs="Arial"/>
                <w:sz w:val="21"/>
                <w:szCs w:val="21"/>
              </w:rPr>
            </w:pPr>
            <w:r>
              <w:rPr>
                <w:rFonts w:hint="default" w:ascii="Arial" w:hAnsi="Arial" w:eastAsia="宋体" w:cs="Arial"/>
                <w:sz w:val="21"/>
                <w:szCs w:val="21"/>
              </w:rPr>
              <w:t>2</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2B88E24D">
            <w:pPr>
              <w:pStyle w:val="257"/>
              <w:spacing w:before="64" w:line="323" w:lineRule="auto"/>
              <w:ind w:left="123" w:right="108" w:hanging="21"/>
              <w:rPr>
                <w:rFonts w:hint="default" w:ascii="Arial" w:hAnsi="Arial" w:eastAsia="宋体" w:cs="Arial"/>
                <w:sz w:val="21"/>
                <w:szCs w:val="21"/>
              </w:rPr>
            </w:pPr>
            <w:r>
              <w:rPr>
                <w:rFonts w:hint="default" w:ascii="Arial" w:hAnsi="Arial" w:eastAsia="宋体" w:cs="Arial"/>
                <w:spacing w:val="3"/>
                <w:sz w:val="21"/>
                <w:szCs w:val="21"/>
              </w:rPr>
              <w:t>A020106</w:t>
            </w:r>
            <w:r>
              <w:rPr>
                <w:rFonts w:hint="default" w:ascii="Arial" w:hAnsi="Arial" w:eastAsia="宋体" w:cs="Arial"/>
                <w:spacing w:val="34"/>
                <w:sz w:val="21"/>
                <w:szCs w:val="21"/>
              </w:rPr>
              <w:t xml:space="preserve"> </w:t>
            </w:r>
            <w:r>
              <w:rPr>
                <w:rFonts w:hint="default" w:ascii="Arial" w:hAnsi="Arial" w:eastAsia="宋体" w:cs="Arial"/>
                <w:spacing w:val="3"/>
                <w:sz w:val="21"/>
                <w:szCs w:val="21"/>
              </w:rPr>
              <w:t>输入输</w:t>
            </w:r>
            <w:r>
              <w:rPr>
                <w:rFonts w:hint="default" w:ascii="Arial" w:hAnsi="Arial" w:eastAsia="宋体" w:cs="Arial"/>
                <w:sz w:val="21"/>
                <w:szCs w:val="21"/>
              </w:rPr>
              <w:t xml:space="preserve"> </w:t>
            </w:r>
            <w:r>
              <w:rPr>
                <w:rFonts w:hint="default" w:ascii="Arial" w:hAnsi="Arial" w:eastAsia="宋体" w:cs="Arial"/>
                <w:spacing w:val="-5"/>
                <w:sz w:val="21"/>
                <w:szCs w:val="21"/>
              </w:rPr>
              <w:t>出设备</w:t>
            </w:r>
          </w:p>
        </w:tc>
        <w:tc>
          <w:tcPr>
            <w:tcW w:w="2672" w:type="dxa"/>
            <w:vMerge w:val="restart"/>
            <w:tcBorders>
              <w:top w:val="single" w:color="auto" w:sz="4" w:space="0"/>
              <w:left w:val="single" w:color="auto" w:sz="4" w:space="0"/>
              <w:bottom w:val="single" w:color="auto" w:sz="4" w:space="0"/>
              <w:right w:val="single" w:color="auto" w:sz="4" w:space="0"/>
            </w:tcBorders>
            <w:vAlign w:val="top"/>
          </w:tcPr>
          <w:p w14:paraId="3888E4E5">
            <w:pPr>
              <w:pStyle w:val="257"/>
              <w:spacing w:before="64" w:line="220" w:lineRule="auto"/>
              <w:ind w:left="103"/>
              <w:rPr>
                <w:rFonts w:hint="default" w:ascii="Arial" w:hAnsi="Arial" w:eastAsia="宋体" w:cs="Arial"/>
                <w:sz w:val="21"/>
                <w:szCs w:val="21"/>
              </w:rPr>
            </w:pPr>
            <w:r>
              <w:rPr>
                <w:rFonts w:hint="default" w:ascii="Arial" w:hAnsi="Arial" w:eastAsia="宋体" w:cs="Arial"/>
                <w:spacing w:val="-1"/>
                <w:sz w:val="21"/>
                <w:szCs w:val="21"/>
              </w:rPr>
              <w:t>A02010601</w:t>
            </w:r>
            <w:r>
              <w:rPr>
                <w:rFonts w:hint="default" w:ascii="Arial" w:hAnsi="Arial" w:eastAsia="宋体" w:cs="Arial"/>
                <w:spacing w:val="-31"/>
                <w:sz w:val="21"/>
                <w:szCs w:val="21"/>
              </w:rPr>
              <w:t xml:space="preserve"> </w:t>
            </w:r>
            <w:r>
              <w:rPr>
                <w:rFonts w:hint="default" w:ascii="Arial" w:hAnsi="Arial" w:eastAsia="宋体" w:cs="Arial"/>
                <w:spacing w:val="-1"/>
                <w:sz w:val="21"/>
                <w:szCs w:val="21"/>
              </w:rPr>
              <w:t>打印设备</w:t>
            </w:r>
          </w:p>
        </w:tc>
        <w:tc>
          <w:tcPr>
            <w:tcW w:w="2248" w:type="dxa"/>
            <w:tcBorders>
              <w:top w:val="single" w:color="auto" w:sz="4" w:space="0"/>
              <w:left w:val="single" w:color="auto" w:sz="4" w:space="0"/>
              <w:bottom w:val="single" w:color="auto" w:sz="4" w:space="0"/>
              <w:right w:val="single" w:color="auto" w:sz="4" w:space="0"/>
            </w:tcBorders>
            <w:vAlign w:val="top"/>
          </w:tcPr>
          <w:p w14:paraId="79B7E31D">
            <w:pPr>
              <w:pStyle w:val="257"/>
              <w:spacing w:before="65" w:line="219" w:lineRule="auto"/>
              <w:ind w:left="105"/>
              <w:rPr>
                <w:rFonts w:hint="default" w:ascii="Arial" w:hAnsi="Arial" w:eastAsia="宋体" w:cs="Arial"/>
                <w:sz w:val="21"/>
                <w:szCs w:val="21"/>
              </w:rPr>
            </w:pPr>
            <w:r>
              <w:rPr>
                <w:rFonts w:hint="default" w:ascii="Arial" w:hAnsi="Arial" w:eastAsia="宋体" w:cs="Arial"/>
                <w:sz w:val="21"/>
                <w:szCs w:val="21"/>
              </w:rPr>
              <w:t>A0201060101 喷墨打印机</w:t>
            </w:r>
          </w:p>
        </w:tc>
        <w:tc>
          <w:tcPr>
            <w:tcW w:w="2404" w:type="dxa"/>
            <w:tcBorders>
              <w:top w:val="single" w:color="auto" w:sz="4" w:space="0"/>
              <w:left w:val="single" w:color="auto" w:sz="4" w:space="0"/>
              <w:bottom w:val="single" w:color="auto" w:sz="4" w:space="0"/>
              <w:right w:val="single" w:color="auto" w:sz="4" w:space="0"/>
            </w:tcBorders>
            <w:vAlign w:val="top"/>
          </w:tcPr>
          <w:p w14:paraId="0C380A52">
            <w:pPr>
              <w:pStyle w:val="257"/>
              <w:spacing w:before="64" w:line="219" w:lineRule="auto"/>
              <w:ind w:left="109"/>
              <w:rPr>
                <w:rFonts w:hint="default" w:ascii="Arial" w:hAnsi="Arial" w:eastAsia="宋体" w:cs="Arial"/>
                <w:sz w:val="21"/>
                <w:szCs w:val="21"/>
              </w:rPr>
            </w:pPr>
            <w:r>
              <w:rPr>
                <w:rFonts w:hint="default" w:ascii="Arial" w:hAnsi="Arial" w:eastAsia="宋体" w:cs="Arial"/>
                <w:spacing w:val="-1"/>
                <w:sz w:val="21"/>
                <w:szCs w:val="21"/>
              </w:rPr>
              <w:t>HJ2512</w:t>
            </w:r>
            <w:r>
              <w:rPr>
                <w:rFonts w:hint="default" w:ascii="Arial" w:hAnsi="Arial" w:eastAsia="宋体" w:cs="Arial"/>
                <w:spacing w:val="-29"/>
                <w:sz w:val="21"/>
                <w:szCs w:val="21"/>
              </w:rPr>
              <w:t xml:space="preserve"> </w:t>
            </w:r>
            <w:r>
              <w:rPr>
                <w:rFonts w:hint="default" w:ascii="Arial" w:hAnsi="Arial" w:eastAsia="宋体" w:cs="Arial"/>
                <w:spacing w:val="-1"/>
                <w:sz w:val="21"/>
                <w:szCs w:val="21"/>
              </w:rPr>
              <w:t>打印机、传真机及多功能一体机</w:t>
            </w:r>
          </w:p>
        </w:tc>
      </w:tr>
      <w:tr w14:paraId="794DE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061AA105">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3E214BEB">
            <w:pPr>
              <w:rPr>
                <w:rFonts w:hint="default" w:ascii="Arial" w:hAnsi="Arial" w:eastAsia="宋体" w:cs="Arial"/>
                <w:sz w:val="21"/>
                <w:szCs w:val="21"/>
              </w:rPr>
            </w:pPr>
          </w:p>
        </w:tc>
        <w:tc>
          <w:tcPr>
            <w:tcW w:w="2672" w:type="dxa"/>
            <w:vMerge w:val="continue"/>
            <w:tcBorders>
              <w:top w:val="single" w:color="auto" w:sz="4" w:space="0"/>
              <w:left w:val="single" w:color="auto" w:sz="4" w:space="0"/>
              <w:bottom w:val="single" w:color="auto" w:sz="4" w:space="0"/>
              <w:right w:val="single" w:color="auto" w:sz="4" w:space="0"/>
            </w:tcBorders>
            <w:vAlign w:val="top"/>
          </w:tcPr>
          <w:p w14:paraId="53CF0BA8">
            <w:pPr>
              <w:rPr>
                <w:rFonts w:hint="default" w:ascii="Arial" w:hAnsi="Arial" w:eastAsia="宋体" w:cs="Arial"/>
                <w:sz w:val="21"/>
                <w:szCs w:val="21"/>
              </w:rPr>
            </w:pPr>
          </w:p>
        </w:tc>
        <w:tc>
          <w:tcPr>
            <w:tcW w:w="2248" w:type="dxa"/>
            <w:tcBorders>
              <w:top w:val="single" w:color="auto" w:sz="4" w:space="0"/>
              <w:left w:val="single" w:color="auto" w:sz="4" w:space="0"/>
              <w:bottom w:val="single" w:color="auto" w:sz="4" w:space="0"/>
              <w:right w:val="single" w:color="auto" w:sz="4" w:space="0"/>
            </w:tcBorders>
            <w:vAlign w:val="top"/>
          </w:tcPr>
          <w:p w14:paraId="342A6BC1">
            <w:pPr>
              <w:pStyle w:val="257"/>
              <w:spacing w:before="64" w:line="219" w:lineRule="auto"/>
              <w:ind w:left="105"/>
              <w:rPr>
                <w:rFonts w:hint="default" w:ascii="Arial" w:hAnsi="Arial" w:eastAsia="宋体" w:cs="Arial"/>
                <w:sz w:val="21"/>
                <w:szCs w:val="21"/>
              </w:rPr>
            </w:pPr>
            <w:r>
              <w:rPr>
                <w:rFonts w:hint="default" w:ascii="Arial" w:hAnsi="Arial" w:eastAsia="宋体" w:cs="Arial"/>
                <w:sz w:val="21"/>
                <w:szCs w:val="21"/>
              </w:rPr>
              <w:t>A0201060102 激光打印机</w:t>
            </w:r>
          </w:p>
        </w:tc>
        <w:tc>
          <w:tcPr>
            <w:tcW w:w="2404" w:type="dxa"/>
            <w:tcBorders>
              <w:top w:val="single" w:color="auto" w:sz="4" w:space="0"/>
              <w:left w:val="single" w:color="auto" w:sz="4" w:space="0"/>
              <w:bottom w:val="single" w:color="auto" w:sz="4" w:space="0"/>
              <w:right w:val="single" w:color="auto" w:sz="4" w:space="0"/>
            </w:tcBorders>
            <w:vAlign w:val="top"/>
          </w:tcPr>
          <w:p w14:paraId="492DADB3">
            <w:pPr>
              <w:pStyle w:val="257"/>
              <w:spacing w:before="64" w:line="219" w:lineRule="auto"/>
              <w:ind w:left="109"/>
              <w:rPr>
                <w:rFonts w:hint="default" w:ascii="Arial" w:hAnsi="Arial" w:eastAsia="宋体" w:cs="Arial"/>
                <w:sz w:val="21"/>
                <w:szCs w:val="21"/>
              </w:rPr>
            </w:pPr>
            <w:r>
              <w:rPr>
                <w:rFonts w:hint="default" w:ascii="Arial" w:hAnsi="Arial" w:eastAsia="宋体" w:cs="Arial"/>
                <w:spacing w:val="-1"/>
                <w:sz w:val="21"/>
                <w:szCs w:val="21"/>
              </w:rPr>
              <w:t>HJ2512</w:t>
            </w:r>
            <w:r>
              <w:rPr>
                <w:rFonts w:hint="default" w:ascii="Arial" w:hAnsi="Arial" w:eastAsia="宋体" w:cs="Arial"/>
                <w:spacing w:val="-29"/>
                <w:sz w:val="21"/>
                <w:szCs w:val="21"/>
              </w:rPr>
              <w:t xml:space="preserve"> </w:t>
            </w:r>
            <w:r>
              <w:rPr>
                <w:rFonts w:hint="default" w:ascii="Arial" w:hAnsi="Arial" w:eastAsia="宋体" w:cs="Arial"/>
                <w:spacing w:val="-1"/>
                <w:sz w:val="21"/>
                <w:szCs w:val="21"/>
              </w:rPr>
              <w:t>打印机、传真机及多功能一体机</w:t>
            </w:r>
          </w:p>
        </w:tc>
      </w:tr>
      <w:tr w14:paraId="2EF80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32A00ED6">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03961196">
            <w:pPr>
              <w:rPr>
                <w:rFonts w:hint="default" w:ascii="Arial" w:hAnsi="Arial" w:eastAsia="宋体" w:cs="Arial"/>
                <w:sz w:val="21"/>
                <w:szCs w:val="21"/>
              </w:rPr>
            </w:pPr>
          </w:p>
        </w:tc>
        <w:tc>
          <w:tcPr>
            <w:tcW w:w="2672" w:type="dxa"/>
            <w:vMerge w:val="continue"/>
            <w:tcBorders>
              <w:top w:val="single" w:color="auto" w:sz="4" w:space="0"/>
              <w:left w:val="single" w:color="auto" w:sz="4" w:space="0"/>
              <w:bottom w:val="single" w:color="auto" w:sz="4" w:space="0"/>
              <w:right w:val="single" w:color="auto" w:sz="4" w:space="0"/>
            </w:tcBorders>
            <w:vAlign w:val="top"/>
          </w:tcPr>
          <w:p w14:paraId="51F68492">
            <w:pPr>
              <w:rPr>
                <w:rFonts w:hint="default" w:ascii="Arial" w:hAnsi="Arial" w:eastAsia="宋体" w:cs="Arial"/>
                <w:sz w:val="21"/>
                <w:szCs w:val="21"/>
              </w:rPr>
            </w:pPr>
          </w:p>
        </w:tc>
        <w:tc>
          <w:tcPr>
            <w:tcW w:w="2248" w:type="dxa"/>
            <w:tcBorders>
              <w:top w:val="single" w:color="auto" w:sz="4" w:space="0"/>
              <w:left w:val="single" w:color="auto" w:sz="4" w:space="0"/>
              <w:bottom w:val="single" w:color="auto" w:sz="4" w:space="0"/>
              <w:right w:val="single" w:color="auto" w:sz="4" w:space="0"/>
            </w:tcBorders>
            <w:vAlign w:val="top"/>
          </w:tcPr>
          <w:p w14:paraId="40A34612">
            <w:pPr>
              <w:pStyle w:val="257"/>
              <w:spacing w:before="64" w:line="219" w:lineRule="auto"/>
              <w:ind w:left="105"/>
              <w:rPr>
                <w:rFonts w:hint="default" w:ascii="Arial" w:hAnsi="Arial" w:eastAsia="宋体" w:cs="Arial"/>
                <w:sz w:val="21"/>
                <w:szCs w:val="21"/>
              </w:rPr>
            </w:pPr>
            <w:r>
              <w:rPr>
                <w:rFonts w:hint="default" w:ascii="Arial" w:hAnsi="Arial" w:eastAsia="宋体" w:cs="Arial"/>
                <w:sz w:val="21"/>
                <w:szCs w:val="21"/>
              </w:rPr>
              <w:t>A0201060103 热式打印机</w:t>
            </w:r>
          </w:p>
        </w:tc>
        <w:tc>
          <w:tcPr>
            <w:tcW w:w="2404" w:type="dxa"/>
            <w:tcBorders>
              <w:top w:val="single" w:color="auto" w:sz="4" w:space="0"/>
              <w:left w:val="single" w:color="auto" w:sz="4" w:space="0"/>
              <w:bottom w:val="single" w:color="auto" w:sz="4" w:space="0"/>
              <w:right w:val="single" w:color="auto" w:sz="4" w:space="0"/>
            </w:tcBorders>
            <w:vAlign w:val="top"/>
          </w:tcPr>
          <w:p w14:paraId="75B59CAF">
            <w:pPr>
              <w:pStyle w:val="257"/>
              <w:spacing w:before="64" w:line="219" w:lineRule="auto"/>
              <w:ind w:left="109"/>
              <w:rPr>
                <w:rFonts w:hint="default" w:ascii="Arial" w:hAnsi="Arial" w:eastAsia="宋体" w:cs="Arial"/>
                <w:sz w:val="21"/>
                <w:szCs w:val="21"/>
              </w:rPr>
            </w:pPr>
            <w:r>
              <w:rPr>
                <w:rFonts w:hint="default" w:ascii="Arial" w:hAnsi="Arial" w:eastAsia="宋体" w:cs="Arial"/>
                <w:spacing w:val="-1"/>
                <w:sz w:val="21"/>
                <w:szCs w:val="21"/>
              </w:rPr>
              <w:t>HJ2512</w:t>
            </w:r>
            <w:r>
              <w:rPr>
                <w:rFonts w:hint="default" w:ascii="Arial" w:hAnsi="Arial" w:eastAsia="宋体" w:cs="Arial"/>
                <w:spacing w:val="-29"/>
                <w:sz w:val="21"/>
                <w:szCs w:val="21"/>
              </w:rPr>
              <w:t xml:space="preserve"> </w:t>
            </w:r>
            <w:r>
              <w:rPr>
                <w:rFonts w:hint="default" w:ascii="Arial" w:hAnsi="Arial" w:eastAsia="宋体" w:cs="Arial"/>
                <w:spacing w:val="-1"/>
                <w:sz w:val="21"/>
                <w:szCs w:val="21"/>
              </w:rPr>
              <w:t>打印机、传真机及多功能一体机</w:t>
            </w:r>
          </w:p>
        </w:tc>
      </w:tr>
      <w:tr w14:paraId="3F97A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493F545F">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153A9C97">
            <w:pPr>
              <w:rPr>
                <w:rFonts w:hint="default" w:ascii="Arial" w:hAnsi="Arial" w:eastAsia="宋体" w:cs="Arial"/>
                <w:sz w:val="21"/>
                <w:szCs w:val="21"/>
              </w:rPr>
            </w:pPr>
          </w:p>
        </w:tc>
        <w:tc>
          <w:tcPr>
            <w:tcW w:w="2672" w:type="dxa"/>
            <w:vMerge w:val="continue"/>
            <w:tcBorders>
              <w:top w:val="single" w:color="auto" w:sz="4" w:space="0"/>
              <w:left w:val="single" w:color="auto" w:sz="4" w:space="0"/>
              <w:bottom w:val="single" w:color="auto" w:sz="4" w:space="0"/>
              <w:right w:val="single" w:color="auto" w:sz="4" w:space="0"/>
            </w:tcBorders>
            <w:vAlign w:val="top"/>
          </w:tcPr>
          <w:p w14:paraId="6E66013F">
            <w:pPr>
              <w:rPr>
                <w:rFonts w:hint="default" w:ascii="Arial" w:hAnsi="Arial" w:eastAsia="宋体" w:cs="Arial"/>
                <w:sz w:val="21"/>
                <w:szCs w:val="21"/>
              </w:rPr>
            </w:pPr>
          </w:p>
        </w:tc>
        <w:tc>
          <w:tcPr>
            <w:tcW w:w="2248" w:type="dxa"/>
            <w:tcBorders>
              <w:top w:val="single" w:color="auto" w:sz="4" w:space="0"/>
              <w:left w:val="single" w:color="auto" w:sz="4" w:space="0"/>
              <w:bottom w:val="single" w:color="auto" w:sz="4" w:space="0"/>
              <w:right w:val="single" w:color="auto" w:sz="4" w:space="0"/>
            </w:tcBorders>
            <w:vAlign w:val="top"/>
          </w:tcPr>
          <w:p w14:paraId="6139EF36">
            <w:pPr>
              <w:pStyle w:val="257"/>
              <w:spacing w:before="65" w:line="219" w:lineRule="auto"/>
              <w:ind w:left="105"/>
              <w:rPr>
                <w:rFonts w:hint="default" w:ascii="Arial" w:hAnsi="Arial" w:eastAsia="宋体" w:cs="Arial"/>
                <w:sz w:val="21"/>
                <w:szCs w:val="21"/>
              </w:rPr>
            </w:pPr>
            <w:r>
              <w:rPr>
                <w:rFonts w:hint="default" w:ascii="Arial" w:hAnsi="Arial" w:eastAsia="宋体" w:cs="Arial"/>
                <w:sz w:val="21"/>
                <w:szCs w:val="21"/>
              </w:rPr>
              <w:t>A0201060104 针式打印机</w:t>
            </w:r>
          </w:p>
        </w:tc>
        <w:tc>
          <w:tcPr>
            <w:tcW w:w="2404" w:type="dxa"/>
            <w:tcBorders>
              <w:top w:val="single" w:color="auto" w:sz="4" w:space="0"/>
              <w:left w:val="single" w:color="auto" w:sz="4" w:space="0"/>
              <w:bottom w:val="single" w:color="auto" w:sz="4" w:space="0"/>
              <w:right w:val="single" w:color="auto" w:sz="4" w:space="0"/>
            </w:tcBorders>
            <w:vAlign w:val="top"/>
          </w:tcPr>
          <w:p w14:paraId="0E43265F">
            <w:pPr>
              <w:pStyle w:val="257"/>
              <w:spacing w:before="64" w:line="219" w:lineRule="auto"/>
              <w:ind w:left="109"/>
              <w:rPr>
                <w:rFonts w:hint="default" w:ascii="Arial" w:hAnsi="Arial" w:eastAsia="宋体" w:cs="Arial"/>
                <w:sz w:val="21"/>
                <w:szCs w:val="21"/>
              </w:rPr>
            </w:pPr>
            <w:r>
              <w:rPr>
                <w:rFonts w:hint="default" w:ascii="Arial" w:hAnsi="Arial" w:eastAsia="宋体" w:cs="Arial"/>
                <w:spacing w:val="-1"/>
                <w:sz w:val="21"/>
                <w:szCs w:val="21"/>
              </w:rPr>
              <w:t>HJ2512</w:t>
            </w:r>
            <w:r>
              <w:rPr>
                <w:rFonts w:hint="default" w:ascii="Arial" w:hAnsi="Arial" w:eastAsia="宋体" w:cs="Arial"/>
                <w:spacing w:val="-29"/>
                <w:sz w:val="21"/>
                <w:szCs w:val="21"/>
              </w:rPr>
              <w:t xml:space="preserve"> </w:t>
            </w:r>
            <w:r>
              <w:rPr>
                <w:rFonts w:hint="default" w:ascii="Arial" w:hAnsi="Arial" w:eastAsia="宋体" w:cs="Arial"/>
                <w:spacing w:val="-1"/>
                <w:sz w:val="21"/>
                <w:szCs w:val="21"/>
              </w:rPr>
              <w:t>打印机、传真机及多功能一体机</w:t>
            </w:r>
          </w:p>
        </w:tc>
      </w:tr>
      <w:tr w14:paraId="18564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196689D3">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026152ED">
            <w:pPr>
              <w:rPr>
                <w:rFonts w:hint="default" w:ascii="Arial" w:hAnsi="Arial" w:eastAsia="宋体" w:cs="Arial"/>
                <w:sz w:val="21"/>
                <w:szCs w:val="21"/>
              </w:rPr>
            </w:pPr>
          </w:p>
        </w:tc>
        <w:tc>
          <w:tcPr>
            <w:tcW w:w="2672" w:type="dxa"/>
            <w:vMerge w:val="restart"/>
            <w:tcBorders>
              <w:top w:val="single" w:color="auto" w:sz="4" w:space="0"/>
              <w:left w:val="single" w:color="auto" w:sz="4" w:space="0"/>
              <w:bottom w:val="single" w:color="auto" w:sz="4" w:space="0"/>
              <w:right w:val="single" w:color="auto" w:sz="4" w:space="0"/>
            </w:tcBorders>
            <w:vAlign w:val="top"/>
          </w:tcPr>
          <w:p w14:paraId="2BE9A888">
            <w:pPr>
              <w:pStyle w:val="257"/>
              <w:spacing w:before="64" w:line="222" w:lineRule="auto"/>
              <w:ind w:left="103"/>
              <w:rPr>
                <w:rFonts w:hint="default" w:ascii="Arial" w:hAnsi="Arial" w:eastAsia="宋体" w:cs="Arial"/>
                <w:sz w:val="21"/>
                <w:szCs w:val="21"/>
              </w:rPr>
            </w:pPr>
            <w:r>
              <w:rPr>
                <w:rFonts w:hint="default" w:ascii="Arial" w:hAnsi="Arial" w:eastAsia="宋体" w:cs="Arial"/>
                <w:sz w:val="21"/>
                <w:szCs w:val="21"/>
              </w:rPr>
              <w:t>A02010604 显示设备</w:t>
            </w:r>
          </w:p>
        </w:tc>
        <w:tc>
          <w:tcPr>
            <w:tcW w:w="2248" w:type="dxa"/>
            <w:tcBorders>
              <w:top w:val="single" w:color="auto" w:sz="4" w:space="0"/>
              <w:left w:val="single" w:color="auto" w:sz="4" w:space="0"/>
              <w:bottom w:val="single" w:color="auto" w:sz="4" w:space="0"/>
              <w:right w:val="single" w:color="auto" w:sz="4" w:space="0"/>
            </w:tcBorders>
            <w:vAlign w:val="top"/>
          </w:tcPr>
          <w:p w14:paraId="56C53EEC">
            <w:pPr>
              <w:pStyle w:val="257"/>
              <w:spacing w:before="64" w:line="221" w:lineRule="auto"/>
              <w:ind w:left="105"/>
              <w:rPr>
                <w:rFonts w:hint="default" w:ascii="Arial" w:hAnsi="Arial" w:eastAsia="宋体" w:cs="Arial"/>
                <w:sz w:val="21"/>
                <w:szCs w:val="21"/>
              </w:rPr>
            </w:pPr>
            <w:r>
              <w:rPr>
                <w:rFonts w:hint="default" w:ascii="Arial" w:hAnsi="Arial" w:eastAsia="宋体" w:cs="Arial"/>
                <w:sz w:val="21"/>
                <w:szCs w:val="21"/>
              </w:rPr>
              <w:t>A0201060401 液晶显示器</w:t>
            </w:r>
          </w:p>
        </w:tc>
        <w:tc>
          <w:tcPr>
            <w:tcW w:w="2404" w:type="dxa"/>
            <w:tcBorders>
              <w:top w:val="single" w:color="auto" w:sz="4" w:space="0"/>
              <w:left w:val="single" w:color="auto" w:sz="4" w:space="0"/>
              <w:bottom w:val="single" w:color="auto" w:sz="4" w:space="0"/>
              <w:right w:val="single" w:color="auto" w:sz="4" w:space="0"/>
            </w:tcBorders>
            <w:vAlign w:val="top"/>
          </w:tcPr>
          <w:p w14:paraId="6E7A0CFC">
            <w:pPr>
              <w:pStyle w:val="257"/>
              <w:spacing w:before="64" w:line="219" w:lineRule="auto"/>
              <w:ind w:left="109"/>
              <w:rPr>
                <w:rFonts w:hint="default" w:ascii="Arial" w:hAnsi="Arial" w:eastAsia="宋体" w:cs="Arial"/>
                <w:sz w:val="21"/>
                <w:szCs w:val="21"/>
              </w:rPr>
            </w:pPr>
            <w:r>
              <w:rPr>
                <w:rFonts w:hint="default" w:ascii="Arial" w:hAnsi="Arial" w:eastAsia="宋体" w:cs="Arial"/>
                <w:spacing w:val="-1"/>
                <w:sz w:val="21"/>
                <w:szCs w:val="21"/>
              </w:rPr>
              <w:t>HJ2536</w:t>
            </w:r>
            <w:r>
              <w:rPr>
                <w:rFonts w:hint="default" w:ascii="Arial" w:hAnsi="Arial" w:eastAsia="宋体" w:cs="Arial"/>
                <w:spacing w:val="-28"/>
                <w:sz w:val="21"/>
                <w:szCs w:val="21"/>
              </w:rPr>
              <w:t xml:space="preserve"> </w:t>
            </w:r>
            <w:r>
              <w:rPr>
                <w:rFonts w:hint="default" w:ascii="Arial" w:hAnsi="Arial" w:eastAsia="宋体" w:cs="Arial"/>
                <w:spacing w:val="-1"/>
                <w:sz w:val="21"/>
                <w:szCs w:val="21"/>
              </w:rPr>
              <w:t>微型计算机、显示器</w:t>
            </w:r>
          </w:p>
        </w:tc>
      </w:tr>
      <w:tr w14:paraId="5B486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0F2EB8AF">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3C6D1D1D">
            <w:pPr>
              <w:rPr>
                <w:rFonts w:hint="default" w:ascii="Arial" w:hAnsi="Arial" w:eastAsia="宋体" w:cs="Arial"/>
                <w:sz w:val="21"/>
                <w:szCs w:val="21"/>
              </w:rPr>
            </w:pPr>
          </w:p>
        </w:tc>
        <w:tc>
          <w:tcPr>
            <w:tcW w:w="2672" w:type="dxa"/>
            <w:vMerge w:val="continue"/>
            <w:tcBorders>
              <w:top w:val="single" w:color="auto" w:sz="4" w:space="0"/>
              <w:left w:val="single" w:color="auto" w:sz="4" w:space="0"/>
              <w:bottom w:val="single" w:color="auto" w:sz="4" w:space="0"/>
              <w:right w:val="single" w:color="auto" w:sz="4" w:space="0"/>
            </w:tcBorders>
            <w:vAlign w:val="top"/>
          </w:tcPr>
          <w:p w14:paraId="15C930B2">
            <w:pPr>
              <w:rPr>
                <w:rFonts w:hint="default" w:ascii="Arial" w:hAnsi="Arial" w:eastAsia="宋体" w:cs="Arial"/>
                <w:sz w:val="21"/>
                <w:szCs w:val="21"/>
              </w:rPr>
            </w:pPr>
          </w:p>
        </w:tc>
        <w:tc>
          <w:tcPr>
            <w:tcW w:w="2248" w:type="dxa"/>
            <w:tcBorders>
              <w:top w:val="single" w:color="auto" w:sz="4" w:space="0"/>
              <w:left w:val="single" w:color="auto" w:sz="4" w:space="0"/>
              <w:bottom w:val="single" w:color="auto" w:sz="4" w:space="0"/>
              <w:right w:val="single" w:color="auto" w:sz="4" w:space="0"/>
            </w:tcBorders>
            <w:vAlign w:val="top"/>
          </w:tcPr>
          <w:p w14:paraId="13E3C0AE">
            <w:pPr>
              <w:pStyle w:val="257"/>
              <w:spacing w:before="64" w:line="221" w:lineRule="auto"/>
              <w:ind w:left="105"/>
              <w:rPr>
                <w:rFonts w:hint="default" w:ascii="Arial" w:hAnsi="Arial" w:eastAsia="宋体" w:cs="Arial"/>
                <w:sz w:val="21"/>
                <w:szCs w:val="21"/>
              </w:rPr>
            </w:pPr>
            <w:r>
              <w:rPr>
                <w:rFonts w:hint="default" w:ascii="Arial" w:hAnsi="Arial" w:eastAsia="宋体" w:cs="Arial"/>
                <w:sz w:val="21"/>
                <w:szCs w:val="21"/>
              </w:rPr>
              <w:t>A0201060499 其他显示器</w:t>
            </w:r>
          </w:p>
        </w:tc>
        <w:tc>
          <w:tcPr>
            <w:tcW w:w="2404" w:type="dxa"/>
            <w:tcBorders>
              <w:top w:val="single" w:color="auto" w:sz="4" w:space="0"/>
              <w:left w:val="single" w:color="auto" w:sz="4" w:space="0"/>
              <w:bottom w:val="single" w:color="auto" w:sz="4" w:space="0"/>
              <w:right w:val="single" w:color="auto" w:sz="4" w:space="0"/>
            </w:tcBorders>
            <w:vAlign w:val="top"/>
          </w:tcPr>
          <w:p w14:paraId="1912BFA5">
            <w:pPr>
              <w:pStyle w:val="257"/>
              <w:spacing w:before="63" w:line="219" w:lineRule="auto"/>
              <w:ind w:left="109"/>
              <w:rPr>
                <w:rFonts w:hint="default" w:ascii="Arial" w:hAnsi="Arial" w:eastAsia="宋体" w:cs="Arial"/>
                <w:sz w:val="21"/>
                <w:szCs w:val="21"/>
              </w:rPr>
            </w:pPr>
            <w:r>
              <w:rPr>
                <w:rFonts w:hint="default" w:ascii="Arial" w:hAnsi="Arial" w:eastAsia="宋体" w:cs="Arial"/>
                <w:spacing w:val="-1"/>
                <w:sz w:val="21"/>
                <w:szCs w:val="21"/>
              </w:rPr>
              <w:t>HJ2536</w:t>
            </w:r>
            <w:r>
              <w:rPr>
                <w:rFonts w:hint="default" w:ascii="Arial" w:hAnsi="Arial" w:eastAsia="宋体" w:cs="Arial"/>
                <w:spacing w:val="-28"/>
                <w:sz w:val="21"/>
                <w:szCs w:val="21"/>
              </w:rPr>
              <w:t xml:space="preserve"> </w:t>
            </w:r>
            <w:r>
              <w:rPr>
                <w:rFonts w:hint="default" w:ascii="Arial" w:hAnsi="Arial" w:eastAsia="宋体" w:cs="Arial"/>
                <w:spacing w:val="-1"/>
                <w:sz w:val="21"/>
                <w:szCs w:val="21"/>
              </w:rPr>
              <w:t>微型计算机、显示器</w:t>
            </w:r>
          </w:p>
        </w:tc>
      </w:tr>
      <w:tr w14:paraId="490F1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7C489C00">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4B5CC7B6">
            <w:pPr>
              <w:rPr>
                <w:rFonts w:hint="default" w:ascii="Arial" w:hAnsi="Arial" w:eastAsia="宋体" w:cs="Arial"/>
                <w:sz w:val="21"/>
                <w:szCs w:val="21"/>
              </w:rPr>
            </w:pPr>
          </w:p>
        </w:tc>
        <w:tc>
          <w:tcPr>
            <w:tcW w:w="2672" w:type="dxa"/>
            <w:tcBorders>
              <w:top w:val="single" w:color="auto" w:sz="4" w:space="0"/>
              <w:left w:val="single" w:color="auto" w:sz="4" w:space="0"/>
              <w:bottom w:val="single" w:color="auto" w:sz="4" w:space="0"/>
              <w:right w:val="single" w:color="auto" w:sz="4" w:space="0"/>
            </w:tcBorders>
            <w:vAlign w:val="top"/>
          </w:tcPr>
          <w:p w14:paraId="5402E358">
            <w:pPr>
              <w:pStyle w:val="257"/>
              <w:spacing w:before="64" w:line="220" w:lineRule="auto"/>
              <w:ind w:left="103"/>
              <w:rPr>
                <w:rFonts w:hint="default" w:ascii="Arial" w:hAnsi="Arial" w:eastAsia="宋体" w:cs="Arial"/>
                <w:sz w:val="21"/>
                <w:szCs w:val="21"/>
              </w:rPr>
            </w:pPr>
            <w:r>
              <w:rPr>
                <w:rFonts w:hint="default" w:ascii="Arial" w:hAnsi="Arial" w:eastAsia="宋体" w:cs="Arial"/>
                <w:spacing w:val="-2"/>
                <w:sz w:val="21"/>
                <w:szCs w:val="21"/>
              </w:rPr>
              <w:t>A02010609</w:t>
            </w:r>
            <w:r>
              <w:rPr>
                <w:rFonts w:hint="default" w:ascii="Arial" w:hAnsi="Arial" w:eastAsia="宋体" w:cs="Arial"/>
                <w:spacing w:val="-9"/>
                <w:sz w:val="21"/>
                <w:szCs w:val="21"/>
              </w:rPr>
              <w:t xml:space="preserve"> </w:t>
            </w:r>
            <w:r>
              <w:rPr>
                <w:rFonts w:hint="default" w:ascii="Arial" w:hAnsi="Arial" w:eastAsia="宋体" w:cs="Arial"/>
                <w:spacing w:val="-2"/>
                <w:sz w:val="21"/>
                <w:szCs w:val="21"/>
              </w:rPr>
              <w:t>图形图像输入设备</w:t>
            </w:r>
          </w:p>
        </w:tc>
        <w:tc>
          <w:tcPr>
            <w:tcW w:w="2248" w:type="dxa"/>
            <w:tcBorders>
              <w:top w:val="single" w:color="auto" w:sz="4" w:space="0"/>
              <w:left w:val="single" w:color="auto" w:sz="4" w:space="0"/>
              <w:bottom w:val="single" w:color="auto" w:sz="4" w:space="0"/>
              <w:right w:val="single" w:color="auto" w:sz="4" w:space="0"/>
            </w:tcBorders>
            <w:vAlign w:val="top"/>
          </w:tcPr>
          <w:p w14:paraId="248DC2C8">
            <w:pPr>
              <w:pStyle w:val="257"/>
              <w:spacing w:before="64" w:line="220" w:lineRule="auto"/>
              <w:ind w:left="105"/>
              <w:rPr>
                <w:rFonts w:hint="default" w:ascii="Arial" w:hAnsi="Arial" w:eastAsia="宋体" w:cs="Arial"/>
                <w:sz w:val="21"/>
                <w:szCs w:val="21"/>
              </w:rPr>
            </w:pPr>
            <w:r>
              <w:rPr>
                <w:rFonts w:hint="default" w:ascii="Arial" w:hAnsi="Arial" w:eastAsia="宋体" w:cs="Arial"/>
                <w:sz w:val="21"/>
                <w:szCs w:val="21"/>
              </w:rPr>
              <w:t>A0201060901 扫描仪</w:t>
            </w:r>
          </w:p>
        </w:tc>
        <w:tc>
          <w:tcPr>
            <w:tcW w:w="2404" w:type="dxa"/>
            <w:tcBorders>
              <w:top w:val="single" w:color="auto" w:sz="4" w:space="0"/>
              <w:left w:val="single" w:color="auto" w:sz="4" w:space="0"/>
              <w:bottom w:val="single" w:color="auto" w:sz="4" w:space="0"/>
              <w:right w:val="single" w:color="auto" w:sz="4" w:space="0"/>
            </w:tcBorders>
            <w:vAlign w:val="top"/>
          </w:tcPr>
          <w:p w14:paraId="5359BA85">
            <w:pPr>
              <w:pStyle w:val="257"/>
              <w:spacing w:before="64" w:line="219" w:lineRule="auto"/>
              <w:ind w:left="109"/>
              <w:rPr>
                <w:rFonts w:hint="default" w:ascii="Arial" w:hAnsi="Arial" w:eastAsia="宋体" w:cs="Arial"/>
                <w:sz w:val="21"/>
                <w:szCs w:val="21"/>
              </w:rPr>
            </w:pPr>
            <w:r>
              <w:rPr>
                <w:rFonts w:hint="default" w:ascii="Arial" w:hAnsi="Arial" w:eastAsia="宋体" w:cs="Arial"/>
                <w:spacing w:val="-1"/>
                <w:sz w:val="21"/>
                <w:szCs w:val="21"/>
              </w:rPr>
              <w:t>HJ2517</w:t>
            </w:r>
            <w:r>
              <w:rPr>
                <w:rFonts w:hint="default" w:ascii="Arial" w:hAnsi="Arial" w:eastAsia="宋体" w:cs="Arial"/>
                <w:spacing w:val="-34"/>
                <w:sz w:val="21"/>
                <w:szCs w:val="21"/>
              </w:rPr>
              <w:t xml:space="preserve"> </w:t>
            </w:r>
            <w:r>
              <w:rPr>
                <w:rFonts w:hint="default" w:ascii="Arial" w:hAnsi="Arial" w:eastAsia="宋体" w:cs="Arial"/>
                <w:spacing w:val="-1"/>
                <w:sz w:val="21"/>
                <w:szCs w:val="21"/>
              </w:rPr>
              <w:t>扫描仪</w:t>
            </w:r>
          </w:p>
        </w:tc>
      </w:tr>
      <w:tr w14:paraId="0D7641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tcBorders>
              <w:top w:val="single" w:color="auto" w:sz="4" w:space="0"/>
              <w:left w:val="single" w:color="auto" w:sz="4" w:space="0"/>
              <w:bottom w:val="single" w:color="auto" w:sz="4" w:space="0"/>
              <w:right w:val="single" w:color="auto" w:sz="4" w:space="0"/>
            </w:tcBorders>
            <w:vAlign w:val="top"/>
          </w:tcPr>
          <w:p w14:paraId="174B4DA0">
            <w:pPr>
              <w:pStyle w:val="257"/>
              <w:spacing w:before="64"/>
              <w:ind w:left="118"/>
              <w:rPr>
                <w:rFonts w:hint="default" w:ascii="Arial" w:hAnsi="Arial" w:eastAsia="宋体" w:cs="Arial"/>
                <w:sz w:val="21"/>
                <w:szCs w:val="21"/>
              </w:rPr>
            </w:pPr>
            <w:r>
              <w:rPr>
                <w:rFonts w:hint="default" w:ascii="Arial" w:hAnsi="Arial" w:eastAsia="宋体" w:cs="Arial"/>
                <w:sz w:val="21"/>
                <w:szCs w:val="21"/>
              </w:rPr>
              <w:t>3</w:t>
            </w:r>
          </w:p>
        </w:tc>
        <w:tc>
          <w:tcPr>
            <w:tcW w:w="1542" w:type="dxa"/>
            <w:tcBorders>
              <w:top w:val="single" w:color="auto" w:sz="4" w:space="0"/>
              <w:left w:val="single" w:color="auto" w:sz="4" w:space="0"/>
              <w:bottom w:val="single" w:color="auto" w:sz="4" w:space="0"/>
              <w:right w:val="single" w:color="auto" w:sz="4" w:space="0"/>
            </w:tcBorders>
            <w:vAlign w:val="top"/>
          </w:tcPr>
          <w:p w14:paraId="093DC6B6">
            <w:pPr>
              <w:pStyle w:val="257"/>
              <w:spacing w:before="64" w:line="220" w:lineRule="auto"/>
              <w:ind w:left="102"/>
              <w:rPr>
                <w:rFonts w:hint="default" w:ascii="Arial" w:hAnsi="Arial" w:eastAsia="宋体" w:cs="Arial"/>
                <w:sz w:val="21"/>
                <w:szCs w:val="21"/>
              </w:rPr>
            </w:pPr>
            <w:r>
              <w:rPr>
                <w:rFonts w:hint="default" w:ascii="Arial" w:hAnsi="Arial" w:eastAsia="宋体" w:cs="Arial"/>
                <w:spacing w:val="-1"/>
                <w:sz w:val="21"/>
                <w:szCs w:val="21"/>
              </w:rPr>
              <w:t>A020202</w:t>
            </w:r>
            <w:r>
              <w:rPr>
                <w:rFonts w:hint="default" w:ascii="Arial" w:hAnsi="Arial" w:eastAsia="宋体" w:cs="Arial"/>
                <w:spacing w:val="-33"/>
                <w:sz w:val="21"/>
                <w:szCs w:val="21"/>
              </w:rPr>
              <w:t xml:space="preserve"> </w:t>
            </w:r>
            <w:r>
              <w:rPr>
                <w:rFonts w:hint="default" w:ascii="Arial" w:hAnsi="Arial" w:eastAsia="宋体" w:cs="Arial"/>
                <w:spacing w:val="-1"/>
                <w:sz w:val="21"/>
                <w:szCs w:val="21"/>
              </w:rPr>
              <w:t>投影仪</w:t>
            </w:r>
          </w:p>
        </w:tc>
        <w:tc>
          <w:tcPr>
            <w:tcW w:w="2672" w:type="dxa"/>
            <w:tcBorders>
              <w:top w:val="single" w:color="auto" w:sz="4" w:space="0"/>
              <w:left w:val="single" w:color="auto" w:sz="4" w:space="0"/>
              <w:bottom w:val="single" w:color="auto" w:sz="4" w:space="0"/>
              <w:right w:val="single" w:color="auto" w:sz="4" w:space="0"/>
            </w:tcBorders>
            <w:vAlign w:val="top"/>
          </w:tcPr>
          <w:p w14:paraId="47E6A5AF">
            <w:pPr>
              <w:rPr>
                <w:rFonts w:hint="default" w:ascii="Arial" w:hAnsi="Arial" w:eastAsia="宋体" w:cs="Arial"/>
                <w:sz w:val="21"/>
                <w:szCs w:val="21"/>
              </w:rPr>
            </w:pPr>
          </w:p>
        </w:tc>
        <w:tc>
          <w:tcPr>
            <w:tcW w:w="2248" w:type="dxa"/>
            <w:tcBorders>
              <w:top w:val="single" w:color="auto" w:sz="4" w:space="0"/>
              <w:left w:val="single" w:color="auto" w:sz="4" w:space="0"/>
              <w:bottom w:val="single" w:color="auto" w:sz="4" w:space="0"/>
              <w:right w:val="single" w:color="auto" w:sz="4" w:space="0"/>
            </w:tcBorders>
            <w:vAlign w:val="top"/>
          </w:tcPr>
          <w:p w14:paraId="77787557">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68D4D474">
            <w:pPr>
              <w:pStyle w:val="257"/>
              <w:spacing w:before="64" w:line="219" w:lineRule="auto"/>
              <w:ind w:left="109"/>
              <w:rPr>
                <w:rFonts w:hint="default" w:ascii="Arial" w:hAnsi="Arial" w:eastAsia="宋体" w:cs="Arial"/>
                <w:sz w:val="21"/>
                <w:szCs w:val="21"/>
              </w:rPr>
            </w:pPr>
            <w:r>
              <w:rPr>
                <w:rFonts w:hint="default" w:ascii="Arial" w:hAnsi="Arial" w:eastAsia="宋体" w:cs="Arial"/>
                <w:spacing w:val="-1"/>
                <w:sz w:val="21"/>
                <w:szCs w:val="21"/>
              </w:rPr>
              <w:t>HJ2516</w:t>
            </w:r>
            <w:r>
              <w:rPr>
                <w:rFonts w:hint="default" w:ascii="Arial" w:hAnsi="Arial" w:eastAsia="宋体" w:cs="Arial"/>
                <w:spacing w:val="-34"/>
                <w:sz w:val="21"/>
                <w:szCs w:val="21"/>
              </w:rPr>
              <w:t xml:space="preserve"> </w:t>
            </w:r>
            <w:r>
              <w:rPr>
                <w:rFonts w:hint="default" w:ascii="Arial" w:hAnsi="Arial" w:eastAsia="宋体" w:cs="Arial"/>
                <w:spacing w:val="-1"/>
                <w:sz w:val="21"/>
                <w:szCs w:val="21"/>
              </w:rPr>
              <w:t>投影仪</w:t>
            </w:r>
          </w:p>
        </w:tc>
      </w:tr>
      <w:tr w14:paraId="5D238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83" w:type="dxa"/>
            <w:tcBorders>
              <w:top w:val="single" w:color="auto" w:sz="4" w:space="0"/>
              <w:left w:val="single" w:color="auto" w:sz="4" w:space="0"/>
              <w:bottom w:val="single" w:color="auto" w:sz="4" w:space="0"/>
              <w:right w:val="single" w:color="auto" w:sz="4" w:space="0"/>
            </w:tcBorders>
            <w:vAlign w:val="top"/>
          </w:tcPr>
          <w:p w14:paraId="04E1DC29">
            <w:pPr>
              <w:pStyle w:val="257"/>
              <w:spacing w:before="64" w:line="242" w:lineRule="auto"/>
              <w:ind w:left="114"/>
              <w:rPr>
                <w:rFonts w:hint="default" w:ascii="Arial" w:hAnsi="Arial" w:eastAsia="宋体" w:cs="Arial"/>
                <w:sz w:val="21"/>
                <w:szCs w:val="21"/>
              </w:rPr>
            </w:pPr>
            <w:r>
              <w:rPr>
                <w:rFonts w:hint="default" w:ascii="Arial" w:hAnsi="Arial" w:eastAsia="宋体" w:cs="Arial"/>
                <w:sz w:val="21"/>
                <w:szCs w:val="21"/>
              </w:rPr>
              <w:t>4</w:t>
            </w:r>
          </w:p>
        </w:tc>
        <w:tc>
          <w:tcPr>
            <w:tcW w:w="1542" w:type="dxa"/>
            <w:tcBorders>
              <w:top w:val="single" w:color="auto" w:sz="4" w:space="0"/>
              <w:left w:val="single" w:color="auto" w:sz="4" w:space="0"/>
              <w:bottom w:val="single" w:color="auto" w:sz="4" w:space="0"/>
              <w:right w:val="single" w:color="auto" w:sz="4" w:space="0"/>
            </w:tcBorders>
            <w:vAlign w:val="top"/>
          </w:tcPr>
          <w:p w14:paraId="646BDCAC">
            <w:pPr>
              <w:pStyle w:val="257"/>
              <w:spacing w:before="64" w:line="219" w:lineRule="auto"/>
              <w:ind w:left="102"/>
              <w:rPr>
                <w:rFonts w:hint="default" w:ascii="Arial" w:hAnsi="Arial" w:eastAsia="宋体" w:cs="Arial"/>
                <w:sz w:val="21"/>
                <w:szCs w:val="21"/>
              </w:rPr>
            </w:pPr>
            <w:r>
              <w:rPr>
                <w:rFonts w:hint="default" w:ascii="Arial" w:hAnsi="Arial" w:eastAsia="宋体" w:cs="Arial"/>
                <w:spacing w:val="-1"/>
                <w:sz w:val="21"/>
                <w:szCs w:val="21"/>
              </w:rPr>
              <w:t>A020201</w:t>
            </w:r>
            <w:r>
              <w:rPr>
                <w:rFonts w:hint="default" w:ascii="Arial" w:hAnsi="Arial" w:eastAsia="宋体" w:cs="Arial"/>
                <w:spacing w:val="-32"/>
                <w:sz w:val="21"/>
                <w:szCs w:val="21"/>
              </w:rPr>
              <w:t xml:space="preserve"> </w:t>
            </w:r>
            <w:r>
              <w:rPr>
                <w:rFonts w:hint="default" w:ascii="Arial" w:hAnsi="Arial" w:eastAsia="宋体" w:cs="Arial"/>
                <w:spacing w:val="-1"/>
                <w:sz w:val="21"/>
                <w:szCs w:val="21"/>
              </w:rPr>
              <w:t>复印机</w:t>
            </w:r>
          </w:p>
        </w:tc>
        <w:tc>
          <w:tcPr>
            <w:tcW w:w="2672" w:type="dxa"/>
            <w:tcBorders>
              <w:top w:val="single" w:color="auto" w:sz="4" w:space="0"/>
              <w:left w:val="single" w:color="auto" w:sz="4" w:space="0"/>
              <w:bottom w:val="single" w:color="auto" w:sz="4" w:space="0"/>
              <w:right w:val="single" w:color="auto" w:sz="4" w:space="0"/>
            </w:tcBorders>
            <w:vAlign w:val="top"/>
          </w:tcPr>
          <w:p w14:paraId="2CCBF178">
            <w:pPr>
              <w:rPr>
                <w:rFonts w:hint="default" w:ascii="Arial" w:hAnsi="Arial" w:eastAsia="宋体" w:cs="Arial"/>
                <w:sz w:val="21"/>
                <w:szCs w:val="21"/>
              </w:rPr>
            </w:pPr>
          </w:p>
        </w:tc>
        <w:tc>
          <w:tcPr>
            <w:tcW w:w="2248" w:type="dxa"/>
            <w:tcBorders>
              <w:top w:val="single" w:color="auto" w:sz="4" w:space="0"/>
              <w:left w:val="single" w:color="auto" w:sz="4" w:space="0"/>
              <w:bottom w:val="single" w:color="auto" w:sz="4" w:space="0"/>
              <w:right w:val="single" w:color="auto" w:sz="4" w:space="0"/>
            </w:tcBorders>
            <w:vAlign w:val="top"/>
          </w:tcPr>
          <w:p w14:paraId="519F0800">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09C4AC9C">
            <w:pPr>
              <w:pStyle w:val="257"/>
              <w:spacing w:before="64" w:line="219" w:lineRule="auto"/>
              <w:ind w:left="109"/>
              <w:rPr>
                <w:rFonts w:hint="default" w:ascii="Arial" w:hAnsi="Arial" w:eastAsia="宋体" w:cs="Arial"/>
                <w:sz w:val="21"/>
                <w:szCs w:val="21"/>
              </w:rPr>
            </w:pPr>
            <w:r>
              <w:rPr>
                <w:rFonts w:hint="default" w:ascii="Arial" w:hAnsi="Arial" w:eastAsia="宋体" w:cs="Arial"/>
                <w:sz w:val="21"/>
                <w:szCs w:val="21"/>
              </w:rPr>
              <w:t>HJ424 数字式复印（包括多功能）设备</w:t>
            </w:r>
          </w:p>
        </w:tc>
      </w:tr>
      <w:tr w14:paraId="02A6A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top w:val="single" w:color="auto" w:sz="4" w:space="0"/>
              <w:left w:val="single" w:color="auto" w:sz="4" w:space="0"/>
              <w:bottom w:val="single" w:color="auto" w:sz="4" w:space="0"/>
              <w:right w:val="single" w:color="auto" w:sz="4" w:space="0"/>
            </w:tcBorders>
            <w:vAlign w:val="top"/>
          </w:tcPr>
          <w:p w14:paraId="593DF631">
            <w:pPr>
              <w:pStyle w:val="257"/>
              <w:spacing w:before="65"/>
              <w:ind w:left="118"/>
              <w:rPr>
                <w:rFonts w:hint="default" w:ascii="Arial" w:hAnsi="Arial" w:eastAsia="宋体" w:cs="Arial"/>
                <w:sz w:val="21"/>
                <w:szCs w:val="21"/>
              </w:rPr>
            </w:pPr>
            <w:r>
              <w:rPr>
                <w:rFonts w:hint="default" w:ascii="Arial" w:hAnsi="Arial" w:eastAsia="宋体" w:cs="Arial"/>
                <w:sz w:val="21"/>
                <w:szCs w:val="21"/>
              </w:rPr>
              <w:t>5</w:t>
            </w:r>
          </w:p>
        </w:tc>
        <w:tc>
          <w:tcPr>
            <w:tcW w:w="1542" w:type="dxa"/>
            <w:tcBorders>
              <w:top w:val="single" w:color="auto" w:sz="4" w:space="0"/>
              <w:left w:val="single" w:color="auto" w:sz="4" w:space="0"/>
              <w:bottom w:val="single" w:color="auto" w:sz="4" w:space="0"/>
              <w:right w:val="single" w:color="auto" w:sz="4" w:space="0"/>
            </w:tcBorders>
            <w:vAlign w:val="top"/>
          </w:tcPr>
          <w:p w14:paraId="6AA7F443">
            <w:pPr>
              <w:pStyle w:val="257"/>
              <w:spacing w:before="64" w:line="284" w:lineRule="auto"/>
              <w:ind w:left="110" w:right="108" w:hanging="8"/>
              <w:rPr>
                <w:rFonts w:hint="default" w:ascii="Arial" w:hAnsi="Arial" w:eastAsia="宋体" w:cs="Arial"/>
                <w:sz w:val="21"/>
                <w:szCs w:val="21"/>
              </w:rPr>
            </w:pPr>
            <w:r>
              <w:rPr>
                <w:rFonts w:hint="default" w:ascii="Arial" w:hAnsi="Arial" w:eastAsia="宋体" w:cs="Arial"/>
                <w:spacing w:val="2"/>
                <w:sz w:val="21"/>
                <w:szCs w:val="21"/>
              </w:rPr>
              <w:t>A020204</w:t>
            </w:r>
            <w:r>
              <w:rPr>
                <w:rFonts w:hint="default" w:ascii="Arial" w:hAnsi="Arial" w:eastAsia="宋体" w:cs="Arial"/>
                <w:spacing w:val="44"/>
                <w:sz w:val="21"/>
                <w:szCs w:val="21"/>
              </w:rPr>
              <w:t xml:space="preserve"> </w:t>
            </w:r>
            <w:r>
              <w:rPr>
                <w:rFonts w:hint="default" w:ascii="Arial" w:hAnsi="Arial" w:eastAsia="宋体" w:cs="Arial"/>
                <w:spacing w:val="2"/>
                <w:sz w:val="21"/>
                <w:szCs w:val="21"/>
              </w:rPr>
              <w:t>多功能</w:t>
            </w:r>
            <w:r>
              <w:rPr>
                <w:rFonts w:hint="default" w:ascii="Arial" w:hAnsi="Arial" w:eastAsia="宋体" w:cs="Arial"/>
                <w:sz w:val="21"/>
                <w:szCs w:val="21"/>
              </w:rPr>
              <w:t xml:space="preserve"> </w:t>
            </w:r>
            <w:r>
              <w:rPr>
                <w:rFonts w:hint="default" w:ascii="Arial" w:hAnsi="Arial" w:eastAsia="宋体" w:cs="Arial"/>
                <w:spacing w:val="-4"/>
                <w:sz w:val="21"/>
                <w:szCs w:val="21"/>
              </w:rPr>
              <w:t>一体机</w:t>
            </w:r>
          </w:p>
        </w:tc>
        <w:tc>
          <w:tcPr>
            <w:tcW w:w="2672" w:type="dxa"/>
            <w:tcBorders>
              <w:top w:val="single" w:color="auto" w:sz="4" w:space="0"/>
              <w:left w:val="single" w:color="auto" w:sz="4" w:space="0"/>
              <w:bottom w:val="single" w:color="auto" w:sz="4" w:space="0"/>
              <w:right w:val="single" w:color="auto" w:sz="4" w:space="0"/>
            </w:tcBorders>
            <w:vAlign w:val="top"/>
          </w:tcPr>
          <w:p w14:paraId="62E7C00D">
            <w:pPr>
              <w:rPr>
                <w:rFonts w:hint="default" w:ascii="Arial" w:hAnsi="Arial" w:eastAsia="宋体" w:cs="Arial"/>
                <w:sz w:val="21"/>
                <w:szCs w:val="21"/>
              </w:rPr>
            </w:pPr>
          </w:p>
        </w:tc>
        <w:tc>
          <w:tcPr>
            <w:tcW w:w="2248" w:type="dxa"/>
            <w:tcBorders>
              <w:top w:val="single" w:color="auto" w:sz="4" w:space="0"/>
              <w:left w:val="single" w:color="auto" w:sz="4" w:space="0"/>
              <w:bottom w:val="single" w:color="auto" w:sz="4" w:space="0"/>
              <w:right w:val="single" w:color="auto" w:sz="4" w:space="0"/>
            </w:tcBorders>
            <w:vAlign w:val="top"/>
          </w:tcPr>
          <w:p w14:paraId="529157F6">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3B112540">
            <w:pPr>
              <w:pStyle w:val="257"/>
              <w:spacing w:before="64" w:line="219" w:lineRule="auto"/>
              <w:ind w:left="109"/>
              <w:rPr>
                <w:rFonts w:hint="default" w:ascii="Arial" w:hAnsi="Arial" w:eastAsia="宋体" w:cs="Arial"/>
                <w:sz w:val="21"/>
                <w:szCs w:val="21"/>
              </w:rPr>
            </w:pPr>
            <w:r>
              <w:rPr>
                <w:rFonts w:hint="default" w:ascii="Arial" w:hAnsi="Arial" w:eastAsia="宋体" w:cs="Arial"/>
                <w:sz w:val="21"/>
                <w:szCs w:val="21"/>
              </w:rPr>
              <w:t>HJ424 数字式复印（包括多功能）设备</w:t>
            </w:r>
          </w:p>
        </w:tc>
      </w:tr>
      <w:tr w14:paraId="17566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top w:val="single" w:color="auto" w:sz="4" w:space="0"/>
              <w:left w:val="single" w:color="auto" w:sz="4" w:space="0"/>
              <w:bottom w:val="single" w:color="auto" w:sz="4" w:space="0"/>
              <w:right w:val="single" w:color="auto" w:sz="4" w:space="0"/>
            </w:tcBorders>
            <w:vAlign w:val="top"/>
          </w:tcPr>
          <w:p w14:paraId="78E6A396">
            <w:pPr>
              <w:pStyle w:val="257"/>
              <w:spacing w:before="65"/>
              <w:ind w:left="116"/>
              <w:rPr>
                <w:rFonts w:hint="default" w:ascii="Arial" w:hAnsi="Arial" w:eastAsia="宋体" w:cs="Arial"/>
                <w:sz w:val="21"/>
                <w:szCs w:val="21"/>
              </w:rPr>
            </w:pPr>
            <w:r>
              <w:rPr>
                <w:rFonts w:hint="default" w:ascii="Arial" w:hAnsi="Arial" w:eastAsia="宋体" w:cs="Arial"/>
                <w:sz w:val="21"/>
                <w:szCs w:val="21"/>
              </w:rPr>
              <w:t>6</w:t>
            </w:r>
          </w:p>
        </w:tc>
        <w:tc>
          <w:tcPr>
            <w:tcW w:w="1542" w:type="dxa"/>
            <w:tcBorders>
              <w:top w:val="single" w:color="auto" w:sz="4" w:space="0"/>
              <w:left w:val="single" w:color="auto" w:sz="4" w:space="0"/>
              <w:bottom w:val="single" w:color="auto" w:sz="4" w:space="0"/>
              <w:right w:val="single" w:color="auto" w:sz="4" w:space="0"/>
            </w:tcBorders>
            <w:vAlign w:val="top"/>
          </w:tcPr>
          <w:p w14:paraId="224197F9">
            <w:pPr>
              <w:pStyle w:val="257"/>
              <w:spacing w:before="66" w:line="283" w:lineRule="auto"/>
              <w:ind w:left="109" w:right="108" w:hanging="7"/>
              <w:rPr>
                <w:rFonts w:hint="default" w:ascii="Arial" w:hAnsi="Arial" w:eastAsia="宋体" w:cs="Arial"/>
                <w:sz w:val="21"/>
                <w:szCs w:val="21"/>
              </w:rPr>
            </w:pPr>
            <w:r>
              <w:rPr>
                <w:rFonts w:hint="default" w:ascii="Arial" w:hAnsi="Arial" w:eastAsia="宋体" w:cs="Arial"/>
                <w:spacing w:val="-1"/>
                <w:sz w:val="21"/>
                <w:szCs w:val="21"/>
              </w:rPr>
              <w:t>A020210</w:t>
            </w:r>
            <w:r>
              <w:rPr>
                <w:rFonts w:hint="default" w:ascii="Arial" w:hAnsi="Arial" w:eastAsia="宋体" w:cs="Arial"/>
                <w:spacing w:val="32"/>
                <w:sz w:val="21"/>
                <w:szCs w:val="21"/>
              </w:rPr>
              <w:t xml:space="preserve"> </w:t>
            </w:r>
            <w:r>
              <w:rPr>
                <w:rFonts w:hint="default" w:ascii="Arial" w:hAnsi="Arial" w:eastAsia="宋体" w:cs="Arial"/>
                <w:spacing w:val="-1"/>
                <w:sz w:val="21"/>
                <w:szCs w:val="21"/>
              </w:rPr>
              <w:t>文</w:t>
            </w:r>
            <w:r>
              <w:rPr>
                <w:rFonts w:hint="default" w:ascii="Arial" w:hAnsi="Arial" w:eastAsia="宋体" w:cs="Arial"/>
                <w:spacing w:val="-48"/>
                <w:sz w:val="21"/>
                <w:szCs w:val="21"/>
              </w:rPr>
              <w:t xml:space="preserve"> </w:t>
            </w:r>
            <w:r>
              <w:rPr>
                <w:rFonts w:hint="default" w:ascii="Arial" w:hAnsi="Arial" w:eastAsia="宋体" w:cs="Arial"/>
                <w:spacing w:val="-1"/>
                <w:sz w:val="21"/>
                <w:szCs w:val="21"/>
              </w:rPr>
              <w:t>印设</w:t>
            </w:r>
            <w:r>
              <w:rPr>
                <w:rFonts w:hint="default" w:ascii="Arial" w:hAnsi="Arial" w:eastAsia="宋体" w:cs="Arial"/>
                <w:sz w:val="21"/>
                <w:szCs w:val="21"/>
              </w:rPr>
              <w:t xml:space="preserve"> 备</w:t>
            </w:r>
          </w:p>
        </w:tc>
        <w:tc>
          <w:tcPr>
            <w:tcW w:w="2672" w:type="dxa"/>
            <w:tcBorders>
              <w:top w:val="single" w:color="auto" w:sz="4" w:space="0"/>
              <w:left w:val="single" w:color="auto" w:sz="4" w:space="0"/>
              <w:bottom w:val="single" w:color="auto" w:sz="4" w:space="0"/>
              <w:right w:val="single" w:color="auto" w:sz="4" w:space="0"/>
            </w:tcBorders>
            <w:vAlign w:val="top"/>
          </w:tcPr>
          <w:p w14:paraId="15811672">
            <w:pPr>
              <w:pStyle w:val="257"/>
              <w:spacing w:before="65" w:line="219" w:lineRule="auto"/>
              <w:ind w:left="103"/>
              <w:rPr>
                <w:rFonts w:hint="default" w:ascii="Arial" w:hAnsi="Arial" w:eastAsia="宋体" w:cs="Arial"/>
                <w:sz w:val="21"/>
                <w:szCs w:val="21"/>
              </w:rPr>
            </w:pPr>
            <w:r>
              <w:rPr>
                <w:rFonts w:hint="default" w:ascii="Arial" w:hAnsi="Arial" w:eastAsia="宋体" w:cs="Arial"/>
                <w:sz w:val="21"/>
                <w:szCs w:val="21"/>
              </w:rPr>
              <w:t>A02021001 速印机</w:t>
            </w:r>
          </w:p>
        </w:tc>
        <w:tc>
          <w:tcPr>
            <w:tcW w:w="2248" w:type="dxa"/>
            <w:tcBorders>
              <w:top w:val="single" w:color="auto" w:sz="4" w:space="0"/>
              <w:left w:val="single" w:color="auto" w:sz="4" w:space="0"/>
              <w:bottom w:val="single" w:color="auto" w:sz="4" w:space="0"/>
              <w:right w:val="single" w:color="auto" w:sz="4" w:space="0"/>
            </w:tcBorders>
            <w:vAlign w:val="top"/>
          </w:tcPr>
          <w:p w14:paraId="704445D9">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7A0D4053">
            <w:pPr>
              <w:pStyle w:val="257"/>
              <w:spacing w:before="65" w:line="219" w:lineRule="auto"/>
              <w:ind w:left="109"/>
              <w:rPr>
                <w:rFonts w:hint="default" w:ascii="Arial" w:hAnsi="Arial" w:eastAsia="宋体" w:cs="Arial"/>
                <w:sz w:val="21"/>
                <w:szCs w:val="21"/>
              </w:rPr>
            </w:pPr>
            <w:r>
              <w:rPr>
                <w:rFonts w:hint="default" w:ascii="Arial" w:hAnsi="Arial" w:eastAsia="宋体" w:cs="Arial"/>
                <w:spacing w:val="-1"/>
                <w:sz w:val="21"/>
                <w:szCs w:val="21"/>
              </w:rPr>
              <w:t>HJ472 数字式一体化速印机</w:t>
            </w:r>
          </w:p>
        </w:tc>
      </w:tr>
      <w:tr w14:paraId="17686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583" w:type="dxa"/>
            <w:tcBorders>
              <w:top w:val="single" w:color="auto" w:sz="4" w:space="0"/>
              <w:left w:val="single" w:color="auto" w:sz="4" w:space="0"/>
              <w:bottom w:val="single" w:color="auto" w:sz="4" w:space="0"/>
              <w:right w:val="single" w:color="auto" w:sz="4" w:space="0"/>
            </w:tcBorders>
            <w:vAlign w:val="top"/>
          </w:tcPr>
          <w:p w14:paraId="324220DC">
            <w:pPr>
              <w:pStyle w:val="257"/>
              <w:spacing w:before="66"/>
              <w:ind w:left="119"/>
              <w:rPr>
                <w:rFonts w:hint="default" w:ascii="Arial" w:hAnsi="Arial" w:eastAsia="宋体" w:cs="Arial"/>
                <w:sz w:val="21"/>
                <w:szCs w:val="21"/>
              </w:rPr>
            </w:pPr>
            <w:r>
              <w:rPr>
                <w:rFonts w:hint="default" w:ascii="Arial" w:hAnsi="Arial" w:eastAsia="宋体" w:cs="Arial"/>
                <w:sz w:val="21"/>
                <w:szCs w:val="21"/>
              </w:rPr>
              <w:t>7</w:t>
            </w:r>
          </w:p>
        </w:tc>
        <w:tc>
          <w:tcPr>
            <w:tcW w:w="1542" w:type="dxa"/>
            <w:tcBorders>
              <w:top w:val="single" w:color="auto" w:sz="4" w:space="0"/>
              <w:left w:val="single" w:color="auto" w:sz="4" w:space="0"/>
              <w:bottom w:val="single" w:color="auto" w:sz="4" w:space="0"/>
              <w:right w:val="single" w:color="auto" w:sz="4" w:space="0"/>
            </w:tcBorders>
            <w:vAlign w:val="top"/>
          </w:tcPr>
          <w:p w14:paraId="7FF68FD9">
            <w:pPr>
              <w:pStyle w:val="257"/>
              <w:spacing w:before="67" w:line="301" w:lineRule="auto"/>
              <w:ind w:left="109" w:right="32" w:hanging="7"/>
              <w:rPr>
                <w:rFonts w:hint="default" w:ascii="Arial" w:hAnsi="Arial" w:eastAsia="宋体" w:cs="Arial"/>
                <w:sz w:val="21"/>
                <w:szCs w:val="21"/>
              </w:rPr>
            </w:pPr>
            <w:r>
              <w:rPr>
                <w:rFonts w:hint="default" w:ascii="Arial" w:hAnsi="Arial" w:eastAsia="宋体" w:cs="Arial"/>
                <w:spacing w:val="3"/>
                <w:sz w:val="21"/>
                <w:szCs w:val="21"/>
              </w:rPr>
              <w:t>A020301</w:t>
            </w:r>
            <w:r>
              <w:rPr>
                <w:rFonts w:hint="default" w:ascii="Arial" w:hAnsi="Arial" w:eastAsia="宋体" w:cs="Arial"/>
                <w:spacing w:val="34"/>
                <w:sz w:val="21"/>
                <w:szCs w:val="21"/>
              </w:rPr>
              <w:t xml:space="preserve"> </w:t>
            </w:r>
            <w:r>
              <w:rPr>
                <w:rFonts w:hint="default" w:ascii="Arial" w:hAnsi="Arial" w:eastAsia="宋体" w:cs="Arial"/>
                <w:spacing w:val="3"/>
                <w:sz w:val="21"/>
                <w:szCs w:val="21"/>
              </w:rPr>
              <w:t>载货汽</w:t>
            </w:r>
            <w:r>
              <w:rPr>
                <w:rFonts w:hint="default" w:ascii="Arial" w:hAnsi="Arial" w:eastAsia="宋体" w:cs="Arial"/>
                <w:sz w:val="21"/>
                <w:szCs w:val="21"/>
              </w:rPr>
              <w:t xml:space="preserve">  </w:t>
            </w:r>
            <w:r>
              <w:rPr>
                <w:rFonts w:hint="default" w:ascii="Arial" w:hAnsi="Arial" w:eastAsia="宋体" w:cs="Arial"/>
                <w:spacing w:val="-6"/>
                <w:sz w:val="21"/>
                <w:szCs w:val="21"/>
              </w:rPr>
              <w:t>车（含自卸汽车）</w:t>
            </w:r>
          </w:p>
        </w:tc>
        <w:tc>
          <w:tcPr>
            <w:tcW w:w="2672" w:type="dxa"/>
            <w:tcBorders>
              <w:top w:val="single" w:color="auto" w:sz="4" w:space="0"/>
              <w:left w:val="single" w:color="auto" w:sz="4" w:space="0"/>
              <w:bottom w:val="single" w:color="auto" w:sz="4" w:space="0"/>
              <w:right w:val="single" w:color="auto" w:sz="4" w:space="0"/>
            </w:tcBorders>
            <w:vAlign w:val="top"/>
          </w:tcPr>
          <w:p w14:paraId="32E2E777">
            <w:pPr>
              <w:rPr>
                <w:rFonts w:hint="default" w:ascii="Arial" w:hAnsi="Arial" w:eastAsia="宋体" w:cs="Arial"/>
                <w:sz w:val="21"/>
                <w:szCs w:val="21"/>
              </w:rPr>
            </w:pPr>
          </w:p>
        </w:tc>
        <w:tc>
          <w:tcPr>
            <w:tcW w:w="2248" w:type="dxa"/>
            <w:tcBorders>
              <w:top w:val="single" w:color="auto" w:sz="4" w:space="0"/>
              <w:left w:val="single" w:color="auto" w:sz="4" w:space="0"/>
              <w:bottom w:val="single" w:color="auto" w:sz="4" w:space="0"/>
              <w:right w:val="single" w:color="auto" w:sz="4" w:space="0"/>
            </w:tcBorders>
            <w:vAlign w:val="top"/>
          </w:tcPr>
          <w:p w14:paraId="180782C2">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612A7A2C">
            <w:pPr>
              <w:pStyle w:val="257"/>
              <w:spacing w:before="65" w:line="219" w:lineRule="auto"/>
              <w:ind w:left="109"/>
              <w:rPr>
                <w:rFonts w:hint="default" w:ascii="Arial" w:hAnsi="Arial" w:eastAsia="宋体" w:cs="Arial"/>
                <w:sz w:val="21"/>
                <w:szCs w:val="21"/>
              </w:rPr>
            </w:pPr>
            <w:r>
              <w:rPr>
                <w:rFonts w:hint="default" w:ascii="Arial" w:hAnsi="Arial" w:eastAsia="宋体" w:cs="Arial"/>
                <w:spacing w:val="-1"/>
                <w:sz w:val="21"/>
                <w:szCs w:val="21"/>
              </w:rPr>
              <w:t>HJ2532</w:t>
            </w:r>
            <w:r>
              <w:rPr>
                <w:rFonts w:hint="default" w:ascii="Arial" w:hAnsi="Arial" w:eastAsia="宋体" w:cs="Arial"/>
                <w:spacing w:val="-35"/>
                <w:sz w:val="21"/>
                <w:szCs w:val="21"/>
              </w:rPr>
              <w:t xml:space="preserve"> </w:t>
            </w:r>
            <w:r>
              <w:rPr>
                <w:rFonts w:hint="default" w:ascii="Arial" w:hAnsi="Arial" w:eastAsia="宋体" w:cs="Arial"/>
                <w:spacing w:val="-1"/>
                <w:sz w:val="21"/>
                <w:szCs w:val="21"/>
              </w:rPr>
              <w:t>轻型汽车</w:t>
            </w:r>
          </w:p>
        </w:tc>
      </w:tr>
      <w:tr w14:paraId="6F196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22CD03D4">
            <w:pPr>
              <w:pStyle w:val="257"/>
              <w:spacing w:before="67"/>
              <w:ind w:left="115"/>
              <w:rPr>
                <w:rFonts w:hint="default" w:ascii="Arial" w:hAnsi="Arial" w:eastAsia="宋体" w:cs="Arial"/>
                <w:sz w:val="21"/>
                <w:szCs w:val="21"/>
              </w:rPr>
            </w:pPr>
            <w:r>
              <w:rPr>
                <w:rFonts w:hint="default" w:ascii="Arial" w:hAnsi="Arial" w:eastAsia="宋体" w:cs="Arial"/>
                <w:sz w:val="21"/>
                <w:szCs w:val="21"/>
              </w:rPr>
              <w:t>8</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51C6A4D7">
            <w:pPr>
              <w:pStyle w:val="257"/>
              <w:spacing w:before="66" w:line="322" w:lineRule="auto"/>
              <w:ind w:left="112" w:right="108" w:hanging="10"/>
              <w:rPr>
                <w:rFonts w:hint="default" w:ascii="Arial" w:hAnsi="Arial" w:eastAsia="宋体" w:cs="Arial"/>
                <w:sz w:val="21"/>
                <w:szCs w:val="21"/>
              </w:rPr>
            </w:pPr>
            <w:r>
              <w:rPr>
                <w:rFonts w:hint="default" w:ascii="Arial" w:hAnsi="Arial" w:eastAsia="宋体" w:cs="Arial"/>
                <w:spacing w:val="3"/>
                <w:sz w:val="21"/>
                <w:szCs w:val="21"/>
              </w:rPr>
              <w:t>A020305</w:t>
            </w:r>
            <w:r>
              <w:rPr>
                <w:rFonts w:hint="default" w:ascii="Arial" w:hAnsi="Arial" w:eastAsia="宋体" w:cs="Arial"/>
                <w:spacing w:val="34"/>
                <w:sz w:val="21"/>
                <w:szCs w:val="21"/>
              </w:rPr>
              <w:t xml:space="preserve"> </w:t>
            </w:r>
            <w:r>
              <w:rPr>
                <w:rFonts w:hint="default" w:ascii="Arial" w:hAnsi="Arial" w:eastAsia="宋体" w:cs="Arial"/>
                <w:spacing w:val="3"/>
                <w:sz w:val="21"/>
                <w:szCs w:val="21"/>
              </w:rPr>
              <w:t>乘用车</w:t>
            </w:r>
            <w:r>
              <w:rPr>
                <w:rFonts w:hint="default" w:ascii="Arial" w:hAnsi="Arial" w:eastAsia="宋体" w:cs="Arial"/>
                <w:sz w:val="21"/>
                <w:szCs w:val="21"/>
              </w:rPr>
              <w:t xml:space="preserve"> </w:t>
            </w:r>
            <w:r>
              <w:rPr>
                <w:rFonts w:hint="default" w:ascii="Arial" w:hAnsi="Arial" w:eastAsia="宋体" w:cs="Arial"/>
                <w:spacing w:val="-3"/>
                <w:sz w:val="21"/>
                <w:szCs w:val="21"/>
              </w:rPr>
              <w:t>（轿车）</w:t>
            </w:r>
          </w:p>
        </w:tc>
        <w:tc>
          <w:tcPr>
            <w:tcW w:w="2672" w:type="dxa"/>
            <w:tcBorders>
              <w:top w:val="single" w:color="auto" w:sz="4" w:space="0"/>
              <w:left w:val="single" w:color="auto" w:sz="4" w:space="0"/>
              <w:bottom w:val="single" w:color="auto" w:sz="4" w:space="0"/>
              <w:right w:val="single" w:color="auto" w:sz="4" w:space="0"/>
            </w:tcBorders>
            <w:vAlign w:val="top"/>
          </w:tcPr>
          <w:p w14:paraId="1C131087">
            <w:pPr>
              <w:pStyle w:val="257"/>
              <w:spacing w:before="66" w:line="220" w:lineRule="auto"/>
              <w:ind w:left="103"/>
              <w:rPr>
                <w:rFonts w:hint="default" w:ascii="Arial" w:hAnsi="Arial" w:eastAsia="宋体" w:cs="Arial"/>
                <w:sz w:val="21"/>
                <w:szCs w:val="21"/>
              </w:rPr>
            </w:pPr>
            <w:r>
              <w:rPr>
                <w:rFonts w:hint="default" w:ascii="Arial" w:hAnsi="Arial" w:eastAsia="宋体" w:cs="Arial"/>
                <w:sz w:val="21"/>
                <w:szCs w:val="21"/>
              </w:rPr>
              <w:t>A02030501 轿车</w:t>
            </w:r>
          </w:p>
        </w:tc>
        <w:tc>
          <w:tcPr>
            <w:tcW w:w="2248" w:type="dxa"/>
            <w:tcBorders>
              <w:top w:val="single" w:color="auto" w:sz="4" w:space="0"/>
              <w:left w:val="single" w:color="auto" w:sz="4" w:space="0"/>
              <w:bottom w:val="single" w:color="auto" w:sz="4" w:space="0"/>
              <w:right w:val="single" w:color="auto" w:sz="4" w:space="0"/>
            </w:tcBorders>
            <w:vAlign w:val="top"/>
          </w:tcPr>
          <w:p w14:paraId="2AFF20BC">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218E7781">
            <w:pPr>
              <w:pStyle w:val="257"/>
              <w:spacing w:before="66" w:line="219" w:lineRule="auto"/>
              <w:ind w:left="109"/>
              <w:rPr>
                <w:rFonts w:hint="default" w:ascii="Arial" w:hAnsi="Arial" w:eastAsia="宋体" w:cs="Arial"/>
                <w:sz w:val="21"/>
                <w:szCs w:val="21"/>
              </w:rPr>
            </w:pPr>
            <w:r>
              <w:rPr>
                <w:rFonts w:hint="default" w:ascii="Arial" w:hAnsi="Arial" w:eastAsia="宋体" w:cs="Arial"/>
                <w:spacing w:val="-1"/>
                <w:sz w:val="21"/>
                <w:szCs w:val="21"/>
              </w:rPr>
              <w:t>HJ2532</w:t>
            </w:r>
            <w:r>
              <w:rPr>
                <w:rFonts w:hint="default" w:ascii="Arial" w:hAnsi="Arial" w:eastAsia="宋体" w:cs="Arial"/>
                <w:spacing w:val="-35"/>
                <w:sz w:val="21"/>
                <w:szCs w:val="21"/>
              </w:rPr>
              <w:t xml:space="preserve"> </w:t>
            </w:r>
            <w:r>
              <w:rPr>
                <w:rFonts w:hint="default" w:ascii="Arial" w:hAnsi="Arial" w:eastAsia="宋体" w:cs="Arial"/>
                <w:spacing w:val="-1"/>
                <w:sz w:val="21"/>
                <w:szCs w:val="21"/>
              </w:rPr>
              <w:t>轻型汽车</w:t>
            </w:r>
          </w:p>
        </w:tc>
      </w:tr>
      <w:tr w14:paraId="5972F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10F9F322">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413D969B">
            <w:pPr>
              <w:rPr>
                <w:rFonts w:hint="default" w:ascii="Arial" w:hAnsi="Arial" w:eastAsia="宋体" w:cs="Arial"/>
                <w:sz w:val="21"/>
                <w:szCs w:val="21"/>
              </w:rPr>
            </w:pPr>
          </w:p>
        </w:tc>
        <w:tc>
          <w:tcPr>
            <w:tcW w:w="2672" w:type="dxa"/>
            <w:tcBorders>
              <w:top w:val="single" w:color="auto" w:sz="4" w:space="0"/>
              <w:left w:val="single" w:color="auto" w:sz="4" w:space="0"/>
              <w:bottom w:val="single" w:color="auto" w:sz="4" w:space="0"/>
              <w:right w:val="single" w:color="auto" w:sz="4" w:space="0"/>
            </w:tcBorders>
            <w:vAlign w:val="top"/>
          </w:tcPr>
          <w:p w14:paraId="3A041302">
            <w:pPr>
              <w:pStyle w:val="257"/>
              <w:spacing w:before="66" w:line="220" w:lineRule="auto"/>
              <w:ind w:left="103"/>
              <w:rPr>
                <w:rFonts w:hint="default" w:ascii="Arial" w:hAnsi="Arial" w:eastAsia="宋体" w:cs="Arial"/>
                <w:sz w:val="21"/>
                <w:szCs w:val="21"/>
              </w:rPr>
            </w:pPr>
            <w:r>
              <w:rPr>
                <w:rFonts w:hint="default" w:ascii="Arial" w:hAnsi="Arial" w:eastAsia="宋体" w:cs="Arial"/>
                <w:spacing w:val="-1"/>
                <w:sz w:val="21"/>
                <w:szCs w:val="21"/>
              </w:rPr>
              <w:t>A02030599</w:t>
            </w:r>
            <w:r>
              <w:rPr>
                <w:rFonts w:hint="default" w:ascii="Arial" w:hAnsi="Arial" w:eastAsia="宋体" w:cs="Arial"/>
                <w:spacing w:val="-28"/>
                <w:sz w:val="21"/>
                <w:szCs w:val="21"/>
              </w:rPr>
              <w:t xml:space="preserve"> </w:t>
            </w:r>
            <w:r>
              <w:rPr>
                <w:rFonts w:hint="default" w:ascii="Arial" w:hAnsi="Arial" w:eastAsia="宋体" w:cs="Arial"/>
                <w:spacing w:val="-1"/>
                <w:sz w:val="21"/>
                <w:szCs w:val="21"/>
              </w:rPr>
              <w:t>其他乘用车（轿车）</w:t>
            </w:r>
          </w:p>
        </w:tc>
        <w:tc>
          <w:tcPr>
            <w:tcW w:w="2248" w:type="dxa"/>
            <w:tcBorders>
              <w:top w:val="single" w:color="auto" w:sz="4" w:space="0"/>
              <w:left w:val="single" w:color="auto" w:sz="4" w:space="0"/>
              <w:bottom w:val="single" w:color="auto" w:sz="4" w:space="0"/>
              <w:right w:val="single" w:color="auto" w:sz="4" w:space="0"/>
            </w:tcBorders>
            <w:vAlign w:val="top"/>
          </w:tcPr>
          <w:p w14:paraId="33318B3D">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4EF66A1A">
            <w:pPr>
              <w:pStyle w:val="257"/>
              <w:spacing w:before="66" w:line="219" w:lineRule="auto"/>
              <w:ind w:left="109"/>
              <w:rPr>
                <w:rFonts w:hint="default" w:ascii="Arial" w:hAnsi="Arial" w:eastAsia="宋体" w:cs="Arial"/>
                <w:sz w:val="21"/>
                <w:szCs w:val="21"/>
              </w:rPr>
            </w:pPr>
            <w:r>
              <w:rPr>
                <w:rFonts w:hint="default" w:ascii="Arial" w:hAnsi="Arial" w:eastAsia="宋体" w:cs="Arial"/>
                <w:spacing w:val="-1"/>
                <w:sz w:val="21"/>
                <w:szCs w:val="21"/>
              </w:rPr>
              <w:t>HJ2532</w:t>
            </w:r>
            <w:r>
              <w:rPr>
                <w:rFonts w:hint="default" w:ascii="Arial" w:hAnsi="Arial" w:eastAsia="宋体" w:cs="Arial"/>
                <w:spacing w:val="-35"/>
                <w:sz w:val="21"/>
                <w:szCs w:val="21"/>
              </w:rPr>
              <w:t xml:space="preserve"> </w:t>
            </w:r>
            <w:r>
              <w:rPr>
                <w:rFonts w:hint="default" w:ascii="Arial" w:hAnsi="Arial" w:eastAsia="宋体" w:cs="Arial"/>
                <w:spacing w:val="-1"/>
                <w:sz w:val="21"/>
                <w:szCs w:val="21"/>
              </w:rPr>
              <w:t>轻型汽车</w:t>
            </w:r>
          </w:p>
        </w:tc>
      </w:tr>
      <w:tr w14:paraId="70481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tcBorders>
              <w:top w:val="single" w:color="auto" w:sz="4" w:space="0"/>
              <w:left w:val="single" w:color="auto" w:sz="4" w:space="0"/>
              <w:bottom w:val="single" w:color="auto" w:sz="4" w:space="0"/>
              <w:right w:val="single" w:color="auto" w:sz="4" w:space="0"/>
            </w:tcBorders>
            <w:vAlign w:val="top"/>
          </w:tcPr>
          <w:p w14:paraId="587FF261">
            <w:pPr>
              <w:pStyle w:val="257"/>
              <w:spacing w:before="66"/>
              <w:ind w:left="115"/>
              <w:rPr>
                <w:rFonts w:hint="default" w:ascii="Arial" w:hAnsi="Arial" w:eastAsia="宋体" w:cs="Arial"/>
                <w:sz w:val="21"/>
                <w:szCs w:val="21"/>
              </w:rPr>
            </w:pPr>
            <w:r>
              <w:rPr>
                <w:rFonts w:hint="default" w:ascii="Arial" w:hAnsi="Arial" w:eastAsia="宋体" w:cs="Arial"/>
                <w:sz w:val="21"/>
                <w:szCs w:val="21"/>
              </w:rPr>
              <w:t>9</w:t>
            </w:r>
          </w:p>
        </w:tc>
        <w:tc>
          <w:tcPr>
            <w:tcW w:w="1542" w:type="dxa"/>
            <w:tcBorders>
              <w:top w:val="single" w:color="auto" w:sz="4" w:space="0"/>
              <w:left w:val="single" w:color="auto" w:sz="4" w:space="0"/>
              <w:bottom w:val="single" w:color="auto" w:sz="4" w:space="0"/>
              <w:right w:val="single" w:color="auto" w:sz="4" w:space="0"/>
            </w:tcBorders>
            <w:vAlign w:val="top"/>
          </w:tcPr>
          <w:p w14:paraId="4C7E3C82">
            <w:pPr>
              <w:pStyle w:val="257"/>
              <w:spacing w:before="66" w:line="220" w:lineRule="auto"/>
              <w:ind w:left="102"/>
              <w:rPr>
                <w:rFonts w:hint="default" w:ascii="Arial" w:hAnsi="Arial" w:eastAsia="宋体" w:cs="Arial"/>
                <w:sz w:val="21"/>
                <w:szCs w:val="21"/>
              </w:rPr>
            </w:pPr>
            <w:r>
              <w:rPr>
                <w:rFonts w:hint="default" w:ascii="Arial" w:hAnsi="Arial" w:eastAsia="宋体" w:cs="Arial"/>
                <w:spacing w:val="-1"/>
                <w:sz w:val="21"/>
                <w:szCs w:val="21"/>
              </w:rPr>
              <w:t>A020306</w:t>
            </w:r>
            <w:r>
              <w:rPr>
                <w:rFonts w:hint="default" w:ascii="Arial" w:hAnsi="Arial" w:eastAsia="宋体" w:cs="Arial"/>
                <w:spacing w:val="-33"/>
                <w:sz w:val="21"/>
                <w:szCs w:val="21"/>
              </w:rPr>
              <w:t xml:space="preserve"> </w:t>
            </w:r>
            <w:r>
              <w:rPr>
                <w:rFonts w:hint="default" w:ascii="Arial" w:hAnsi="Arial" w:eastAsia="宋体" w:cs="Arial"/>
                <w:spacing w:val="-1"/>
                <w:sz w:val="21"/>
                <w:szCs w:val="21"/>
              </w:rPr>
              <w:t>客车</w:t>
            </w:r>
          </w:p>
        </w:tc>
        <w:tc>
          <w:tcPr>
            <w:tcW w:w="2672" w:type="dxa"/>
            <w:tcBorders>
              <w:top w:val="single" w:color="auto" w:sz="4" w:space="0"/>
              <w:left w:val="single" w:color="auto" w:sz="4" w:space="0"/>
              <w:bottom w:val="single" w:color="auto" w:sz="4" w:space="0"/>
              <w:right w:val="single" w:color="auto" w:sz="4" w:space="0"/>
            </w:tcBorders>
            <w:vAlign w:val="top"/>
          </w:tcPr>
          <w:p w14:paraId="2FD6A6AB">
            <w:pPr>
              <w:pStyle w:val="257"/>
              <w:spacing w:before="66" w:line="220" w:lineRule="auto"/>
              <w:ind w:left="103"/>
              <w:rPr>
                <w:rFonts w:hint="default" w:ascii="Arial" w:hAnsi="Arial" w:eastAsia="宋体" w:cs="Arial"/>
                <w:sz w:val="21"/>
                <w:szCs w:val="21"/>
              </w:rPr>
            </w:pPr>
            <w:r>
              <w:rPr>
                <w:rFonts w:hint="default" w:ascii="Arial" w:hAnsi="Arial" w:eastAsia="宋体" w:cs="Arial"/>
                <w:spacing w:val="-1"/>
                <w:sz w:val="21"/>
                <w:szCs w:val="21"/>
              </w:rPr>
              <w:t>A02030601</w:t>
            </w:r>
            <w:r>
              <w:rPr>
                <w:rFonts w:hint="default" w:ascii="Arial" w:hAnsi="Arial" w:eastAsia="宋体" w:cs="Arial"/>
                <w:spacing w:val="-30"/>
                <w:sz w:val="21"/>
                <w:szCs w:val="21"/>
              </w:rPr>
              <w:t xml:space="preserve"> </w:t>
            </w:r>
            <w:r>
              <w:rPr>
                <w:rFonts w:hint="default" w:ascii="Arial" w:hAnsi="Arial" w:eastAsia="宋体" w:cs="Arial"/>
                <w:spacing w:val="-1"/>
                <w:sz w:val="21"/>
                <w:szCs w:val="21"/>
              </w:rPr>
              <w:t>小型客车</w:t>
            </w:r>
          </w:p>
        </w:tc>
        <w:tc>
          <w:tcPr>
            <w:tcW w:w="2248" w:type="dxa"/>
            <w:tcBorders>
              <w:top w:val="single" w:color="auto" w:sz="4" w:space="0"/>
              <w:left w:val="single" w:color="auto" w:sz="4" w:space="0"/>
              <w:bottom w:val="single" w:color="auto" w:sz="4" w:space="0"/>
              <w:right w:val="single" w:color="auto" w:sz="4" w:space="0"/>
            </w:tcBorders>
            <w:vAlign w:val="top"/>
          </w:tcPr>
          <w:p w14:paraId="7DE58688">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03FBE764">
            <w:pPr>
              <w:pStyle w:val="257"/>
              <w:spacing w:before="66" w:line="219" w:lineRule="auto"/>
              <w:ind w:left="109"/>
              <w:rPr>
                <w:rFonts w:hint="default" w:ascii="Arial" w:hAnsi="Arial" w:eastAsia="宋体" w:cs="Arial"/>
                <w:sz w:val="21"/>
                <w:szCs w:val="21"/>
              </w:rPr>
            </w:pPr>
            <w:r>
              <w:rPr>
                <w:rFonts w:hint="default" w:ascii="Arial" w:hAnsi="Arial" w:eastAsia="宋体" w:cs="Arial"/>
                <w:spacing w:val="-1"/>
                <w:sz w:val="21"/>
                <w:szCs w:val="21"/>
              </w:rPr>
              <w:t>HJ2532</w:t>
            </w:r>
            <w:r>
              <w:rPr>
                <w:rFonts w:hint="default" w:ascii="Arial" w:hAnsi="Arial" w:eastAsia="宋体" w:cs="Arial"/>
                <w:spacing w:val="-35"/>
                <w:sz w:val="21"/>
                <w:szCs w:val="21"/>
              </w:rPr>
              <w:t xml:space="preserve"> </w:t>
            </w:r>
            <w:r>
              <w:rPr>
                <w:rFonts w:hint="default" w:ascii="Arial" w:hAnsi="Arial" w:eastAsia="宋体" w:cs="Arial"/>
                <w:spacing w:val="-1"/>
                <w:sz w:val="21"/>
                <w:szCs w:val="21"/>
              </w:rPr>
              <w:t>轻型汽车</w:t>
            </w:r>
          </w:p>
        </w:tc>
      </w:tr>
      <w:tr w14:paraId="0FEA3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top w:val="single" w:color="auto" w:sz="4" w:space="0"/>
              <w:left w:val="single" w:color="auto" w:sz="4" w:space="0"/>
              <w:bottom w:val="single" w:color="auto" w:sz="4" w:space="0"/>
              <w:right w:val="single" w:color="auto" w:sz="4" w:space="0"/>
            </w:tcBorders>
            <w:vAlign w:val="top"/>
          </w:tcPr>
          <w:p w14:paraId="2068AC49">
            <w:pPr>
              <w:pStyle w:val="257"/>
              <w:spacing w:before="67"/>
              <w:ind w:left="128"/>
              <w:rPr>
                <w:rFonts w:hint="default" w:ascii="Arial" w:hAnsi="Arial" w:eastAsia="宋体" w:cs="Arial"/>
                <w:sz w:val="21"/>
                <w:szCs w:val="21"/>
              </w:rPr>
            </w:pPr>
            <w:r>
              <w:rPr>
                <w:rFonts w:hint="default" w:ascii="Arial" w:hAnsi="Arial" w:eastAsia="宋体" w:cs="Arial"/>
                <w:spacing w:val="-10"/>
                <w:sz w:val="21"/>
                <w:szCs w:val="21"/>
              </w:rPr>
              <w:t>10</w:t>
            </w:r>
          </w:p>
        </w:tc>
        <w:tc>
          <w:tcPr>
            <w:tcW w:w="1542" w:type="dxa"/>
            <w:tcBorders>
              <w:top w:val="single" w:color="auto" w:sz="4" w:space="0"/>
              <w:left w:val="single" w:color="auto" w:sz="4" w:space="0"/>
              <w:bottom w:val="single" w:color="auto" w:sz="4" w:space="0"/>
              <w:right w:val="single" w:color="auto" w:sz="4" w:space="0"/>
            </w:tcBorders>
            <w:vAlign w:val="top"/>
          </w:tcPr>
          <w:p w14:paraId="3D36BFA1">
            <w:pPr>
              <w:pStyle w:val="257"/>
              <w:spacing w:before="66" w:line="283" w:lineRule="auto"/>
              <w:ind w:left="106" w:right="108" w:hanging="4"/>
              <w:rPr>
                <w:rFonts w:hint="default" w:ascii="Arial" w:hAnsi="Arial" w:eastAsia="宋体" w:cs="Arial"/>
                <w:sz w:val="21"/>
                <w:szCs w:val="21"/>
              </w:rPr>
            </w:pPr>
            <w:r>
              <w:rPr>
                <w:rFonts w:hint="default" w:ascii="Arial" w:hAnsi="Arial" w:eastAsia="宋体" w:cs="Arial"/>
                <w:spacing w:val="3"/>
                <w:sz w:val="21"/>
                <w:szCs w:val="21"/>
              </w:rPr>
              <w:t>A020307</w:t>
            </w:r>
            <w:r>
              <w:rPr>
                <w:rFonts w:hint="default" w:ascii="Arial" w:hAnsi="Arial" w:eastAsia="宋体" w:cs="Arial"/>
                <w:spacing w:val="34"/>
                <w:sz w:val="21"/>
                <w:szCs w:val="21"/>
              </w:rPr>
              <w:t xml:space="preserve"> </w:t>
            </w:r>
            <w:r>
              <w:rPr>
                <w:rFonts w:hint="default" w:ascii="Arial" w:hAnsi="Arial" w:eastAsia="宋体" w:cs="Arial"/>
                <w:spacing w:val="3"/>
                <w:sz w:val="21"/>
                <w:szCs w:val="21"/>
              </w:rPr>
              <w:t>专用车</w:t>
            </w:r>
            <w:r>
              <w:rPr>
                <w:rFonts w:hint="default" w:ascii="Arial" w:hAnsi="Arial" w:eastAsia="宋体" w:cs="Arial"/>
                <w:sz w:val="21"/>
                <w:szCs w:val="21"/>
              </w:rPr>
              <w:t xml:space="preserve"> 辆</w:t>
            </w:r>
          </w:p>
        </w:tc>
        <w:tc>
          <w:tcPr>
            <w:tcW w:w="2672" w:type="dxa"/>
            <w:tcBorders>
              <w:top w:val="single" w:color="auto" w:sz="4" w:space="0"/>
              <w:left w:val="single" w:color="auto" w:sz="4" w:space="0"/>
              <w:bottom w:val="single" w:color="auto" w:sz="4" w:space="0"/>
              <w:right w:val="single" w:color="auto" w:sz="4" w:space="0"/>
            </w:tcBorders>
            <w:vAlign w:val="top"/>
          </w:tcPr>
          <w:p w14:paraId="2B73F5B6">
            <w:pPr>
              <w:pStyle w:val="257"/>
              <w:spacing w:before="66" w:line="220" w:lineRule="auto"/>
              <w:ind w:left="103"/>
              <w:rPr>
                <w:rFonts w:hint="default" w:ascii="Arial" w:hAnsi="Arial" w:eastAsia="宋体" w:cs="Arial"/>
                <w:sz w:val="21"/>
                <w:szCs w:val="21"/>
              </w:rPr>
            </w:pPr>
            <w:r>
              <w:rPr>
                <w:rFonts w:hint="default" w:ascii="Arial" w:hAnsi="Arial" w:eastAsia="宋体" w:cs="Arial"/>
                <w:spacing w:val="-1"/>
                <w:sz w:val="21"/>
                <w:szCs w:val="21"/>
              </w:rPr>
              <w:t>A02030799</w:t>
            </w:r>
            <w:r>
              <w:rPr>
                <w:rFonts w:hint="default" w:ascii="Arial" w:hAnsi="Arial" w:eastAsia="宋体" w:cs="Arial"/>
                <w:spacing w:val="-30"/>
                <w:sz w:val="21"/>
                <w:szCs w:val="21"/>
              </w:rPr>
              <w:t xml:space="preserve"> </w:t>
            </w:r>
            <w:r>
              <w:rPr>
                <w:rFonts w:hint="default" w:ascii="Arial" w:hAnsi="Arial" w:eastAsia="宋体" w:cs="Arial"/>
                <w:spacing w:val="-1"/>
                <w:sz w:val="21"/>
                <w:szCs w:val="21"/>
              </w:rPr>
              <w:t>其他专用汽车</w:t>
            </w:r>
          </w:p>
        </w:tc>
        <w:tc>
          <w:tcPr>
            <w:tcW w:w="2248" w:type="dxa"/>
            <w:tcBorders>
              <w:top w:val="single" w:color="auto" w:sz="4" w:space="0"/>
              <w:left w:val="single" w:color="auto" w:sz="4" w:space="0"/>
              <w:bottom w:val="single" w:color="auto" w:sz="4" w:space="0"/>
              <w:right w:val="single" w:color="auto" w:sz="4" w:space="0"/>
            </w:tcBorders>
            <w:vAlign w:val="top"/>
          </w:tcPr>
          <w:p w14:paraId="3F4C7A2E">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5BAF2E39">
            <w:pPr>
              <w:pStyle w:val="257"/>
              <w:spacing w:before="66" w:line="219" w:lineRule="auto"/>
              <w:ind w:left="109"/>
              <w:rPr>
                <w:rFonts w:hint="default" w:ascii="Arial" w:hAnsi="Arial" w:eastAsia="宋体" w:cs="Arial"/>
                <w:sz w:val="21"/>
                <w:szCs w:val="21"/>
              </w:rPr>
            </w:pPr>
            <w:r>
              <w:rPr>
                <w:rFonts w:hint="default" w:ascii="Arial" w:hAnsi="Arial" w:eastAsia="宋体" w:cs="Arial"/>
                <w:spacing w:val="-1"/>
                <w:sz w:val="21"/>
                <w:szCs w:val="21"/>
              </w:rPr>
              <w:t>HJ2532</w:t>
            </w:r>
            <w:r>
              <w:rPr>
                <w:rFonts w:hint="default" w:ascii="Arial" w:hAnsi="Arial" w:eastAsia="宋体" w:cs="Arial"/>
                <w:spacing w:val="-35"/>
                <w:sz w:val="21"/>
                <w:szCs w:val="21"/>
              </w:rPr>
              <w:t xml:space="preserve"> </w:t>
            </w:r>
            <w:r>
              <w:rPr>
                <w:rFonts w:hint="default" w:ascii="Arial" w:hAnsi="Arial" w:eastAsia="宋体" w:cs="Arial"/>
                <w:spacing w:val="-1"/>
                <w:sz w:val="21"/>
                <w:szCs w:val="21"/>
              </w:rPr>
              <w:t>轻型汽车</w:t>
            </w:r>
          </w:p>
        </w:tc>
      </w:tr>
      <w:tr w14:paraId="03CB4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1E81AA5F">
            <w:pPr>
              <w:pStyle w:val="257"/>
              <w:spacing w:before="69" w:line="242" w:lineRule="auto"/>
              <w:ind w:left="128"/>
              <w:rPr>
                <w:rFonts w:hint="default" w:ascii="Arial" w:hAnsi="Arial" w:eastAsia="宋体" w:cs="Arial"/>
                <w:sz w:val="21"/>
                <w:szCs w:val="21"/>
              </w:rPr>
            </w:pPr>
            <w:r>
              <w:rPr>
                <w:rFonts w:hint="default" w:ascii="Arial" w:hAnsi="Arial" w:eastAsia="宋体" w:cs="Arial"/>
                <w:spacing w:val="-10"/>
                <w:sz w:val="21"/>
                <w:szCs w:val="21"/>
              </w:rPr>
              <w:t>11</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5B4E53E3">
            <w:pPr>
              <w:pStyle w:val="257"/>
              <w:spacing w:before="69" w:line="323" w:lineRule="auto"/>
              <w:ind w:left="109" w:right="108" w:hanging="7"/>
              <w:rPr>
                <w:rFonts w:hint="default" w:ascii="Arial" w:hAnsi="Arial" w:eastAsia="宋体" w:cs="Arial"/>
                <w:sz w:val="21"/>
                <w:szCs w:val="21"/>
              </w:rPr>
            </w:pPr>
            <w:r>
              <w:rPr>
                <w:rFonts w:hint="default" w:ascii="Arial" w:hAnsi="Arial" w:eastAsia="宋体" w:cs="Arial"/>
                <w:spacing w:val="3"/>
                <w:sz w:val="21"/>
                <w:szCs w:val="21"/>
              </w:rPr>
              <w:t>A020523</w:t>
            </w:r>
            <w:r>
              <w:rPr>
                <w:rFonts w:hint="default" w:ascii="Arial" w:hAnsi="Arial" w:eastAsia="宋体" w:cs="Arial"/>
                <w:spacing w:val="34"/>
                <w:sz w:val="21"/>
                <w:szCs w:val="21"/>
              </w:rPr>
              <w:t xml:space="preserve"> </w:t>
            </w:r>
            <w:r>
              <w:rPr>
                <w:rFonts w:hint="default" w:ascii="Arial" w:hAnsi="Arial" w:eastAsia="宋体" w:cs="Arial"/>
                <w:spacing w:val="3"/>
                <w:sz w:val="21"/>
                <w:szCs w:val="21"/>
              </w:rPr>
              <w:t>制冷空</w:t>
            </w:r>
            <w:r>
              <w:rPr>
                <w:rFonts w:hint="default" w:ascii="Arial" w:hAnsi="Arial" w:eastAsia="宋体" w:cs="Arial"/>
                <w:sz w:val="21"/>
                <w:szCs w:val="21"/>
              </w:rPr>
              <w:t xml:space="preserve"> </w:t>
            </w:r>
            <w:r>
              <w:rPr>
                <w:rFonts w:hint="default" w:ascii="Arial" w:hAnsi="Arial" w:eastAsia="宋体" w:cs="Arial"/>
                <w:spacing w:val="-2"/>
                <w:sz w:val="21"/>
                <w:szCs w:val="21"/>
              </w:rPr>
              <w:t>调设备</w:t>
            </w:r>
          </w:p>
        </w:tc>
        <w:tc>
          <w:tcPr>
            <w:tcW w:w="2672" w:type="dxa"/>
            <w:tcBorders>
              <w:top w:val="single" w:color="auto" w:sz="4" w:space="0"/>
              <w:left w:val="single" w:color="auto" w:sz="4" w:space="0"/>
              <w:bottom w:val="single" w:color="auto" w:sz="4" w:space="0"/>
              <w:right w:val="single" w:color="auto" w:sz="4" w:space="0"/>
            </w:tcBorders>
            <w:vAlign w:val="top"/>
          </w:tcPr>
          <w:p w14:paraId="75034FAA">
            <w:pPr>
              <w:pStyle w:val="257"/>
              <w:spacing w:before="70" w:line="219" w:lineRule="auto"/>
              <w:ind w:left="103"/>
              <w:rPr>
                <w:rFonts w:hint="default" w:ascii="Arial" w:hAnsi="Arial" w:eastAsia="宋体" w:cs="Arial"/>
                <w:sz w:val="21"/>
                <w:szCs w:val="21"/>
              </w:rPr>
            </w:pPr>
            <w:r>
              <w:rPr>
                <w:rFonts w:hint="default" w:ascii="Arial" w:hAnsi="Arial" w:eastAsia="宋体" w:cs="Arial"/>
                <w:sz w:val="21"/>
                <w:szCs w:val="21"/>
              </w:rPr>
              <w:t>A02052301 制冷压缩机</w:t>
            </w:r>
          </w:p>
        </w:tc>
        <w:tc>
          <w:tcPr>
            <w:tcW w:w="2248" w:type="dxa"/>
            <w:tcBorders>
              <w:top w:val="single" w:color="auto" w:sz="4" w:space="0"/>
              <w:left w:val="single" w:color="auto" w:sz="4" w:space="0"/>
              <w:bottom w:val="single" w:color="auto" w:sz="4" w:space="0"/>
              <w:right w:val="single" w:color="auto" w:sz="4" w:space="0"/>
            </w:tcBorders>
            <w:vAlign w:val="top"/>
          </w:tcPr>
          <w:p w14:paraId="42B3E425">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7C5E54B3">
            <w:pPr>
              <w:pStyle w:val="257"/>
              <w:spacing w:before="69" w:line="219" w:lineRule="auto"/>
              <w:ind w:left="109"/>
              <w:rPr>
                <w:rFonts w:hint="default" w:ascii="Arial" w:hAnsi="Arial" w:eastAsia="宋体" w:cs="Arial"/>
                <w:sz w:val="21"/>
                <w:szCs w:val="21"/>
              </w:rPr>
            </w:pPr>
            <w:r>
              <w:rPr>
                <w:rFonts w:hint="default" w:ascii="Arial" w:hAnsi="Arial" w:eastAsia="宋体" w:cs="Arial"/>
                <w:spacing w:val="-1"/>
                <w:sz w:val="21"/>
                <w:szCs w:val="21"/>
              </w:rPr>
              <w:t>HJ2531</w:t>
            </w:r>
            <w:r>
              <w:rPr>
                <w:rFonts w:hint="default" w:ascii="Arial" w:hAnsi="Arial" w:eastAsia="宋体" w:cs="Arial"/>
                <w:spacing w:val="-32"/>
                <w:sz w:val="21"/>
                <w:szCs w:val="21"/>
              </w:rPr>
              <w:t xml:space="preserve"> </w:t>
            </w:r>
            <w:r>
              <w:rPr>
                <w:rFonts w:hint="default" w:ascii="Arial" w:hAnsi="Arial" w:eastAsia="宋体" w:cs="Arial"/>
                <w:spacing w:val="-1"/>
                <w:sz w:val="21"/>
                <w:szCs w:val="21"/>
              </w:rPr>
              <w:t>工商用制冷设备</w:t>
            </w:r>
          </w:p>
        </w:tc>
      </w:tr>
      <w:tr w14:paraId="1D2BC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6098646A">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11C3850">
            <w:pPr>
              <w:rPr>
                <w:rFonts w:hint="default" w:ascii="Arial" w:hAnsi="Arial" w:eastAsia="宋体" w:cs="Arial"/>
                <w:sz w:val="21"/>
                <w:szCs w:val="21"/>
              </w:rPr>
            </w:pPr>
          </w:p>
        </w:tc>
        <w:tc>
          <w:tcPr>
            <w:tcW w:w="2672" w:type="dxa"/>
            <w:tcBorders>
              <w:top w:val="single" w:color="auto" w:sz="4" w:space="0"/>
              <w:left w:val="single" w:color="auto" w:sz="4" w:space="0"/>
              <w:bottom w:val="single" w:color="auto" w:sz="4" w:space="0"/>
              <w:right w:val="single" w:color="auto" w:sz="4" w:space="0"/>
            </w:tcBorders>
            <w:vAlign w:val="top"/>
          </w:tcPr>
          <w:p w14:paraId="24D0D540">
            <w:pPr>
              <w:pStyle w:val="257"/>
              <w:spacing w:before="67" w:line="219" w:lineRule="auto"/>
              <w:ind w:left="103"/>
              <w:rPr>
                <w:rFonts w:hint="default" w:ascii="Arial" w:hAnsi="Arial" w:eastAsia="宋体" w:cs="Arial"/>
                <w:sz w:val="21"/>
                <w:szCs w:val="21"/>
              </w:rPr>
            </w:pPr>
            <w:r>
              <w:rPr>
                <w:rFonts w:hint="default" w:ascii="Arial" w:hAnsi="Arial" w:eastAsia="宋体" w:cs="Arial"/>
                <w:sz w:val="21"/>
                <w:szCs w:val="21"/>
              </w:rPr>
              <w:t>A02052305 空调机组</w:t>
            </w:r>
          </w:p>
        </w:tc>
        <w:tc>
          <w:tcPr>
            <w:tcW w:w="2248" w:type="dxa"/>
            <w:tcBorders>
              <w:top w:val="single" w:color="auto" w:sz="4" w:space="0"/>
              <w:left w:val="single" w:color="auto" w:sz="4" w:space="0"/>
              <w:bottom w:val="single" w:color="auto" w:sz="4" w:space="0"/>
              <w:right w:val="single" w:color="auto" w:sz="4" w:space="0"/>
            </w:tcBorders>
            <w:vAlign w:val="top"/>
          </w:tcPr>
          <w:p w14:paraId="207988E8">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27D8CB60">
            <w:pPr>
              <w:pStyle w:val="257"/>
              <w:spacing w:before="67" w:line="219" w:lineRule="auto"/>
              <w:ind w:left="109"/>
              <w:rPr>
                <w:rFonts w:hint="default" w:ascii="Arial" w:hAnsi="Arial" w:eastAsia="宋体" w:cs="Arial"/>
                <w:sz w:val="21"/>
                <w:szCs w:val="21"/>
              </w:rPr>
            </w:pPr>
            <w:r>
              <w:rPr>
                <w:rFonts w:hint="default" w:ascii="Arial" w:hAnsi="Arial" w:eastAsia="宋体" w:cs="Arial"/>
                <w:spacing w:val="-1"/>
                <w:sz w:val="21"/>
                <w:szCs w:val="21"/>
              </w:rPr>
              <w:t>HJ2531</w:t>
            </w:r>
            <w:r>
              <w:rPr>
                <w:rFonts w:hint="default" w:ascii="Arial" w:hAnsi="Arial" w:eastAsia="宋体" w:cs="Arial"/>
                <w:spacing w:val="-32"/>
                <w:sz w:val="21"/>
                <w:szCs w:val="21"/>
              </w:rPr>
              <w:t xml:space="preserve"> </w:t>
            </w:r>
            <w:r>
              <w:rPr>
                <w:rFonts w:hint="default" w:ascii="Arial" w:hAnsi="Arial" w:eastAsia="宋体" w:cs="Arial"/>
                <w:spacing w:val="-1"/>
                <w:sz w:val="21"/>
                <w:szCs w:val="21"/>
              </w:rPr>
              <w:t>工商用制冷设备</w:t>
            </w:r>
          </w:p>
        </w:tc>
      </w:tr>
      <w:tr w14:paraId="041E9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099D8D18">
            <w:pPr>
              <w:rPr>
                <w:rFonts w:hint="default" w:ascii="Arial" w:hAnsi="Arial" w:eastAsia="宋体" w:cs="Arial"/>
                <w:sz w:val="21"/>
                <w:szCs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86BEE88">
            <w:pPr>
              <w:rPr>
                <w:rFonts w:hint="default" w:ascii="Arial" w:hAnsi="Arial" w:eastAsia="宋体" w:cs="Arial"/>
                <w:sz w:val="21"/>
                <w:szCs w:val="21"/>
              </w:rPr>
            </w:pPr>
          </w:p>
        </w:tc>
        <w:tc>
          <w:tcPr>
            <w:tcW w:w="2672" w:type="dxa"/>
            <w:tcBorders>
              <w:top w:val="single" w:color="auto" w:sz="4" w:space="0"/>
              <w:left w:val="single" w:color="auto" w:sz="4" w:space="0"/>
              <w:bottom w:val="single" w:color="auto" w:sz="4" w:space="0"/>
              <w:right w:val="single" w:color="auto" w:sz="4" w:space="0"/>
            </w:tcBorders>
            <w:vAlign w:val="top"/>
          </w:tcPr>
          <w:p w14:paraId="41A23B9E">
            <w:pPr>
              <w:pStyle w:val="257"/>
              <w:spacing w:before="67" w:line="221" w:lineRule="auto"/>
              <w:ind w:left="103"/>
              <w:rPr>
                <w:rFonts w:hint="default" w:ascii="Arial" w:hAnsi="Arial" w:eastAsia="宋体" w:cs="Arial"/>
                <w:sz w:val="21"/>
                <w:szCs w:val="21"/>
              </w:rPr>
            </w:pPr>
            <w:r>
              <w:rPr>
                <w:rFonts w:hint="default" w:ascii="Arial" w:hAnsi="Arial" w:eastAsia="宋体" w:cs="Arial"/>
                <w:spacing w:val="-2"/>
                <w:sz w:val="21"/>
                <w:szCs w:val="21"/>
              </w:rPr>
              <w:t>A02052309</w:t>
            </w:r>
            <w:r>
              <w:rPr>
                <w:rFonts w:hint="default" w:ascii="Arial" w:hAnsi="Arial" w:eastAsia="宋体" w:cs="Arial"/>
                <w:spacing w:val="-27"/>
                <w:sz w:val="21"/>
                <w:szCs w:val="21"/>
              </w:rPr>
              <w:t xml:space="preserve"> </w:t>
            </w:r>
            <w:r>
              <w:rPr>
                <w:rFonts w:hint="default" w:ascii="Arial" w:hAnsi="Arial" w:eastAsia="宋体" w:cs="Arial"/>
                <w:spacing w:val="-2"/>
                <w:sz w:val="21"/>
                <w:szCs w:val="21"/>
              </w:rPr>
              <w:t>专用制冷、空调设备</w:t>
            </w:r>
          </w:p>
        </w:tc>
        <w:tc>
          <w:tcPr>
            <w:tcW w:w="2248" w:type="dxa"/>
            <w:tcBorders>
              <w:top w:val="single" w:color="auto" w:sz="4" w:space="0"/>
              <w:left w:val="single" w:color="auto" w:sz="4" w:space="0"/>
              <w:bottom w:val="single" w:color="auto" w:sz="4" w:space="0"/>
              <w:right w:val="single" w:color="auto" w:sz="4" w:space="0"/>
            </w:tcBorders>
            <w:vAlign w:val="top"/>
          </w:tcPr>
          <w:p w14:paraId="22EBF57D">
            <w:pPr>
              <w:rPr>
                <w:rFonts w:hint="default" w:ascii="Arial" w:hAnsi="Arial" w:eastAsia="宋体" w:cs="Arial"/>
                <w:sz w:val="21"/>
                <w:szCs w:val="21"/>
              </w:rPr>
            </w:pPr>
          </w:p>
        </w:tc>
        <w:tc>
          <w:tcPr>
            <w:tcW w:w="2404" w:type="dxa"/>
            <w:tcBorders>
              <w:top w:val="single" w:color="auto" w:sz="4" w:space="0"/>
              <w:left w:val="single" w:color="auto" w:sz="4" w:space="0"/>
              <w:bottom w:val="single" w:color="auto" w:sz="4" w:space="0"/>
              <w:right w:val="single" w:color="auto" w:sz="4" w:space="0"/>
            </w:tcBorders>
            <w:vAlign w:val="top"/>
          </w:tcPr>
          <w:p w14:paraId="3F91AEA3">
            <w:pPr>
              <w:pStyle w:val="257"/>
              <w:spacing w:before="67" w:line="219" w:lineRule="auto"/>
              <w:ind w:left="109"/>
              <w:rPr>
                <w:rFonts w:hint="default" w:ascii="Arial" w:hAnsi="Arial" w:eastAsia="宋体" w:cs="Arial"/>
                <w:sz w:val="21"/>
                <w:szCs w:val="21"/>
              </w:rPr>
            </w:pPr>
            <w:r>
              <w:rPr>
                <w:rFonts w:hint="default" w:ascii="Arial" w:hAnsi="Arial" w:eastAsia="宋体" w:cs="Arial"/>
                <w:spacing w:val="-1"/>
                <w:sz w:val="21"/>
                <w:szCs w:val="21"/>
              </w:rPr>
              <w:t>HJ2531</w:t>
            </w:r>
            <w:r>
              <w:rPr>
                <w:rFonts w:hint="default" w:ascii="Arial" w:hAnsi="Arial" w:eastAsia="宋体" w:cs="Arial"/>
                <w:spacing w:val="-32"/>
                <w:sz w:val="21"/>
                <w:szCs w:val="21"/>
              </w:rPr>
              <w:t xml:space="preserve"> </w:t>
            </w:r>
            <w:r>
              <w:rPr>
                <w:rFonts w:hint="default" w:ascii="Arial" w:hAnsi="Arial" w:eastAsia="宋体" w:cs="Arial"/>
                <w:spacing w:val="-1"/>
                <w:sz w:val="21"/>
                <w:szCs w:val="21"/>
              </w:rPr>
              <w:t>工商用制冷设备</w:t>
            </w:r>
          </w:p>
        </w:tc>
      </w:tr>
      <w:tr w14:paraId="54DBF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08DC120C">
            <w:pPr>
              <w:pStyle w:val="257"/>
              <w:spacing w:before="68" w:line="242" w:lineRule="auto"/>
              <w:ind w:left="128"/>
              <w:rPr>
                <w:rFonts w:hint="default" w:ascii="Arial" w:hAnsi="Arial" w:eastAsia="宋体" w:cs="Arial"/>
                <w:sz w:val="21"/>
                <w:szCs w:val="21"/>
              </w:rPr>
            </w:pPr>
            <w:r>
              <w:rPr>
                <w:rFonts w:hint="default" w:ascii="Arial" w:hAnsi="Arial" w:eastAsia="宋体" w:cs="Arial"/>
                <w:spacing w:val="-10"/>
                <w:sz w:val="21"/>
                <w:szCs w:val="21"/>
              </w:rPr>
              <w:t>12</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005BB3DC">
            <w:pPr>
              <w:pStyle w:val="257"/>
              <w:spacing w:before="69" w:line="324" w:lineRule="auto"/>
              <w:ind w:left="128" w:right="108" w:hanging="26"/>
              <w:rPr>
                <w:rFonts w:hint="default" w:ascii="Arial" w:hAnsi="Arial" w:eastAsia="宋体" w:cs="Arial"/>
                <w:sz w:val="21"/>
                <w:szCs w:val="21"/>
              </w:rPr>
            </w:pPr>
            <w:r>
              <w:rPr>
                <w:rFonts w:hint="default" w:ascii="Arial" w:hAnsi="Arial" w:eastAsia="宋体" w:cs="Arial"/>
                <w:spacing w:val="3"/>
                <w:sz w:val="21"/>
                <w:szCs w:val="21"/>
              </w:rPr>
              <w:t>A020618</w:t>
            </w:r>
            <w:r>
              <w:rPr>
                <w:rFonts w:hint="default" w:ascii="Arial" w:hAnsi="Arial" w:eastAsia="宋体" w:cs="Arial"/>
                <w:spacing w:val="34"/>
                <w:sz w:val="21"/>
                <w:szCs w:val="21"/>
              </w:rPr>
              <w:t xml:space="preserve"> </w:t>
            </w:r>
            <w:r>
              <w:rPr>
                <w:rFonts w:hint="default" w:ascii="Arial" w:hAnsi="Arial" w:eastAsia="宋体" w:cs="Arial"/>
                <w:spacing w:val="3"/>
                <w:sz w:val="21"/>
                <w:szCs w:val="21"/>
              </w:rPr>
              <w:t>生活用</w:t>
            </w:r>
            <w:r>
              <w:rPr>
                <w:rFonts w:hint="default" w:ascii="Arial" w:hAnsi="Arial" w:eastAsia="宋体" w:cs="Arial"/>
                <w:sz w:val="21"/>
                <w:szCs w:val="21"/>
              </w:rPr>
              <w:t xml:space="preserve"> </w:t>
            </w:r>
            <w:r>
              <w:rPr>
                <w:rFonts w:hint="default" w:ascii="Arial" w:hAnsi="Arial" w:eastAsia="宋体" w:cs="Arial"/>
                <w:spacing w:val="-8"/>
                <w:sz w:val="21"/>
                <w:szCs w:val="21"/>
              </w:rPr>
              <w:t>电器</w:t>
            </w:r>
          </w:p>
        </w:tc>
        <w:tc>
          <w:tcPr>
            <w:tcW w:w="2672" w:type="dxa"/>
            <w:tcBorders>
              <w:top w:val="single" w:color="auto" w:sz="4" w:space="0"/>
              <w:left w:val="single" w:color="auto" w:sz="4" w:space="0"/>
              <w:bottom w:val="single" w:color="auto" w:sz="4" w:space="0"/>
              <w:right w:val="single" w:color="auto" w:sz="4" w:space="0"/>
            </w:tcBorders>
            <w:vAlign w:val="top"/>
          </w:tcPr>
          <w:p w14:paraId="18F01712">
            <w:pPr>
              <w:pStyle w:val="257"/>
              <w:spacing w:before="68" w:line="221" w:lineRule="auto"/>
              <w:ind w:left="103"/>
              <w:rPr>
                <w:rFonts w:hint="default" w:ascii="Arial" w:hAnsi="Arial" w:eastAsia="宋体" w:cs="Arial"/>
                <w:sz w:val="21"/>
                <w:szCs w:val="21"/>
              </w:rPr>
            </w:pPr>
            <w:r>
              <w:rPr>
                <w:rFonts w:hint="default" w:ascii="Arial" w:hAnsi="Arial" w:eastAsia="宋体" w:cs="Arial"/>
                <w:spacing w:val="-1"/>
                <w:sz w:val="21"/>
                <w:szCs w:val="21"/>
              </w:rPr>
              <w:t>A02061802</w:t>
            </w:r>
            <w:r>
              <w:rPr>
                <w:rFonts w:hint="default" w:ascii="Arial" w:hAnsi="Arial" w:eastAsia="宋体" w:cs="Arial"/>
                <w:spacing w:val="-29"/>
                <w:sz w:val="21"/>
                <w:szCs w:val="21"/>
              </w:rPr>
              <w:t xml:space="preserve"> </w:t>
            </w:r>
            <w:r>
              <w:rPr>
                <w:rFonts w:hint="default" w:ascii="Arial" w:hAnsi="Arial" w:eastAsia="宋体" w:cs="Arial"/>
                <w:spacing w:val="-1"/>
                <w:sz w:val="21"/>
                <w:szCs w:val="21"/>
              </w:rPr>
              <w:t>空气调节电器</w:t>
            </w:r>
          </w:p>
        </w:tc>
        <w:tc>
          <w:tcPr>
            <w:tcW w:w="2248" w:type="dxa"/>
            <w:tcBorders>
              <w:top w:val="single" w:color="auto" w:sz="4" w:space="0"/>
              <w:left w:val="single" w:color="auto" w:sz="4" w:space="0"/>
              <w:bottom w:val="single" w:color="auto" w:sz="4" w:space="0"/>
              <w:right w:val="single" w:color="auto" w:sz="4" w:space="0"/>
            </w:tcBorders>
            <w:vAlign w:val="top"/>
          </w:tcPr>
          <w:p w14:paraId="2104163D">
            <w:pPr>
              <w:pStyle w:val="257"/>
              <w:spacing w:before="68" w:line="219" w:lineRule="auto"/>
              <w:ind w:left="105"/>
              <w:rPr>
                <w:rFonts w:hint="default" w:ascii="Arial" w:hAnsi="Arial" w:eastAsia="宋体" w:cs="Arial"/>
                <w:sz w:val="21"/>
                <w:szCs w:val="21"/>
              </w:rPr>
            </w:pPr>
            <w:r>
              <w:rPr>
                <w:rFonts w:hint="default" w:ascii="Arial" w:hAnsi="Arial" w:eastAsia="宋体" w:cs="Arial"/>
                <w:spacing w:val="-1"/>
                <w:sz w:val="21"/>
                <w:szCs w:val="21"/>
              </w:rPr>
              <w:t>A0206180203</w:t>
            </w:r>
            <w:r>
              <w:rPr>
                <w:rFonts w:hint="default" w:ascii="Arial" w:hAnsi="Arial" w:eastAsia="宋体" w:cs="Arial"/>
                <w:spacing w:val="-28"/>
                <w:sz w:val="21"/>
                <w:szCs w:val="21"/>
              </w:rPr>
              <w:t xml:space="preserve"> </w:t>
            </w:r>
            <w:r>
              <w:rPr>
                <w:rFonts w:hint="default" w:ascii="Arial" w:hAnsi="Arial" w:eastAsia="宋体" w:cs="Arial"/>
                <w:spacing w:val="-1"/>
                <w:sz w:val="21"/>
                <w:szCs w:val="21"/>
              </w:rPr>
              <w:t>空调机</w:t>
            </w:r>
          </w:p>
        </w:tc>
        <w:tc>
          <w:tcPr>
            <w:tcW w:w="2404" w:type="dxa"/>
            <w:tcBorders>
              <w:top w:val="single" w:color="auto" w:sz="4" w:space="0"/>
              <w:left w:val="single" w:color="auto" w:sz="4" w:space="0"/>
              <w:bottom w:val="single" w:color="auto" w:sz="4" w:space="0"/>
              <w:right w:val="single" w:color="auto" w:sz="4" w:space="0"/>
            </w:tcBorders>
            <w:vAlign w:val="top"/>
          </w:tcPr>
          <w:p w14:paraId="4A4B3FCF">
            <w:pPr>
              <w:pStyle w:val="257"/>
              <w:spacing w:before="68" w:line="219" w:lineRule="auto"/>
              <w:ind w:left="109"/>
              <w:rPr>
                <w:rFonts w:hint="default" w:ascii="Arial" w:hAnsi="Arial" w:eastAsia="宋体" w:cs="Arial"/>
                <w:sz w:val="21"/>
                <w:szCs w:val="21"/>
              </w:rPr>
            </w:pPr>
            <w:r>
              <w:rPr>
                <w:rFonts w:hint="default" w:ascii="Arial" w:hAnsi="Arial" w:eastAsia="宋体" w:cs="Arial"/>
                <w:spacing w:val="-1"/>
                <w:sz w:val="21"/>
                <w:szCs w:val="21"/>
              </w:rPr>
              <w:t>HJ2535</w:t>
            </w:r>
            <w:r>
              <w:rPr>
                <w:rFonts w:hint="default" w:ascii="Arial" w:hAnsi="Arial" w:eastAsia="宋体" w:cs="Arial"/>
                <w:spacing w:val="-32"/>
                <w:sz w:val="21"/>
                <w:szCs w:val="21"/>
              </w:rPr>
              <w:t xml:space="preserve"> </w:t>
            </w:r>
            <w:r>
              <w:rPr>
                <w:rFonts w:hint="default" w:ascii="Arial" w:hAnsi="Arial" w:eastAsia="宋体" w:cs="Arial"/>
                <w:spacing w:val="-1"/>
                <w:sz w:val="21"/>
                <w:szCs w:val="21"/>
              </w:rPr>
              <w:t>房间空气调节器</w:t>
            </w:r>
          </w:p>
        </w:tc>
      </w:tr>
      <w:tr w14:paraId="7AB99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583" w:type="dxa"/>
            <w:vMerge w:val="continue"/>
            <w:tcBorders>
              <w:top w:val="single" w:color="auto" w:sz="4" w:space="0"/>
              <w:left w:val="single" w:color="auto" w:sz="4" w:space="0"/>
            </w:tcBorders>
            <w:vAlign w:val="top"/>
          </w:tcPr>
          <w:p w14:paraId="103064E2">
            <w:pPr>
              <w:rPr>
                <w:rFonts w:hint="default" w:ascii="Arial" w:hAnsi="Arial" w:eastAsia="宋体" w:cs="Arial"/>
                <w:sz w:val="21"/>
                <w:szCs w:val="21"/>
              </w:rPr>
            </w:pPr>
          </w:p>
        </w:tc>
        <w:tc>
          <w:tcPr>
            <w:tcW w:w="1542" w:type="dxa"/>
            <w:vMerge w:val="continue"/>
            <w:tcBorders>
              <w:top w:val="single" w:color="auto" w:sz="4" w:space="0"/>
            </w:tcBorders>
            <w:vAlign w:val="top"/>
          </w:tcPr>
          <w:p w14:paraId="063BF49C">
            <w:pPr>
              <w:rPr>
                <w:rFonts w:hint="default" w:ascii="Arial" w:hAnsi="Arial" w:eastAsia="宋体" w:cs="Arial"/>
                <w:sz w:val="21"/>
                <w:szCs w:val="21"/>
              </w:rPr>
            </w:pPr>
          </w:p>
        </w:tc>
        <w:tc>
          <w:tcPr>
            <w:tcW w:w="2672" w:type="dxa"/>
            <w:tcBorders>
              <w:top w:val="single" w:color="auto" w:sz="4" w:space="0"/>
            </w:tcBorders>
            <w:vAlign w:val="top"/>
          </w:tcPr>
          <w:p w14:paraId="4AB223C5">
            <w:pPr>
              <w:pStyle w:val="257"/>
              <w:spacing w:before="68" w:line="220" w:lineRule="auto"/>
              <w:ind w:left="103"/>
              <w:rPr>
                <w:rFonts w:hint="default" w:ascii="Arial" w:hAnsi="Arial" w:eastAsia="宋体" w:cs="Arial"/>
                <w:sz w:val="21"/>
                <w:szCs w:val="21"/>
              </w:rPr>
            </w:pPr>
            <w:r>
              <w:rPr>
                <w:rFonts w:hint="default" w:ascii="Arial" w:hAnsi="Arial" w:eastAsia="宋体" w:cs="Arial"/>
                <w:spacing w:val="-1"/>
                <w:sz w:val="21"/>
                <w:szCs w:val="21"/>
              </w:rPr>
              <w:t>A02061808</w:t>
            </w:r>
            <w:r>
              <w:rPr>
                <w:rFonts w:hint="default" w:ascii="Arial" w:hAnsi="Arial" w:eastAsia="宋体" w:cs="Arial"/>
                <w:spacing w:val="-31"/>
                <w:sz w:val="21"/>
                <w:szCs w:val="21"/>
              </w:rPr>
              <w:t xml:space="preserve"> </w:t>
            </w:r>
            <w:r>
              <w:rPr>
                <w:rFonts w:hint="default" w:ascii="Arial" w:hAnsi="Arial" w:eastAsia="宋体" w:cs="Arial"/>
                <w:spacing w:val="-1"/>
                <w:sz w:val="21"/>
                <w:szCs w:val="21"/>
              </w:rPr>
              <w:t>热水器</w:t>
            </w:r>
          </w:p>
        </w:tc>
        <w:tc>
          <w:tcPr>
            <w:tcW w:w="2248" w:type="dxa"/>
            <w:tcBorders>
              <w:top w:val="single" w:color="auto" w:sz="4" w:space="0"/>
            </w:tcBorders>
            <w:vAlign w:val="top"/>
          </w:tcPr>
          <w:p w14:paraId="0E02BDFE">
            <w:pPr>
              <w:rPr>
                <w:rFonts w:hint="default" w:ascii="Arial" w:hAnsi="Arial" w:eastAsia="宋体" w:cs="Arial"/>
                <w:sz w:val="21"/>
                <w:szCs w:val="21"/>
              </w:rPr>
            </w:pPr>
          </w:p>
        </w:tc>
        <w:tc>
          <w:tcPr>
            <w:tcW w:w="2404" w:type="dxa"/>
            <w:tcBorders>
              <w:top w:val="single" w:color="auto" w:sz="4" w:space="0"/>
            </w:tcBorders>
            <w:vAlign w:val="top"/>
          </w:tcPr>
          <w:p w14:paraId="7BDA8F06">
            <w:pPr>
              <w:pStyle w:val="257"/>
              <w:spacing w:before="67" w:line="219" w:lineRule="auto"/>
              <w:ind w:left="109"/>
              <w:rPr>
                <w:rFonts w:hint="default" w:ascii="Arial" w:hAnsi="Arial" w:eastAsia="宋体" w:cs="Arial"/>
                <w:sz w:val="21"/>
                <w:szCs w:val="21"/>
              </w:rPr>
            </w:pPr>
            <w:r>
              <w:rPr>
                <w:rFonts w:hint="default" w:ascii="Arial" w:hAnsi="Arial" w:eastAsia="宋体" w:cs="Arial"/>
                <w:spacing w:val="-1"/>
                <w:sz w:val="21"/>
                <w:szCs w:val="21"/>
              </w:rPr>
              <w:t>HJ/T362</w:t>
            </w:r>
            <w:r>
              <w:rPr>
                <w:rFonts w:hint="default" w:ascii="Arial" w:hAnsi="Arial" w:eastAsia="宋体" w:cs="Arial"/>
                <w:spacing w:val="-33"/>
                <w:sz w:val="21"/>
                <w:szCs w:val="21"/>
              </w:rPr>
              <w:t xml:space="preserve"> </w:t>
            </w:r>
            <w:r>
              <w:rPr>
                <w:rFonts w:hint="default" w:ascii="Arial" w:hAnsi="Arial" w:eastAsia="宋体" w:cs="Arial"/>
                <w:spacing w:val="-1"/>
                <w:sz w:val="21"/>
                <w:szCs w:val="21"/>
              </w:rPr>
              <w:t>太阳能集热器</w:t>
            </w:r>
          </w:p>
        </w:tc>
      </w:tr>
    </w:tbl>
    <w:p w14:paraId="1EEBC845">
      <w:pPr>
        <w:spacing w:line="91" w:lineRule="auto"/>
        <w:rPr>
          <w:rFonts w:ascii="Arial"/>
          <w:sz w:val="2"/>
        </w:rPr>
      </w:pPr>
    </w:p>
    <w:tbl>
      <w:tblPr>
        <w:tblStyle w:val="258"/>
        <w:tblW w:w="94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542"/>
        <w:gridCol w:w="2672"/>
        <w:gridCol w:w="2248"/>
        <w:gridCol w:w="2392"/>
      </w:tblGrid>
      <w:tr w14:paraId="2A3CB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vAlign w:val="top"/>
          </w:tcPr>
          <w:p w14:paraId="0B49EE33">
            <w:pPr>
              <w:pStyle w:val="257"/>
              <w:spacing w:before="68"/>
              <w:ind w:left="128"/>
            </w:pPr>
            <w:r>
              <w:rPr>
                <w:spacing w:val="-10"/>
              </w:rPr>
              <w:t>13</w:t>
            </w:r>
          </w:p>
        </w:tc>
        <w:tc>
          <w:tcPr>
            <w:tcW w:w="1542" w:type="dxa"/>
            <w:vAlign w:val="top"/>
          </w:tcPr>
          <w:p w14:paraId="6E43FC51">
            <w:pPr>
              <w:pStyle w:val="257"/>
              <w:spacing w:before="69" w:line="284" w:lineRule="auto"/>
              <w:ind w:left="109" w:right="108" w:hanging="7"/>
            </w:pPr>
            <w:r>
              <w:rPr>
                <w:spacing w:val="-2"/>
              </w:rPr>
              <w:t>A020619</w:t>
            </w:r>
            <w:r>
              <w:rPr>
                <w:spacing w:val="39"/>
              </w:rPr>
              <w:t xml:space="preserve"> </w:t>
            </w:r>
            <w:r>
              <w:rPr>
                <w:spacing w:val="-2"/>
              </w:rPr>
              <w:t>照</w:t>
            </w:r>
            <w:r>
              <w:rPr>
                <w:spacing w:val="-45"/>
              </w:rPr>
              <w:t xml:space="preserve"> </w:t>
            </w:r>
            <w:r>
              <w:rPr>
                <w:spacing w:val="-2"/>
              </w:rPr>
              <w:t>明设</w:t>
            </w:r>
            <w:r>
              <w:t xml:space="preserve"> 备</w:t>
            </w:r>
          </w:p>
        </w:tc>
        <w:tc>
          <w:tcPr>
            <w:tcW w:w="2672" w:type="dxa"/>
            <w:vAlign w:val="top"/>
          </w:tcPr>
          <w:p w14:paraId="2D34DCC8">
            <w:pPr>
              <w:pStyle w:val="257"/>
              <w:spacing w:before="68" w:line="220" w:lineRule="auto"/>
              <w:ind w:left="103"/>
            </w:pPr>
            <w:r>
              <w:rPr>
                <w:spacing w:val="-1"/>
              </w:rPr>
              <w:t>A02061908</w:t>
            </w:r>
            <w:r>
              <w:rPr>
                <w:spacing w:val="-29"/>
              </w:rPr>
              <w:t xml:space="preserve"> </w:t>
            </w:r>
            <w:r>
              <w:rPr>
                <w:spacing w:val="-1"/>
              </w:rPr>
              <w:t>室内照明灯具</w:t>
            </w:r>
          </w:p>
        </w:tc>
        <w:tc>
          <w:tcPr>
            <w:tcW w:w="2248" w:type="dxa"/>
            <w:vAlign w:val="top"/>
          </w:tcPr>
          <w:p w14:paraId="074F9CEF">
            <w:pPr>
              <w:rPr>
                <w:rFonts w:ascii="Arial"/>
                <w:sz w:val="21"/>
              </w:rPr>
            </w:pPr>
          </w:p>
        </w:tc>
        <w:tc>
          <w:tcPr>
            <w:tcW w:w="2392" w:type="dxa"/>
            <w:vAlign w:val="top"/>
          </w:tcPr>
          <w:p w14:paraId="6A0E61DF">
            <w:pPr>
              <w:pStyle w:val="257"/>
              <w:spacing w:before="67" w:line="219" w:lineRule="auto"/>
              <w:ind w:left="109"/>
            </w:pPr>
            <w:r>
              <w:rPr>
                <w:spacing w:val="-1"/>
              </w:rPr>
              <w:t>HJ2518</w:t>
            </w:r>
            <w:r>
              <w:rPr>
                <w:spacing w:val="-35"/>
              </w:rPr>
              <w:t xml:space="preserve"> </w:t>
            </w:r>
            <w:r>
              <w:rPr>
                <w:spacing w:val="-1"/>
              </w:rPr>
              <w:t>照明光源</w:t>
            </w:r>
          </w:p>
        </w:tc>
      </w:tr>
      <w:tr w14:paraId="2DBCC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83" w:type="dxa"/>
            <w:vAlign w:val="top"/>
          </w:tcPr>
          <w:p w14:paraId="0745A86B">
            <w:pPr>
              <w:pStyle w:val="257"/>
              <w:spacing w:before="63" w:line="242" w:lineRule="auto"/>
              <w:ind w:left="128"/>
            </w:pPr>
            <w:r>
              <w:rPr>
                <w:spacing w:val="-10"/>
              </w:rPr>
              <w:t>14</w:t>
            </w:r>
          </w:p>
        </w:tc>
        <w:tc>
          <w:tcPr>
            <w:tcW w:w="1542" w:type="dxa"/>
            <w:vAlign w:val="top"/>
          </w:tcPr>
          <w:p w14:paraId="2CFBB27D">
            <w:pPr>
              <w:pStyle w:val="257"/>
              <w:spacing w:before="64" w:line="296" w:lineRule="auto"/>
              <w:ind w:left="109" w:right="106" w:hanging="7"/>
              <w:jc w:val="both"/>
            </w:pPr>
            <w:r>
              <w:rPr>
                <w:spacing w:val="3"/>
              </w:rPr>
              <w:t>A020810</w:t>
            </w:r>
            <w:r>
              <w:rPr>
                <w:spacing w:val="34"/>
              </w:rPr>
              <w:t xml:space="preserve"> </w:t>
            </w:r>
            <w:r>
              <w:rPr>
                <w:spacing w:val="3"/>
              </w:rPr>
              <w:t>传真及</w:t>
            </w:r>
            <w:r>
              <w:t xml:space="preserve"> </w:t>
            </w:r>
            <w:r>
              <w:rPr>
                <w:spacing w:val="8"/>
              </w:rPr>
              <w:t>数据数字通信设</w:t>
            </w:r>
            <w:r>
              <w:rPr>
                <w:spacing w:val="4"/>
              </w:rPr>
              <w:t xml:space="preserve"> </w:t>
            </w:r>
            <w:r>
              <w:t>备</w:t>
            </w:r>
          </w:p>
        </w:tc>
        <w:tc>
          <w:tcPr>
            <w:tcW w:w="2672" w:type="dxa"/>
            <w:vAlign w:val="top"/>
          </w:tcPr>
          <w:p w14:paraId="61B4E0B1">
            <w:pPr>
              <w:pStyle w:val="257"/>
              <w:spacing w:before="64" w:line="219" w:lineRule="auto"/>
              <w:ind w:left="103"/>
            </w:pPr>
            <w:r>
              <w:rPr>
                <w:spacing w:val="-1"/>
              </w:rPr>
              <w:t>A02081001</w:t>
            </w:r>
            <w:r>
              <w:rPr>
                <w:spacing w:val="-30"/>
              </w:rPr>
              <w:t xml:space="preserve"> </w:t>
            </w:r>
            <w:r>
              <w:rPr>
                <w:spacing w:val="-1"/>
              </w:rPr>
              <w:t>传真通信设备</w:t>
            </w:r>
          </w:p>
        </w:tc>
        <w:tc>
          <w:tcPr>
            <w:tcW w:w="2248" w:type="dxa"/>
            <w:vAlign w:val="top"/>
          </w:tcPr>
          <w:p w14:paraId="7DA17ACF">
            <w:pPr>
              <w:rPr>
                <w:rFonts w:ascii="Arial"/>
                <w:sz w:val="21"/>
              </w:rPr>
            </w:pPr>
          </w:p>
        </w:tc>
        <w:tc>
          <w:tcPr>
            <w:tcW w:w="2392" w:type="dxa"/>
            <w:vAlign w:val="top"/>
          </w:tcPr>
          <w:p w14:paraId="157BEBC2">
            <w:pPr>
              <w:pStyle w:val="257"/>
              <w:spacing w:before="63" w:line="219" w:lineRule="auto"/>
              <w:ind w:left="109"/>
            </w:pPr>
            <w:r>
              <w:rPr>
                <w:spacing w:val="-1"/>
              </w:rPr>
              <w:t>HJ2512</w:t>
            </w:r>
            <w:r>
              <w:rPr>
                <w:spacing w:val="-29"/>
              </w:rPr>
              <w:t xml:space="preserve"> </w:t>
            </w:r>
            <w:r>
              <w:rPr>
                <w:spacing w:val="-1"/>
              </w:rPr>
              <w:t>打印机、传真机及多功能一体机</w:t>
            </w:r>
          </w:p>
        </w:tc>
      </w:tr>
      <w:tr w14:paraId="5BD73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restart"/>
            <w:tcBorders>
              <w:bottom w:val="nil"/>
            </w:tcBorders>
            <w:vAlign w:val="top"/>
          </w:tcPr>
          <w:p w14:paraId="410EF02D">
            <w:pPr>
              <w:pStyle w:val="257"/>
              <w:spacing w:before="64"/>
              <w:ind w:left="128"/>
            </w:pPr>
            <w:r>
              <w:rPr>
                <w:spacing w:val="-10"/>
              </w:rPr>
              <w:t>15</w:t>
            </w:r>
          </w:p>
        </w:tc>
        <w:tc>
          <w:tcPr>
            <w:tcW w:w="1542" w:type="dxa"/>
            <w:vMerge w:val="restart"/>
            <w:tcBorders>
              <w:bottom w:val="nil"/>
            </w:tcBorders>
            <w:vAlign w:val="top"/>
          </w:tcPr>
          <w:p w14:paraId="26E8370D">
            <w:pPr>
              <w:pStyle w:val="257"/>
              <w:spacing w:before="64" w:line="323" w:lineRule="auto"/>
              <w:ind w:left="109" w:right="108" w:hanging="7"/>
            </w:pPr>
            <w:r>
              <w:rPr>
                <w:spacing w:val="1"/>
              </w:rPr>
              <w:t>A020910</w:t>
            </w:r>
            <w:r>
              <w:rPr>
                <w:spacing w:val="54"/>
              </w:rPr>
              <w:t xml:space="preserve"> </w:t>
            </w:r>
            <w:r>
              <w:rPr>
                <w:spacing w:val="1"/>
              </w:rPr>
              <w:t>电视设</w:t>
            </w:r>
            <w:r>
              <w:t xml:space="preserve"> 备</w:t>
            </w:r>
          </w:p>
        </w:tc>
        <w:tc>
          <w:tcPr>
            <w:tcW w:w="2672" w:type="dxa"/>
            <w:vAlign w:val="top"/>
          </w:tcPr>
          <w:p w14:paraId="631B3CB1">
            <w:pPr>
              <w:pStyle w:val="257"/>
              <w:spacing w:before="64" w:line="284" w:lineRule="auto"/>
              <w:ind w:left="107" w:right="107" w:hanging="4"/>
            </w:pPr>
            <w:r>
              <w:rPr>
                <w:spacing w:val="-2"/>
              </w:rPr>
              <w:t>A02091001</w:t>
            </w:r>
            <w:r>
              <w:rPr>
                <w:spacing w:val="-29"/>
              </w:rPr>
              <w:t xml:space="preserve"> </w:t>
            </w:r>
            <w:r>
              <w:rPr>
                <w:spacing w:val="-2"/>
              </w:rPr>
              <w:t>普通电视设备（电视</w:t>
            </w:r>
            <w:r>
              <w:t xml:space="preserve"> </w:t>
            </w:r>
            <w:r>
              <w:rPr>
                <w:spacing w:val="-4"/>
              </w:rPr>
              <w:t>机）</w:t>
            </w:r>
          </w:p>
        </w:tc>
        <w:tc>
          <w:tcPr>
            <w:tcW w:w="2248" w:type="dxa"/>
            <w:vAlign w:val="top"/>
          </w:tcPr>
          <w:p w14:paraId="20AA4966">
            <w:pPr>
              <w:rPr>
                <w:rFonts w:ascii="Arial"/>
                <w:sz w:val="21"/>
              </w:rPr>
            </w:pPr>
          </w:p>
        </w:tc>
        <w:tc>
          <w:tcPr>
            <w:tcW w:w="2392" w:type="dxa"/>
            <w:vAlign w:val="top"/>
          </w:tcPr>
          <w:p w14:paraId="1D43B566">
            <w:pPr>
              <w:pStyle w:val="257"/>
              <w:spacing w:before="64" w:line="219" w:lineRule="auto"/>
              <w:ind w:left="109"/>
            </w:pPr>
            <w:r>
              <w:rPr>
                <w:spacing w:val="-1"/>
              </w:rPr>
              <w:t>HJ2506</w:t>
            </w:r>
            <w:r>
              <w:rPr>
                <w:spacing w:val="-31"/>
              </w:rPr>
              <w:t xml:space="preserve"> </w:t>
            </w:r>
            <w:r>
              <w:rPr>
                <w:spacing w:val="-1"/>
              </w:rPr>
              <w:t>彩色电视广播接收机</w:t>
            </w:r>
          </w:p>
        </w:tc>
      </w:tr>
      <w:tr w14:paraId="15C36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3" w:type="dxa"/>
            <w:vMerge w:val="continue"/>
            <w:tcBorders>
              <w:top w:val="nil"/>
            </w:tcBorders>
            <w:vAlign w:val="top"/>
          </w:tcPr>
          <w:p w14:paraId="4643E191">
            <w:pPr>
              <w:rPr>
                <w:rFonts w:ascii="Arial"/>
                <w:sz w:val="21"/>
              </w:rPr>
            </w:pPr>
          </w:p>
        </w:tc>
        <w:tc>
          <w:tcPr>
            <w:tcW w:w="1542" w:type="dxa"/>
            <w:vMerge w:val="continue"/>
            <w:tcBorders>
              <w:top w:val="nil"/>
            </w:tcBorders>
            <w:vAlign w:val="top"/>
          </w:tcPr>
          <w:p w14:paraId="4E36F452">
            <w:pPr>
              <w:rPr>
                <w:rFonts w:ascii="Arial"/>
                <w:sz w:val="21"/>
              </w:rPr>
            </w:pPr>
          </w:p>
        </w:tc>
        <w:tc>
          <w:tcPr>
            <w:tcW w:w="2672" w:type="dxa"/>
            <w:vAlign w:val="top"/>
          </w:tcPr>
          <w:p w14:paraId="192CDB2C">
            <w:pPr>
              <w:pStyle w:val="257"/>
              <w:spacing w:before="67" w:line="284" w:lineRule="auto"/>
              <w:ind w:left="111" w:right="107" w:hanging="8"/>
            </w:pPr>
            <w:r>
              <w:rPr>
                <w:spacing w:val="6"/>
              </w:rPr>
              <w:t>A02091003 特殊功能应用电视</w:t>
            </w:r>
            <w:r>
              <w:rPr>
                <w:spacing w:val="7"/>
              </w:rPr>
              <w:t xml:space="preserve"> </w:t>
            </w:r>
            <w:r>
              <w:rPr>
                <w:spacing w:val="-3"/>
              </w:rPr>
              <w:t>设备</w:t>
            </w:r>
          </w:p>
        </w:tc>
        <w:tc>
          <w:tcPr>
            <w:tcW w:w="2248" w:type="dxa"/>
            <w:vAlign w:val="top"/>
          </w:tcPr>
          <w:p w14:paraId="1810E7D8">
            <w:pPr>
              <w:rPr>
                <w:rFonts w:ascii="Arial"/>
                <w:sz w:val="21"/>
              </w:rPr>
            </w:pPr>
          </w:p>
        </w:tc>
        <w:tc>
          <w:tcPr>
            <w:tcW w:w="2392" w:type="dxa"/>
            <w:vAlign w:val="top"/>
          </w:tcPr>
          <w:p w14:paraId="40354154">
            <w:pPr>
              <w:pStyle w:val="257"/>
              <w:spacing w:before="67" w:line="219" w:lineRule="auto"/>
              <w:ind w:left="109"/>
            </w:pPr>
            <w:r>
              <w:rPr>
                <w:spacing w:val="-1"/>
              </w:rPr>
              <w:t>HJ2506</w:t>
            </w:r>
            <w:r>
              <w:rPr>
                <w:spacing w:val="-31"/>
              </w:rPr>
              <w:t xml:space="preserve"> </w:t>
            </w:r>
            <w:r>
              <w:rPr>
                <w:spacing w:val="-1"/>
              </w:rPr>
              <w:t>彩色电视广播接收机</w:t>
            </w:r>
          </w:p>
        </w:tc>
      </w:tr>
      <w:tr w14:paraId="2ADF6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restart"/>
            <w:tcBorders>
              <w:bottom w:val="nil"/>
            </w:tcBorders>
            <w:vAlign w:val="top"/>
          </w:tcPr>
          <w:p w14:paraId="7DC6975A">
            <w:pPr>
              <w:pStyle w:val="257"/>
              <w:spacing w:before="65"/>
              <w:ind w:left="128"/>
            </w:pPr>
            <w:r>
              <w:rPr>
                <w:spacing w:val="-10"/>
              </w:rPr>
              <w:t>16</w:t>
            </w:r>
          </w:p>
        </w:tc>
        <w:tc>
          <w:tcPr>
            <w:tcW w:w="1542" w:type="dxa"/>
            <w:vMerge w:val="restart"/>
            <w:tcBorders>
              <w:bottom w:val="nil"/>
            </w:tcBorders>
            <w:vAlign w:val="top"/>
          </w:tcPr>
          <w:p w14:paraId="5FEF690E">
            <w:pPr>
              <w:pStyle w:val="257"/>
              <w:spacing w:before="65" w:line="220" w:lineRule="auto"/>
              <w:ind w:left="193"/>
            </w:pPr>
            <w:r>
              <w:rPr>
                <w:spacing w:val="-1"/>
              </w:rPr>
              <w:t>A0601</w:t>
            </w:r>
            <w:r>
              <w:rPr>
                <w:spacing w:val="-36"/>
              </w:rPr>
              <w:t xml:space="preserve"> </w:t>
            </w:r>
            <w:r>
              <w:rPr>
                <w:spacing w:val="-1"/>
              </w:rPr>
              <w:t>床类</w:t>
            </w:r>
          </w:p>
        </w:tc>
        <w:tc>
          <w:tcPr>
            <w:tcW w:w="2672" w:type="dxa"/>
            <w:vAlign w:val="top"/>
          </w:tcPr>
          <w:p w14:paraId="1E642A8B">
            <w:pPr>
              <w:pStyle w:val="257"/>
              <w:spacing w:before="65" w:line="220" w:lineRule="auto"/>
              <w:ind w:left="103"/>
            </w:pPr>
            <w:r>
              <w:rPr>
                <w:spacing w:val="-1"/>
              </w:rPr>
              <w:t>A060101</w:t>
            </w:r>
            <w:r>
              <w:rPr>
                <w:spacing w:val="-34"/>
              </w:rPr>
              <w:t xml:space="preserve"> </w:t>
            </w:r>
            <w:r>
              <w:rPr>
                <w:spacing w:val="-1"/>
              </w:rPr>
              <w:t>钢木床类</w:t>
            </w:r>
          </w:p>
        </w:tc>
        <w:tc>
          <w:tcPr>
            <w:tcW w:w="2248" w:type="dxa"/>
            <w:vAlign w:val="top"/>
          </w:tcPr>
          <w:p w14:paraId="46156D67">
            <w:pPr>
              <w:rPr>
                <w:rFonts w:ascii="Arial"/>
                <w:sz w:val="21"/>
              </w:rPr>
            </w:pPr>
          </w:p>
        </w:tc>
        <w:tc>
          <w:tcPr>
            <w:tcW w:w="2392" w:type="dxa"/>
            <w:vAlign w:val="top"/>
          </w:tcPr>
          <w:p w14:paraId="653439C0">
            <w:pPr>
              <w:pStyle w:val="257"/>
              <w:spacing w:before="64"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8538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583" w:type="dxa"/>
            <w:vMerge w:val="continue"/>
            <w:tcBorders>
              <w:top w:val="nil"/>
              <w:bottom w:val="nil"/>
            </w:tcBorders>
            <w:vAlign w:val="top"/>
          </w:tcPr>
          <w:p w14:paraId="196591F5">
            <w:pPr>
              <w:rPr>
                <w:rFonts w:ascii="Arial"/>
                <w:sz w:val="21"/>
              </w:rPr>
            </w:pPr>
          </w:p>
        </w:tc>
        <w:tc>
          <w:tcPr>
            <w:tcW w:w="1542" w:type="dxa"/>
            <w:vMerge w:val="continue"/>
            <w:tcBorders>
              <w:top w:val="nil"/>
              <w:bottom w:val="nil"/>
            </w:tcBorders>
            <w:vAlign w:val="top"/>
          </w:tcPr>
          <w:p w14:paraId="7F4A9CF9">
            <w:pPr>
              <w:rPr>
                <w:rFonts w:ascii="Arial"/>
                <w:sz w:val="21"/>
              </w:rPr>
            </w:pPr>
          </w:p>
        </w:tc>
        <w:tc>
          <w:tcPr>
            <w:tcW w:w="2672" w:type="dxa"/>
            <w:vAlign w:val="top"/>
          </w:tcPr>
          <w:p w14:paraId="3C53E63A">
            <w:pPr>
              <w:pStyle w:val="257"/>
              <w:spacing w:before="65" w:line="220" w:lineRule="auto"/>
              <w:ind w:left="103"/>
            </w:pPr>
            <w:r>
              <w:rPr>
                <w:spacing w:val="-1"/>
              </w:rPr>
              <w:t>A060104</w:t>
            </w:r>
            <w:r>
              <w:rPr>
                <w:spacing w:val="-33"/>
              </w:rPr>
              <w:t xml:space="preserve"> </w:t>
            </w:r>
            <w:r>
              <w:rPr>
                <w:spacing w:val="-1"/>
              </w:rPr>
              <w:t>木制床类</w:t>
            </w:r>
          </w:p>
        </w:tc>
        <w:tc>
          <w:tcPr>
            <w:tcW w:w="2248" w:type="dxa"/>
            <w:vAlign w:val="top"/>
          </w:tcPr>
          <w:p w14:paraId="53FC7E23">
            <w:pPr>
              <w:rPr>
                <w:rFonts w:ascii="Arial"/>
                <w:sz w:val="21"/>
              </w:rPr>
            </w:pPr>
          </w:p>
        </w:tc>
        <w:tc>
          <w:tcPr>
            <w:tcW w:w="2392" w:type="dxa"/>
            <w:vAlign w:val="top"/>
          </w:tcPr>
          <w:p w14:paraId="52649647">
            <w:pPr>
              <w:pStyle w:val="257"/>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45376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vAlign w:val="top"/>
          </w:tcPr>
          <w:p w14:paraId="25C97FAC">
            <w:pPr>
              <w:rPr>
                <w:rFonts w:ascii="Arial"/>
                <w:sz w:val="21"/>
              </w:rPr>
            </w:pPr>
          </w:p>
        </w:tc>
        <w:tc>
          <w:tcPr>
            <w:tcW w:w="1542" w:type="dxa"/>
            <w:vMerge w:val="continue"/>
            <w:tcBorders>
              <w:top w:val="nil"/>
            </w:tcBorders>
            <w:vAlign w:val="top"/>
          </w:tcPr>
          <w:p w14:paraId="4C47414E">
            <w:pPr>
              <w:rPr>
                <w:rFonts w:ascii="Arial"/>
                <w:sz w:val="21"/>
              </w:rPr>
            </w:pPr>
          </w:p>
        </w:tc>
        <w:tc>
          <w:tcPr>
            <w:tcW w:w="2672" w:type="dxa"/>
            <w:vAlign w:val="top"/>
          </w:tcPr>
          <w:p w14:paraId="2D9D08FB">
            <w:pPr>
              <w:pStyle w:val="257"/>
              <w:spacing w:before="65" w:line="220" w:lineRule="auto"/>
              <w:ind w:left="103"/>
            </w:pPr>
            <w:r>
              <w:rPr>
                <w:spacing w:val="-1"/>
              </w:rPr>
              <w:t>A060199</w:t>
            </w:r>
            <w:r>
              <w:rPr>
                <w:spacing w:val="-33"/>
              </w:rPr>
              <w:t xml:space="preserve"> </w:t>
            </w:r>
            <w:r>
              <w:rPr>
                <w:spacing w:val="-1"/>
              </w:rPr>
              <w:t>其他床类</w:t>
            </w:r>
          </w:p>
        </w:tc>
        <w:tc>
          <w:tcPr>
            <w:tcW w:w="2248" w:type="dxa"/>
            <w:vAlign w:val="top"/>
          </w:tcPr>
          <w:p w14:paraId="26DA5D59">
            <w:pPr>
              <w:rPr>
                <w:rFonts w:ascii="Arial"/>
                <w:sz w:val="21"/>
              </w:rPr>
            </w:pPr>
          </w:p>
        </w:tc>
        <w:tc>
          <w:tcPr>
            <w:tcW w:w="2392" w:type="dxa"/>
            <w:vAlign w:val="top"/>
          </w:tcPr>
          <w:p w14:paraId="4B52C3C6">
            <w:pPr>
              <w:pStyle w:val="257"/>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2B773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00FF68E8">
            <w:pPr>
              <w:pStyle w:val="257"/>
              <w:spacing w:before="66"/>
              <w:ind w:left="128"/>
            </w:pPr>
            <w:r>
              <w:rPr>
                <w:spacing w:val="-10"/>
              </w:rPr>
              <w:t>17</w:t>
            </w:r>
          </w:p>
        </w:tc>
        <w:tc>
          <w:tcPr>
            <w:tcW w:w="1542" w:type="dxa"/>
            <w:vMerge w:val="restart"/>
            <w:tcBorders>
              <w:bottom w:val="nil"/>
            </w:tcBorders>
            <w:vAlign w:val="top"/>
          </w:tcPr>
          <w:p w14:paraId="46AB660E">
            <w:pPr>
              <w:pStyle w:val="257"/>
              <w:spacing w:before="65" w:line="220" w:lineRule="auto"/>
              <w:ind w:left="102"/>
            </w:pPr>
            <w:r>
              <w:rPr>
                <w:spacing w:val="-2"/>
              </w:rPr>
              <w:t>A0602</w:t>
            </w:r>
            <w:r>
              <w:rPr>
                <w:spacing w:val="-22"/>
              </w:rPr>
              <w:t xml:space="preserve"> </w:t>
            </w:r>
            <w:r>
              <w:rPr>
                <w:spacing w:val="-2"/>
              </w:rPr>
              <w:t>台、桌类</w:t>
            </w:r>
          </w:p>
        </w:tc>
        <w:tc>
          <w:tcPr>
            <w:tcW w:w="2672" w:type="dxa"/>
            <w:vAlign w:val="top"/>
          </w:tcPr>
          <w:p w14:paraId="0E8D4756">
            <w:pPr>
              <w:pStyle w:val="257"/>
              <w:spacing w:before="65" w:line="220" w:lineRule="auto"/>
              <w:ind w:left="103"/>
            </w:pPr>
            <w:r>
              <w:rPr>
                <w:spacing w:val="-1"/>
              </w:rPr>
              <w:t>A060201</w:t>
            </w:r>
            <w:r>
              <w:rPr>
                <w:spacing w:val="-29"/>
              </w:rPr>
              <w:t xml:space="preserve"> </w:t>
            </w:r>
            <w:r>
              <w:rPr>
                <w:spacing w:val="-1"/>
              </w:rPr>
              <w:t>钢木台、桌类</w:t>
            </w:r>
          </w:p>
        </w:tc>
        <w:tc>
          <w:tcPr>
            <w:tcW w:w="2248" w:type="dxa"/>
            <w:vAlign w:val="top"/>
          </w:tcPr>
          <w:p w14:paraId="50B7C193">
            <w:pPr>
              <w:rPr>
                <w:rFonts w:ascii="Arial"/>
                <w:sz w:val="21"/>
              </w:rPr>
            </w:pPr>
          </w:p>
        </w:tc>
        <w:tc>
          <w:tcPr>
            <w:tcW w:w="2392" w:type="dxa"/>
            <w:vAlign w:val="top"/>
          </w:tcPr>
          <w:p w14:paraId="0D667D18">
            <w:pPr>
              <w:pStyle w:val="257"/>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31B56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continue"/>
            <w:tcBorders>
              <w:top w:val="nil"/>
              <w:bottom w:val="nil"/>
            </w:tcBorders>
            <w:vAlign w:val="top"/>
          </w:tcPr>
          <w:p w14:paraId="6DD718B9">
            <w:pPr>
              <w:rPr>
                <w:rFonts w:ascii="Arial"/>
                <w:sz w:val="21"/>
              </w:rPr>
            </w:pPr>
          </w:p>
        </w:tc>
        <w:tc>
          <w:tcPr>
            <w:tcW w:w="1542" w:type="dxa"/>
            <w:vMerge w:val="continue"/>
            <w:tcBorders>
              <w:top w:val="nil"/>
              <w:bottom w:val="nil"/>
            </w:tcBorders>
            <w:vAlign w:val="top"/>
          </w:tcPr>
          <w:p w14:paraId="386792F2">
            <w:pPr>
              <w:rPr>
                <w:rFonts w:ascii="Arial"/>
                <w:sz w:val="21"/>
              </w:rPr>
            </w:pPr>
          </w:p>
        </w:tc>
        <w:tc>
          <w:tcPr>
            <w:tcW w:w="2672" w:type="dxa"/>
            <w:vAlign w:val="top"/>
          </w:tcPr>
          <w:p w14:paraId="04D01AD8">
            <w:pPr>
              <w:pStyle w:val="257"/>
              <w:spacing w:before="65" w:line="220" w:lineRule="auto"/>
              <w:ind w:left="103"/>
            </w:pPr>
            <w:r>
              <w:rPr>
                <w:spacing w:val="-1"/>
              </w:rPr>
              <w:t>A060205</w:t>
            </w:r>
            <w:r>
              <w:rPr>
                <w:spacing w:val="-29"/>
              </w:rPr>
              <w:t xml:space="preserve"> </w:t>
            </w:r>
            <w:r>
              <w:rPr>
                <w:spacing w:val="-1"/>
              </w:rPr>
              <w:t>木制台、桌类</w:t>
            </w:r>
          </w:p>
        </w:tc>
        <w:tc>
          <w:tcPr>
            <w:tcW w:w="2248" w:type="dxa"/>
            <w:vAlign w:val="top"/>
          </w:tcPr>
          <w:p w14:paraId="09D44818">
            <w:pPr>
              <w:rPr>
                <w:rFonts w:ascii="Arial"/>
                <w:sz w:val="21"/>
              </w:rPr>
            </w:pPr>
          </w:p>
        </w:tc>
        <w:tc>
          <w:tcPr>
            <w:tcW w:w="2392" w:type="dxa"/>
            <w:vAlign w:val="top"/>
          </w:tcPr>
          <w:p w14:paraId="63EF0849">
            <w:pPr>
              <w:pStyle w:val="257"/>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6572D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vAlign w:val="top"/>
          </w:tcPr>
          <w:p w14:paraId="212D3AC2">
            <w:pPr>
              <w:rPr>
                <w:rFonts w:ascii="Arial"/>
                <w:sz w:val="21"/>
              </w:rPr>
            </w:pPr>
          </w:p>
        </w:tc>
        <w:tc>
          <w:tcPr>
            <w:tcW w:w="1542" w:type="dxa"/>
            <w:vMerge w:val="continue"/>
            <w:tcBorders>
              <w:top w:val="nil"/>
            </w:tcBorders>
            <w:vAlign w:val="top"/>
          </w:tcPr>
          <w:p w14:paraId="71A5ADDB">
            <w:pPr>
              <w:rPr>
                <w:rFonts w:ascii="Arial"/>
                <w:sz w:val="21"/>
              </w:rPr>
            </w:pPr>
          </w:p>
        </w:tc>
        <w:tc>
          <w:tcPr>
            <w:tcW w:w="2672" w:type="dxa"/>
            <w:vAlign w:val="top"/>
          </w:tcPr>
          <w:p w14:paraId="2F744242">
            <w:pPr>
              <w:pStyle w:val="257"/>
              <w:spacing w:before="66" w:line="220" w:lineRule="auto"/>
              <w:ind w:left="103"/>
            </w:pPr>
            <w:r>
              <w:rPr>
                <w:spacing w:val="-1"/>
              </w:rPr>
              <w:t>A060299</w:t>
            </w:r>
            <w:r>
              <w:rPr>
                <w:spacing w:val="-29"/>
              </w:rPr>
              <w:t xml:space="preserve"> </w:t>
            </w:r>
            <w:r>
              <w:rPr>
                <w:spacing w:val="-1"/>
              </w:rPr>
              <w:t>其他台、桌类</w:t>
            </w:r>
          </w:p>
        </w:tc>
        <w:tc>
          <w:tcPr>
            <w:tcW w:w="2248" w:type="dxa"/>
            <w:vAlign w:val="top"/>
          </w:tcPr>
          <w:p w14:paraId="514F29F5">
            <w:pPr>
              <w:rPr>
                <w:rFonts w:ascii="Arial"/>
                <w:sz w:val="21"/>
              </w:rPr>
            </w:pPr>
          </w:p>
        </w:tc>
        <w:tc>
          <w:tcPr>
            <w:tcW w:w="2392" w:type="dxa"/>
            <w:vAlign w:val="top"/>
          </w:tcPr>
          <w:p w14:paraId="7BBDF894">
            <w:pPr>
              <w:pStyle w:val="257"/>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6F35C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75FEF03B">
            <w:pPr>
              <w:pStyle w:val="257"/>
              <w:spacing w:before="67"/>
              <w:ind w:left="128"/>
            </w:pPr>
            <w:r>
              <w:rPr>
                <w:spacing w:val="-10"/>
              </w:rPr>
              <w:t>18</w:t>
            </w:r>
          </w:p>
        </w:tc>
        <w:tc>
          <w:tcPr>
            <w:tcW w:w="1542" w:type="dxa"/>
            <w:vMerge w:val="restart"/>
            <w:tcBorders>
              <w:bottom w:val="nil"/>
            </w:tcBorders>
            <w:vAlign w:val="top"/>
          </w:tcPr>
          <w:p w14:paraId="6F4AA3DB">
            <w:pPr>
              <w:pStyle w:val="257"/>
              <w:spacing w:before="66" w:line="220" w:lineRule="auto"/>
              <w:ind w:left="102"/>
            </w:pPr>
            <w:r>
              <w:rPr>
                <w:spacing w:val="-1"/>
              </w:rPr>
              <w:t>A0603</w:t>
            </w:r>
            <w:r>
              <w:rPr>
                <w:spacing w:val="-36"/>
              </w:rPr>
              <w:t xml:space="preserve"> </w:t>
            </w:r>
            <w:r>
              <w:rPr>
                <w:spacing w:val="-1"/>
              </w:rPr>
              <w:t>椅凳类</w:t>
            </w:r>
          </w:p>
        </w:tc>
        <w:tc>
          <w:tcPr>
            <w:tcW w:w="2672" w:type="dxa"/>
            <w:vAlign w:val="top"/>
          </w:tcPr>
          <w:p w14:paraId="448DD27A">
            <w:pPr>
              <w:pStyle w:val="257"/>
              <w:spacing w:before="66" w:line="220" w:lineRule="auto"/>
              <w:ind w:left="103"/>
            </w:pPr>
            <w:r>
              <w:rPr>
                <w:spacing w:val="-1"/>
              </w:rPr>
              <w:t>A060301</w:t>
            </w:r>
            <w:r>
              <w:rPr>
                <w:spacing w:val="-46"/>
              </w:rPr>
              <w:t xml:space="preserve"> </w:t>
            </w:r>
            <w:r>
              <w:rPr>
                <w:spacing w:val="-1"/>
              </w:rPr>
              <w:t>金属骨架为主的椅凳类</w:t>
            </w:r>
          </w:p>
        </w:tc>
        <w:tc>
          <w:tcPr>
            <w:tcW w:w="2248" w:type="dxa"/>
            <w:vAlign w:val="top"/>
          </w:tcPr>
          <w:p w14:paraId="35146366">
            <w:pPr>
              <w:rPr>
                <w:rFonts w:ascii="Arial"/>
                <w:sz w:val="21"/>
              </w:rPr>
            </w:pPr>
          </w:p>
        </w:tc>
        <w:tc>
          <w:tcPr>
            <w:tcW w:w="2392" w:type="dxa"/>
            <w:vAlign w:val="top"/>
          </w:tcPr>
          <w:p w14:paraId="656C7958">
            <w:pPr>
              <w:pStyle w:val="257"/>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AB33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continue"/>
            <w:tcBorders>
              <w:top w:val="nil"/>
              <w:bottom w:val="nil"/>
            </w:tcBorders>
            <w:vAlign w:val="top"/>
          </w:tcPr>
          <w:p w14:paraId="37CF7095">
            <w:pPr>
              <w:rPr>
                <w:rFonts w:ascii="Arial"/>
                <w:sz w:val="21"/>
              </w:rPr>
            </w:pPr>
          </w:p>
        </w:tc>
        <w:tc>
          <w:tcPr>
            <w:tcW w:w="1542" w:type="dxa"/>
            <w:vMerge w:val="continue"/>
            <w:tcBorders>
              <w:top w:val="nil"/>
              <w:bottom w:val="nil"/>
            </w:tcBorders>
            <w:vAlign w:val="top"/>
          </w:tcPr>
          <w:p w14:paraId="28DE269E">
            <w:pPr>
              <w:rPr>
                <w:rFonts w:ascii="Arial"/>
                <w:sz w:val="21"/>
              </w:rPr>
            </w:pPr>
          </w:p>
        </w:tc>
        <w:tc>
          <w:tcPr>
            <w:tcW w:w="2672" w:type="dxa"/>
            <w:vAlign w:val="top"/>
          </w:tcPr>
          <w:p w14:paraId="0279AA59">
            <w:pPr>
              <w:pStyle w:val="257"/>
              <w:spacing w:before="66" w:line="220" w:lineRule="auto"/>
              <w:ind w:left="103"/>
            </w:pPr>
            <w:r>
              <w:rPr>
                <w:spacing w:val="-1"/>
              </w:rPr>
              <w:t>A060302</w:t>
            </w:r>
            <w:r>
              <w:rPr>
                <w:spacing w:val="-29"/>
              </w:rPr>
              <w:t xml:space="preserve"> </w:t>
            </w:r>
            <w:r>
              <w:rPr>
                <w:spacing w:val="-1"/>
              </w:rPr>
              <w:t>木骨架为主的椅凳类</w:t>
            </w:r>
          </w:p>
        </w:tc>
        <w:tc>
          <w:tcPr>
            <w:tcW w:w="2248" w:type="dxa"/>
            <w:vAlign w:val="top"/>
          </w:tcPr>
          <w:p w14:paraId="4EEED532">
            <w:pPr>
              <w:rPr>
                <w:rFonts w:ascii="Arial"/>
                <w:sz w:val="21"/>
              </w:rPr>
            </w:pPr>
          </w:p>
        </w:tc>
        <w:tc>
          <w:tcPr>
            <w:tcW w:w="2392" w:type="dxa"/>
            <w:vAlign w:val="top"/>
          </w:tcPr>
          <w:p w14:paraId="6E78AC05">
            <w:pPr>
              <w:pStyle w:val="257"/>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903D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vAlign w:val="top"/>
          </w:tcPr>
          <w:p w14:paraId="02A76264">
            <w:pPr>
              <w:rPr>
                <w:rFonts w:ascii="Arial"/>
                <w:sz w:val="21"/>
              </w:rPr>
            </w:pPr>
          </w:p>
        </w:tc>
        <w:tc>
          <w:tcPr>
            <w:tcW w:w="1542" w:type="dxa"/>
            <w:vMerge w:val="continue"/>
            <w:tcBorders>
              <w:top w:val="nil"/>
            </w:tcBorders>
            <w:vAlign w:val="top"/>
          </w:tcPr>
          <w:p w14:paraId="2004F5D5">
            <w:pPr>
              <w:rPr>
                <w:rFonts w:ascii="Arial"/>
                <w:sz w:val="21"/>
              </w:rPr>
            </w:pPr>
          </w:p>
        </w:tc>
        <w:tc>
          <w:tcPr>
            <w:tcW w:w="2672" w:type="dxa"/>
            <w:vAlign w:val="top"/>
          </w:tcPr>
          <w:p w14:paraId="0E8D949F">
            <w:pPr>
              <w:pStyle w:val="257"/>
              <w:spacing w:before="67" w:line="220" w:lineRule="auto"/>
              <w:ind w:left="103"/>
            </w:pPr>
            <w:r>
              <w:rPr>
                <w:spacing w:val="-1"/>
              </w:rPr>
              <w:t>A060399</w:t>
            </w:r>
            <w:r>
              <w:rPr>
                <w:spacing w:val="-33"/>
              </w:rPr>
              <w:t xml:space="preserve"> </w:t>
            </w:r>
            <w:r>
              <w:rPr>
                <w:spacing w:val="-1"/>
              </w:rPr>
              <w:t>其他椅凳类</w:t>
            </w:r>
          </w:p>
        </w:tc>
        <w:tc>
          <w:tcPr>
            <w:tcW w:w="2248" w:type="dxa"/>
            <w:vAlign w:val="top"/>
          </w:tcPr>
          <w:p w14:paraId="24CEDEBE">
            <w:pPr>
              <w:rPr>
                <w:rFonts w:ascii="Arial"/>
                <w:sz w:val="21"/>
              </w:rPr>
            </w:pPr>
          </w:p>
        </w:tc>
        <w:tc>
          <w:tcPr>
            <w:tcW w:w="2392" w:type="dxa"/>
            <w:vAlign w:val="top"/>
          </w:tcPr>
          <w:p w14:paraId="1841F1AE">
            <w:pPr>
              <w:pStyle w:val="257"/>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7AF9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Align w:val="top"/>
          </w:tcPr>
          <w:p w14:paraId="4A551B1F">
            <w:pPr>
              <w:pStyle w:val="257"/>
              <w:spacing w:before="67"/>
              <w:ind w:left="128"/>
            </w:pPr>
            <w:r>
              <w:rPr>
                <w:spacing w:val="-10"/>
              </w:rPr>
              <w:t>19</w:t>
            </w:r>
          </w:p>
        </w:tc>
        <w:tc>
          <w:tcPr>
            <w:tcW w:w="1542" w:type="dxa"/>
            <w:vAlign w:val="top"/>
          </w:tcPr>
          <w:p w14:paraId="02A3D41F">
            <w:pPr>
              <w:pStyle w:val="257"/>
              <w:spacing w:before="67" w:line="220" w:lineRule="auto"/>
              <w:ind w:left="102"/>
            </w:pPr>
            <w:r>
              <w:rPr>
                <w:spacing w:val="-1"/>
              </w:rPr>
              <w:t>A0604</w:t>
            </w:r>
            <w:r>
              <w:rPr>
                <w:spacing w:val="-35"/>
              </w:rPr>
              <w:t xml:space="preserve"> </w:t>
            </w:r>
            <w:r>
              <w:rPr>
                <w:spacing w:val="-1"/>
              </w:rPr>
              <w:t>沙发类</w:t>
            </w:r>
          </w:p>
        </w:tc>
        <w:tc>
          <w:tcPr>
            <w:tcW w:w="2672" w:type="dxa"/>
            <w:vAlign w:val="top"/>
          </w:tcPr>
          <w:p w14:paraId="46D25991">
            <w:pPr>
              <w:pStyle w:val="257"/>
              <w:spacing w:before="67" w:line="220" w:lineRule="auto"/>
              <w:ind w:left="103"/>
            </w:pPr>
            <w:r>
              <w:rPr>
                <w:spacing w:val="-1"/>
              </w:rPr>
              <w:t>A060499</w:t>
            </w:r>
            <w:r>
              <w:rPr>
                <w:spacing w:val="-33"/>
              </w:rPr>
              <w:t xml:space="preserve"> </w:t>
            </w:r>
            <w:r>
              <w:rPr>
                <w:spacing w:val="-1"/>
              </w:rPr>
              <w:t>其他沙发类</w:t>
            </w:r>
          </w:p>
        </w:tc>
        <w:tc>
          <w:tcPr>
            <w:tcW w:w="2248" w:type="dxa"/>
            <w:vAlign w:val="top"/>
          </w:tcPr>
          <w:p w14:paraId="431A2D2C">
            <w:pPr>
              <w:rPr>
                <w:rFonts w:ascii="Arial"/>
                <w:sz w:val="21"/>
              </w:rPr>
            </w:pPr>
          </w:p>
        </w:tc>
        <w:tc>
          <w:tcPr>
            <w:tcW w:w="2392" w:type="dxa"/>
            <w:vAlign w:val="top"/>
          </w:tcPr>
          <w:p w14:paraId="78253D8C">
            <w:pPr>
              <w:pStyle w:val="257"/>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087F3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0A0D9E9B">
            <w:pPr>
              <w:pStyle w:val="257"/>
              <w:spacing w:before="67"/>
              <w:ind w:left="116"/>
            </w:pPr>
            <w:r>
              <w:rPr>
                <w:spacing w:val="-4"/>
              </w:rPr>
              <w:t>20</w:t>
            </w:r>
          </w:p>
        </w:tc>
        <w:tc>
          <w:tcPr>
            <w:tcW w:w="1542" w:type="dxa"/>
            <w:vMerge w:val="restart"/>
            <w:tcBorders>
              <w:bottom w:val="nil"/>
            </w:tcBorders>
            <w:vAlign w:val="top"/>
          </w:tcPr>
          <w:p w14:paraId="1A2C27BF">
            <w:pPr>
              <w:pStyle w:val="257"/>
              <w:spacing w:before="67" w:line="220" w:lineRule="auto"/>
              <w:ind w:left="193"/>
            </w:pPr>
            <w:r>
              <w:rPr>
                <w:spacing w:val="-1"/>
              </w:rPr>
              <w:t>A0605</w:t>
            </w:r>
            <w:r>
              <w:rPr>
                <w:spacing w:val="-36"/>
              </w:rPr>
              <w:t xml:space="preserve"> </w:t>
            </w:r>
            <w:r>
              <w:rPr>
                <w:spacing w:val="-1"/>
              </w:rPr>
              <w:t>柜类</w:t>
            </w:r>
          </w:p>
        </w:tc>
        <w:tc>
          <w:tcPr>
            <w:tcW w:w="2672" w:type="dxa"/>
            <w:vAlign w:val="top"/>
          </w:tcPr>
          <w:p w14:paraId="079653E6">
            <w:pPr>
              <w:pStyle w:val="257"/>
              <w:spacing w:before="67" w:line="220" w:lineRule="auto"/>
              <w:ind w:left="103"/>
            </w:pPr>
            <w:r>
              <w:rPr>
                <w:spacing w:val="-1"/>
              </w:rPr>
              <w:t>A060501</w:t>
            </w:r>
            <w:r>
              <w:rPr>
                <w:spacing w:val="-33"/>
              </w:rPr>
              <w:t xml:space="preserve"> </w:t>
            </w:r>
            <w:r>
              <w:rPr>
                <w:spacing w:val="-1"/>
              </w:rPr>
              <w:t>木质柜类</w:t>
            </w:r>
          </w:p>
        </w:tc>
        <w:tc>
          <w:tcPr>
            <w:tcW w:w="2248" w:type="dxa"/>
            <w:vAlign w:val="top"/>
          </w:tcPr>
          <w:p w14:paraId="2C52F27B">
            <w:pPr>
              <w:rPr>
                <w:rFonts w:ascii="Arial"/>
                <w:sz w:val="21"/>
              </w:rPr>
            </w:pPr>
          </w:p>
        </w:tc>
        <w:tc>
          <w:tcPr>
            <w:tcW w:w="2392" w:type="dxa"/>
            <w:vAlign w:val="top"/>
          </w:tcPr>
          <w:p w14:paraId="0879F0B3">
            <w:pPr>
              <w:pStyle w:val="257"/>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D3DB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vAlign w:val="top"/>
          </w:tcPr>
          <w:p w14:paraId="57EAEF2C">
            <w:pPr>
              <w:rPr>
                <w:rFonts w:ascii="Arial"/>
                <w:sz w:val="21"/>
              </w:rPr>
            </w:pPr>
          </w:p>
        </w:tc>
        <w:tc>
          <w:tcPr>
            <w:tcW w:w="1542" w:type="dxa"/>
            <w:vMerge w:val="continue"/>
            <w:tcBorders>
              <w:top w:val="nil"/>
              <w:bottom w:val="nil"/>
            </w:tcBorders>
            <w:vAlign w:val="top"/>
          </w:tcPr>
          <w:p w14:paraId="76C15929">
            <w:pPr>
              <w:rPr>
                <w:rFonts w:ascii="Arial"/>
                <w:sz w:val="21"/>
              </w:rPr>
            </w:pPr>
          </w:p>
        </w:tc>
        <w:tc>
          <w:tcPr>
            <w:tcW w:w="2672" w:type="dxa"/>
            <w:vAlign w:val="top"/>
          </w:tcPr>
          <w:p w14:paraId="560F5189">
            <w:pPr>
              <w:pStyle w:val="257"/>
              <w:spacing w:before="67" w:line="220" w:lineRule="auto"/>
              <w:ind w:left="103"/>
            </w:pPr>
            <w:r>
              <w:rPr>
                <w:spacing w:val="-1"/>
              </w:rPr>
              <w:t>A060503</w:t>
            </w:r>
            <w:r>
              <w:rPr>
                <w:spacing w:val="-32"/>
              </w:rPr>
              <w:t xml:space="preserve"> </w:t>
            </w:r>
            <w:r>
              <w:rPr>
                <w:spacing w:val="-1"/>
              </w:rPr>
              <w:t>金属质柜类</w:t>
            </w:r>
          </w:p>
        </w:tc>
        <w:tc>
          <w:tcPr>
            <w:tcW w:w="2248" w:type="dxa"/>
            <w:vAlign w:val="top"/>
          </w:tcPr>
          <w:p w14:paraId="148476BE">
            <w:pPr>
              <w:rPr>
                <w:rFonts w:ascii="Arial"/>
                <w:sz w:val="21"/>
              </w:rPr>
            </w:pPr>
          </w:p>
        </w:tc>
        <w:tc>
          <w:tcPr>
            <w:tcW w:w="2392" w:type="dxa"/>
            <w:vAlign w:val="top"/>
          </w:tcPr>
          <w:p w14:paraId="4E6C8272">
            <w:pPr>
              <w:pStyle w:val="257"/>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CD4D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58727A63">
            <w:pPr>
              <w:rPr>
                <w:rFonts w:ascii="Arial"/>
                <w:sz w:val="21"/>
              </w:rPr>
            </w:pPr>
          </w:p>
        </w:tc>
        <w:tc>
          <w:tcPr>
            <w:tcW w:w="1542" w:type="dxa"/>
            <w:vMerge w:val="continue"/>
            <w:tcBorders>
              <w:top w:val="nil"/>
            </w:tcBorders>
            <w:vAlign w:val="top"/>
          </w:tcPr>
          <w:p w14:paraId="51A81438">
            <w:pPr>
              <w:rPr>
                <w:rFonts w:ascii="Arial"/>
                <w:sz w:val="21"/>
              </w:rPr>
            </w:pPr>
          </w:p>
        </w:tc>
        <w:tc>
          <w:tcPr>
            <w:tcW w:w="2672" w:type="dxa"/>
            <w:vAlign w:val="top"/>
          </w:tcPr>
          <w:p w14:paraId="2F3C16A4">
            <w:pPr>
              <w:pStyle w:val="257"/>
              <w:spacing w:before="67" w:line="220" w:lineRule="auto"/>
              <w:ind w:left="103"/>
            </w:pPr>
            <w:r>
              <w:rPr>
                <w:spacing w:val="-1"/>
              </w:rPr>
              <w:t>A060599</w:t>
            </w:r>
            <w:r>
              <w:rPr>
                <w:spacing w:val="-33"/>
              </w:rPr>
              <w:t xml:space="preserve"> </w:t>
            </w:r>
            <w:r>
              <w:rPr>
                <w:spacing w:val="-1"/>
              </w:rPr>
              <w:t>其他柜类</w:t>
            </w:r>
          </w:p>
        </w:tc>
        <w:tc>
          <w:tcPr>
            <w:tcW w:w="2248" w:type="dxa"/>
            <w:vAlign w:val="top"/>
          </w:tcPr>
          <w:p w14:paraId="6C660BD2">
            <w:pPr>
              <w:rPr>
                <w:rFonts w:ascii="Arial"/>
                <w:sz w:val="21"/>
              </w:rPr>
            </w:pPr>
          </w:p>
        </w:tc>
        <w:tc>
          <w:tcPr>
            <w:tcW w:w="2392" w:type="dxa"/>
            <w:vAlign w:val="top"/>
          </w:tcPr>
          <w:p w14:paraId="65C6D44F">
            <w:pPr>
              <w:pStyle w:val="257"/>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356E2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734FF5A3">
            <w:pPr>
              <w:pStyle w:val="257"/>
              <w:spacing w:before="67" w:line="242" w:lineRule="auto"/>
              <w:ind w:left="116"/>
            </w:pPr>
            <w:r>
              <w:rPr>
                <w:spacing w:val="-4"/>
              </w:rPr>
              <w:t>21</w:t>
            </w:r>
          </w:p>
        </w:tc>
        <w:tc>
          <w:tcPr>
            <w:tcW w:w="1542" w:type="dxa"/>
            <w:vMerge w:val="restart"/>
            <w:tcBorders>
              <w:bottom w:val="nil"/>
            </w:tcBorders>
            <w:vAlign w:val="top"/>
          </w:tcPr>
          <w:p w14:paraId="17451FDD">
            <w:pPr>
              <w:pStyle w:val="257"/>
              <w:spacing w:before="67" w:line="220" w:lineRule="auto"/>
              <w:ind w:left="102"/>
            </w:pPr>
            <w:r>
              <w:rPr>
                <w:spacing w:val="-1"/>
              </w:rPr>
              <w:t>A0606</w:t>
            </w:r>
            <w:r>
              <w:rPr>
                <w:spacing w:val="-35"/>
              </w:rPr>
              <w:t xml:space="preserve"> </w:t>
            </w:r>
            <w:r>
              <w:rPr>
                <w:spacing w:val="-1"/>
              </w:rPr>
              <w:t>架类</w:t>
            </w:r>
          </w:p>
        </w:tc>
        <w:tc>
          <w:tcPr>
            <w:tcW w:w="2672" w:type="dxa"/>
            <w:vAlign w:val="top"/>
          </w:tcPr>
          <w:p w14:paraId="39BD185F">
            <w:pPr>
              <w:pStyle w:val="257"/>
              <w:spacing w:before="67" w:line="220" w:lineRule="auto"/>
              <w:ind w:left="103"/>
            </w:pPr>
            <w:r>
              <w:rPr>
                <w:spacing w:val="-1"/>
              </w:rPr>
              <w:t>A060601</w:t>
            </w:r>
            <w:r>
              <w:rPr>
                <w:spacing w:val="-33"/>
              </w:rPr>
              <w:t xml:space="preserve"> </w:t>
            </w:r>
            <w:r>
              <w:rPr>
                <w:spacing w:val="-1"/>
              </w:rPr>
              <w:t>木质架类</w:t>
            </w:r>
          </w:p>
        </w:tc>
        <w:tc>
          <w:tcPr>
            <w:tcW w:w="2248" w:type="dxa"/>
            <w:vAlign w:val="top"/>
          </w:tcPr>
          <w:p w14:paraId="113F056E">
            <w:pPr>
              <w:rPr>
                <w:rFonts w:ascii="Arial"/>
                <w:sz w:val="21"/>
              </w:rPr>
            </w:pPr>
          </w:p>
        </w:tc>
        <w:tc>
          <w:tcPr>
            <w:tcW w:w="2392" w:type="dxa"/>
            <w:vAlign w:val="top"/>
          </w:tcPr>
          <w:p w14:paraId="737D280A">
            <w:pPr>
              <w:pStyle w:val="257"/>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4BBD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vAlign w:val="top"/>
          </w:tcPr>
          <w:p w14:paraId="254EB3F1">
            <w:pPr>
              <w:rPr>
                <w:rFonts w:ascii="Arial"/>
                <w:sz w:val="21"/>
              </w:rPr>
            </w:pPr>
          </w:p>
        </w:tc>
        <w:tc>
          <w:tcPr>
            <w:tcW w:w="1542" w:type="dxa"/>
            <w:vMerge w:val="continue"/>
            <w:tcBorders>
              <w:top w:val="nil"/>
            </w:tcBorders>
            <w:vAlign w:val="top"/>
          </w:tcPr>
          <w:p w14:paraId="14D6D0F7">
            <w:pPr>
              <w:rPr>
                <w:rFonts w:ascii="Arial"/>
                <w:sz w:val="21"/>
              </w:rPr>
            </w:pPr>
          </w:p>
        </w:tc>
        <w:tc>
          <w:tcPr>
            <w:tcW w:w="2672" w:type="dxa"/>
            <w:vAlign w:val="top"/>
          </w:tcPr>
          <w:p w14:paraId="2EDBCD8E">
            <w:pPr>
              <w:pStyle w:val="257"/>
              <w:spacing w:before="67" w:line="220" w:lineRule="auto"/>
              <w:ind w:left="103"/>
            </w:pPr>
            <w:r>
              <w:rPr>
                <w:spacing w:val="-1"/>
              </w:rPr>
              <w:t>A060602</w:t>
            </w:r>
            <w:r>
              <w:rPr>
                <w:spacing w:val="-32"/>
              </w:rPr>
              <w:t xml:space="preserve"> </w:t>
            </w:r>
            <w:r>
              <w:rPr>
                <w:spacing w:val="-1"/>
              </w:rPr>
              <w:t>金属质架类</w:t>
            </w:r>
          </w:p>
        </w:tc>
        <w:tc>
          <w:tcPr>
            <w:tcW w:w="2248" w:type="dxa"/>
            <w:vAlign w:val="top"/>
          </w:tcPr>
          <w:p w14:paraId="04E4E431">
            <w:pPr>
              <w:rPr>
                <w:rFonts w:ascii="Arial"/>
                <w:sz w:val="21"/>
              </w:rPr>
            </w:pPr>
          </w:p>
        </w:tc>
        <w:tc>
          <w:tcPr>
            <w:tcW w:w="2392" w:type="dxa"/>
            <w:vAlign w:val="top"/>
          </w:tcPr>
          <w:p w14:paraId="1DD8CCD5">
            <w:pPr>
              <w:pStyle w:val="257"/>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D549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601BD665">
            <w:pPr>
              <w:pStyle w:val="257"/>
              <w:spacing w:before="67" w:line="242" w:lineRule="auto"/>
              <w:ind w:left="116"/>
            </w:pPr>
            <w:r>
              <w:rPr>
                <w:spacing w:val="-4"/>
              </w:rPr>
              <w:t>22</w:t>
            </w:r>
          </w:p>
        </w:tc>
        <w:tc>
          <w:tcPr>
            <w:tcW w:w="1542" w:type="dxa"/>
            <w:vMerge w:val="restart"/>
            <w:tcBorders>
              <w:bottom w:val="nil"/>
            </w:tcBorders>
            <w:vAlign w:val="top"/>
          </w:tcPr>
          <w:p w14:paraId="20C7F9F0">
            <w:pPr>
              <w:pStyle w:val="257"/>
              <w:spacing w:before="67" w:line="220" w:lineRule="auto"/>
              <w:ind w:left="102"/>
            </w:pPr>
            <w:r>
              <w:rPr>
                <w:spacing w:val="-1"/>
              </w:rPr>
              <w:t>A0607</w:t>
            </w:r>
            <w:r>
              <w:rPr>
                <w:spacing w:val="-35"/>
              </w:rPr>
              <w:t xml:space="preserve"> </w:t>
            </w:r>
            <w:r>
              <w:rPr>
                <w:spacing w:val="-1"/>
              </w:rPr>
              <w:t>屏风类</w:t>
            </w:r>
          </w:p>
        </w:tc>
        <w:tc>
          <w:tcPr>
            <w:tcW w:w="2672" w:type="dxa"/>
            <w:vAlign w:val="top"/>
          </w:tcPr>
          <w:p w14:paraId="1B6C4671">
            <w:pPr>
              <w:pStyle w:val="257"/>
              <w:spacing w:before="67" w:line="220" w:lineRule="auto"/>
              <w:ind w:left="103"/>
            </w:pPr>
            <w:r>
              <w:rPr>
                <w:spacing w:val="-1"/>
              </w:rPr>
              <w:t>A060701</w:t>
            </w:r>
            <w:r>
              <w:rPr>
                <w:spacing w:val="-33"/>
              </w:rPr>
              <w:t xml:space="preserve"> </w:t>
            </w:r>
            <w:r>
              <w:rPr>
                <w:spacing w:val="-1"/>
              </w:rPr>
              <w:t>木质屏风类</w:t>
            </w:r>
          </w:p>
        </w:tc>
        <w:tc>
          <w:tcPr>
            <w:tcW w:w="2248" w:type="dxa"/>
            <w:vAlign w:val="top"/>
          </w:tcPr>
          <w:p w14:paraId="07737F18">
            <w:pPr>
              <w:rPr>
                <w:rFonts w:ascii="Arial"/>
                <w:sz w:val="21"/>
              </w:rPr>
            </w:pPr>
          </w:p>
        </w:tc>
        <w:tc>
          <w:tcPr>
            <w:tcW w:w="2392" w:type="dxa"/>
            <w:vAlign w:val="top"/>
          </w:tcPr>
          <w:p w14:paraId="36DCE271">
            <w:pPr>
              <w:pStyle w:val="257"/>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44F89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5AEC504D">
            <w:pPr>
              <w:rPr>
                <w:rFonts w:ascii="Arial"/>
                <w:sz w:val="21"/>
              </w:rPr>
            </w:pPr>
          </w:p>
        </w:tc>
        <w:tc>
          <w:tcPr>
            <w:tcW w:w="1542" w:type="dxa"/>
            <w:vMerge w:val="continue"/>
            <w:tcBorders>
              <w:top w:val="nil"/>
            </w:tcBorders>
            <w:vAlign w:val="top"/>
          </w:tcPr>
          <w:p w14:paraId="0F221205">
            <w:pPr>
              <w:rPr>
                <w:rFonts w:ascii="Arial"/>
                <w:sz w:val="21"/>
              </w:rPr>
            </w:pPr>
          </w:p>
        </w:tc>
        <w:tc>
          <w:tcPr>
            <w:tcW w:w="2672" w:type="dxa"/>
            <w:vAlign w:val="top"/>
          </w:tcPr>
          <w:p w14:paraId="2A77DD58">
            <w:pPr>
              <w:pStyle w:val="257"/>
              <w:spacing w:before="67" w:line="220" w:lineRule="auto"/>
              <w:ind w:left="103"/>
            </w:pPr>
            <w:r>
              <w:rPr>
                <w:spacing w:val="-1"/>
              </w:rPr>
              <w:t>A060702</w:t>
            </w:r>
            <w:r>
              <w:rPr>
                <w:spacing w:val="-32"/>
              </w:rPr>
              <w:t xml:space="preserve"> </w:t>
            </w:r>
            <w:r>
              <w:rPr>
                <w:spacing w:val="-1"/>
              </w:rPr>
              <w:t>金属质屏风类</w:t>
            </w:r>
          </w:p>
        </w:tc>
        <w:tc>
          <w:tcPr>
            <w:tcW w:w="2248" w:type="dxa"/>
            <w:vAlign w:val="top"/>
          </w:tcPr>
          <w:p w14:paraId="0E3222A3">
            <w:pPr>
              <w:rPr>
                <w:rFonts w:ascii="Arial"/>
                <w:sz w:val="21"/>
              </w:rPr>
            </w:pPr>
          </w:p>
        </w:tc>
        <w:tc>
          <w:tcPr>
            <w:tcW w:w="2392" w:type="dxa"/>
            <w:vAlign w:val="top"/>
          </w:tcPr>
          <w:p w14:paraId="62DDFB02">
            <w:pPr>
              <w:pStyle w:val="257"/>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29253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Align w:val="top"/>
          </w:tcPr>
          <w:p w14:paraId="7BDFB1A2">
            <w:pPr>
              <w:pStyle w:val="257"/>
              <w:spacing w:before="67"/>
              <w:ind w:left="116"/>
            </w:pPr>
            <w:r>
              <w:rPr>
                <w:spacing w:val="-4"/>
              </w:rPr>
              <w:t>23</w:t>
            </w:r>
          </w:p>
        </w:tc>
        <w:tc>
          <w:tcPr>
            <w:tcW w:w="1542" w:type="dxa"/>
            <w:vAlign w:val="top"/>
          </w:tcPr>
          <w:p w14:paraId="5EF004DB">
            <w:pPr>
              <w:pStyle w:val="257"/>
              <w:spacing w:before="67" w:line="220" w:lineRule="auto"/>
              <w:ind w:left="102"/>
            </w:pPr>
            <w:r>
              <w:rPr>
                <w:spacing w:val="-1"/>
              </w:rPr>
              <w:t>A060804</w:t>
            </w:r>
            <w:r>
              <w:rPr>
                <w:spacing w:val="-32"/>
              </w:rPr>
              <w:t xml:space="preserve"> </w:t>
            </w:r>
            <w:r>
              <w:rPr>
                <w:spacing w:val="-1"/>
              </w:rPr>
              <w:t>水池</w:t>
            </w:r>
          </w:p>
        </w:tc>
        <w:tc>
          <w:tcPr>
            <w:tcW w:w="2672" w:type="dxa"/>
            <w:vAlign w:val="top"/>
          </w:tcPr>
          <w:p w14:paraId="2A7A3C0A">
            <w:pPr>
              <w:rPr>
                <w:rFonts w:ascii="Arial"/>
                <w:sz w:val="21"/>
              </w:rPr>
            </w:pPr>
          </w:p>
        </w:tc>
        <w:tc>
          <w:tcPr>
            <w:tcW w:w="2248" w:type="dxa"/>
            <w:vAlign w:val="top"/>
          </w:tcPr>
          <w:p w14:paraId="7428587C">
            <w:pPr>
              <w:rPr>
                <w:rFonts w:ascii="Arial"/>
                <w:sz w:val="21"/>
              </w:rPr>
            </w:pPr>
          </w:p>
        </w:tc>
        <w:tc>
          <w:tcPr>
            <w:tcW w:w="2392" w:type="dxa"/>
            <w:vAlign w:val="top"/>
          </w:tcPr>
          <w:p w14:paraId="1D1BE762">
            <w:pPr>
              <w:pStyle w:val="257"/>
              <w:spacing w:before="66" w:line="219" w:lineRule="auto"/>
              <w:ind w:left="109"/>
            </w:pPr>
            <w:r>
              <w:rPr>
                <w:spacing w:val="-1"/>
              </w:rPr>
              <w:t>HJ/T296</w:t>
            </w:r>
            <w:r>
              <w:rPr>
                <w:spacing w:val="-34"/>
              </w:rPr>
              <w:t xml:space="preserve"> </w:t>
            </w:r>
            <w:r>
              <w:rPr>
                <w:spacing w:val="-1"/>
              </w:rPr>
              <w:t>卫生陶瓷</w:t>
            </w:r>
          </w:p>
        </w:tc>
      </w:tr>
      <w:tr w14:paraId="10269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Align w:val="top"/>
          </w:tcPr>
          <w:p w14:paraId="28BA4AB4">
            <w:pPr>
              <w:pStyle w:val="257"/>
              <w:spacing w:before="67" w:line="242" w:lineRule="auto"/>
              <w:ind w:left="116"/>
            </w:pPr>
            <w:r>
              <w:rPr>
                <w:spacing w:val="-4"/>
              </w:rPr>
              <w:t>24</w:t>
            </w:r>
          </w:p>
        </w:tc>
        <w:tc>
          <w:tcPr>
            <w:tcW w:w="1542" w:type="dxa"/>
            <w:vAlign w:val="top"/>
          </w:tcPr>
          <w:p w14:paraId="13B86564">
            <w:pPr>
              <w:pStyle w:val="257"/>
              <w:spacing w:before="67" w:line="220" w:lineRule="auto"/>
              <w:ind w:left="102"/>
            </w:pPr>
            <w:r>
              <w:rPr>
                <w:spacing w:val="-1"/>
              </w:rPr>
              <w:t>A060805</w:t>
            </w:r>
            <w:r>
              <w:rPr>
                <w:spacing w:val="-33"/>
              </w:rPr>
              <w:t xml:space="preserve"> </w:t>
            </w:r>
            <w:r>
              <w:rPr>
                <w:spacing w:val="-1"/>
              </w:rPr>
              <w:t>便器</w:t>
            </w:r>
          </w:p>
        </w:tc>
        <w:tc>
          <w:tcPr>
            <w:tcW w:w="2672" w:type="dxa"/>
            <w:vAlign w:val="top"/>
          </w:tcPr>
          <w:p w14:paraId="0A345D3C">
            <w:pPr>
              <w:rPr>
                <w:rFonts w:ascii="Arial"/>
                <w:sz w:val="21"/>
              </w:rPr>
            </w:pPr>
          </w:p>
        </w:tc>
        <w:tc>
          <w:tcPr>
            <w:tcW w:w="2248" w:type="dxa"/>
            <w:vAlign w:val="top"/>
          </w:tcPr>
          <w:p w14:paraId="25286809">
            <w:pPr>
              <w:rPr>
                <w:rFonts w:ascii="Arial"/>
                <w:sz w:val="21"/>
              </w:rPr>
            </w:pPr>
          </w:p>
        </w:tc>
        <w:tc>
          <w:tcPr>
            <w:tcW w:w="2392" w:type="dxa"/>
            <w:vAlign w:val="top"/>
          </w:tcPr>
          <w:p w14:paraId="2AF1460E">
            <w:pPr>
              <w:pStyle w:val="257"/>
              <w:spacing w:before="67" w:line="219" w:lineRule="auto"/>
              <w:ind w:left="109"/>
            </w:pPr>
            <w:r>
              <w:rPr>
                <w:spacing w:val="-1"/>
              </w:rPr>
              <w:t>HJ/T296</w:t>
            </w:r>
            <w:r>
              <w:rPr>
                <w:spacing w:val="-34"/>
              </w:rPr>
              <w:t xml:space="preserve"> </w:t>
            </w:r>
            <w:r>
              <w:rPr>
                <w:spacing w:val="-1"/>
              </w:rPr>
              <w:t>卫生陶瓷</w:t>
            </w:r>
          </w:p>
        </w:tc>
      </w:tr>
      <w:tr w14:paraId="1B023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Align w:val="top"/>
          </w:tcPr>
          <w:p w14:paraId="76F2D7CB">
            <w:pPr>
              <w:pStyle w:val="257"/>
              <w:spacing w:before="67"/>
              <w:ind w:left="116"/>
            </w:pPr>
            <w:r>
              <w:rPr>
                <w:spacing w:val="-4"/>
              </w:rPr>
              <w:t>25</w:t>
            </w:r>
          </w:p>
        </w:tc>
        <w:tc>
          <w:tcPr>
            <w:tcW w:w="1542" w:type="dxa"/>
            <w:vAlign w:val="top"/>
          </w:tcPr>
          <w:p w14:paraId="039CE1D4">
            <w:pPr>
              <w:pStyle w:val="257"/>
              <w:spacing w:before="67" w:line="220" w:lineRule="auto"/>
              <w:ind w:left="102"/>
            </w:pPr>
            <w:r>
              <w:rPr>
                <w:spacing w:val="-1"/>
              </w:rPr>
              <w:t>A060806</w:t>
            </w:r>
            <w:r>
              <w:rPr>
                <w:spacing w:val="-32"/>
              </w:rPr>
              <w:t xml:space="preserve"> </w:t>
            </w:r>
            <w:r>
              <w:rPr>
                <w:spacing w:val="-1"/>
              </w:rPr>
              <w:t>水嘴</w:t>
            </w:r>
          </w:p>
        </w:tc>
        <w:tc>
          <w:tcPr>
            <w:tcW w:w="2672" w:type="dxa"/>
            <w:vAlign w:val="top"/>
          </w:tcPr>
          <w:p w14:paraId="0CC6FB2B">
            <w:pPr>
              <w:rPr>
                <w:rFonts w:ascii="Arial"/>
                <w:sz w:val="21"/>
              </w:rPr>
            </w:pPr>
          </w:p>
        </w:tc>
        <w:tc>
          <w:tcPr>
            <w:tcW w:w="2248" w:type="dxa"/>
            <w:vAlign w:val="top"/>
          </w:tcPr>
          <w:p w14:paraId="2D40E176">
            <w:pPr>
              <w:rPr>
                <w:rFonts w:ascii="Arial"/>
                <w:sz w:val="21"/>
              </w:rPr>
            </w:pPr>
          </w:p>
        </w:tc>
        <w:tc>
          <w:tcPr>
            <w:tcW w:w="2392" w:type="dxa"/>
            <w:vAlign w:val="top"/>
          </w:tcPr>
          <w:p w14:paraId="00DA36D5">
            <w:pPr>
              <w:pStyle w:val="257"/>
              <w:spacing w:before="67" w:line="219" w:lineRule="auto"/>
              <w:ind w:left="109"/>
            </w:pPr>
            <w:r>
              <w:rPr>
                <w:spacing w:val="-1"/>
              </w:rPr>
              <w:t>HJ/T411</w:t>
            </w:r>
            <w:r>
              <w:rPr>
                <w:spacing w:val="-34"/>
              </w:rPr>
              <w:t xml:space="preserve"> </w:t>
            </w:r>
            <w:r>
              <w:rPr>
                <w:spacing w:val="-1"/>
              </w:rPr>
              <w:t>水嘴</w:t>
            </w:r>
          </w:p>
        </w:tc>
      </w:tr>
      <w:tr w14:paraId="284A5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Align w:val="top"/>
          </w:tcPr>
          <w:p w14:paraId="6E076AE4">
            <w:pPr>
              <w:pStyle w:val="257"/>
              <w:spacing w:before="67"/>
              <w:ind w:left="116"/>
            </w:pPr>
            <w:r>
              <w:rPr>
                <w:spacing w:val="-4"/>
              </w:rPr>
              <w:t>26</w:t>
            </w:r>
          </w:p>
        </w:tc>
        <w:tc>
          <w:tcPr>
            <w:tcW w:w="1542" w:type="dxa"/>
            <w:vAlign w:val="top"/>
          </w:tcPr>
          <w:p w14:paraId="4560D868">
            <w:pPr>
              <w:pStyle w:val="257"/>
              <w:spacing w:before="67" w:line="221" w:lineRule="auto"/>
              <w:ind w:left="102"/>
            </w:pPr>
            <w:r>
              <w:rPr>
                <w:spacing w:val="-1"/>
              </w:rPr>
              <w:t>A0609</w:t>
            </w:r>
            <w:r>
              <w:rPr>
                <w:spacing w:val="-34"/>
              </w:rPr>
              <w:t xml:space="preserve"> </w:t>
            </w:r>
            <w:r>
              <w:rPr>
                <w:spacing w:val="-1"/>
              </w:rPr>
              <w:t>组合家具</w:t>
            </w:r>
          </w:p>
        </w:tc>
        <w:tc>
          <w:tcPr>
            <w:tcW w:w="2672" w:type="dxa"/>
            <w:vAlign w:val="top"/>
          </w:tcPr>
          <w:p w14:paraId="08CA595B">
            <w:pPr>
              <w:rPr>
                <w:rFonts w:ascii="Arial"/>
                <w:sz w:val="21"/>
              </w:rPr>
            </w:pPr>
          </w:p>
        </w:tc>
        <w:tc>
          <w:tcPr>
            <w:tcW w:w="2248" w:type="dxa"/>
            <w:vAlign w:val="top"/>
          </w:tcPr>
          <w:p w14:paraId="19A743E3">
            <w:pPr>
              <w:rPr>
                <w:rFonts w:ascii="Arial"/>
                <w:sz w:val="21"/>
              </w:rPr>
            </w:pPr>
          </w:p>
        </w:tc>
        <w:tc>
          <w:tcPr>
            <w:tcW w:w="2392" w:type="dxa"/>
            <w:vAlign w:val="top"/>
          </w:tcPr>
          <w:p w14:paraId="2497681D">
            <w:pPr>
              <w:pStyle w:val="257"/>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FECC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2A6CA83F">
            <w:pPr>
              <w:pStyle w:val="257"/>
              <w:spacing w:before="68"/>
              <w:ind w:left="116"/>
            </w:pPr>
            <w:r>
              <w:rPr>
                <w:spacing w:val="-4"/>
              </w:rPr>
              <w:t>27</w:t>
            </w:r>
          </w:p>
        </w:tc>
        <w:tc>
          <w:tcPr>
            <w:tcW w:w="1542" w:type="dxa"/>
            <w:vAlign w:val="top"/>
          </w:tcPr>
          <w:p w14:paraId="0C3E956E">
            <w:pPr>
              <w:pStyle w:val="257"/>
              <w:spacing w:before="68" w:line="282" w:lineRule="auto"/>
              <w:ind w:left="108" w:right="106" w:hanging="6"/>
            </w:pPr>
            <w:r>
              <w:rPr>
                <w:spacing w:val="4"/>
              </w:rPr>
              <w:t>A0610</w:t>
            </w:r>
            <w:r>
              <w:rPr>
                <w:spacing w:val="31"/>
              </w:rPr>
              <w:t xml:space="preserve"> </w:t>
            </w:r>
            <w:r>
              <w:rPr>
                <w:spacing w:val="4"/>
              </w:rPr>
              <w:t>家用家具</w:t>
            </w:r>
            <w:r>
              <w:t xml:space="preserve"> </w:t>
            </w:r>
            <w:r>
              <w:rPr>
                <w:spacing w:val="-2"/>
              </w:rPr>
              <w:t>零配件</w:t>
            </w:r>
          </w:p>
        </w:tc>
        <w:tc>
          <w:tcPr>
            <w:tcW w:w="2672" w:type="dxa"/>
            <w:vAlign w:val="top"/>
          </w:tcPr>
          <w:p w14:paraId="06C3341D">
            <w:pPr>
              <w:rPr>
                <w:rFonts w:ascii="Arial"/>
                <w:sz w:val="21"/>
              </w:rPr>
            </w:pPr>
          </w:p>
        </w:tc>
        <w:tc>
          <w:tcPr>
            <w:tcW w:w="2248" w:type="dxa"/>
            <w:vAlign w:val="top"/>
          </w:tcPr>
          <w:p w14:paraId="2C05A014">
            <w:pPr>
              <w:rPr>
                <w:rFonts w:ascii="Arial"/>
                <w:sz w:val="21"/>
              </w:rPr>
            </w:pPr>
          </w:p>
        </w:tc>
        <w:tc>
          <w:tcPr>
            <w:tcW w:w="2392" w:type="dxa"/>
            <w:vAlign w:val="top"/>
          </w:tcPr>
          <w:p w14:paraId="0DE5E9DB">
            <w:pPr>
              <w:pStyle w:val="257"/>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3DB8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3" w:type="dxa"/>
            <w:vAlign w:val="top"/>
          </w:tcPr>
          <w:p w14:paraId="71B3BA7A">
            <w:pPr>
              <w:pStyle w:val="257"/>
              <w:spacing w:before="70"/>
              <w:ind w:left="116"/>
            </w:pPr>
            <w:r>
              <w:rPr>
                <w:spacing w:val="-4"/>
              </w:rPr>
              <w:t>28</w:t>
            </w:r>
          </w:p>
        </w:tc>
        <w:tc>
          <w:tcPr>
            <w:tcW w:w="1542" w:type="dxa"/>
            <w:vAlign w:val="top"/>
          </w:tcPr>
          <w:p w14:paraId="47FE6AA2">
            <w:pPr>
              <w:pStyle w:val="257"/>
              <w:spacing w:before="71" w:line="282" w:lineRule="auto"/>
              <w:ind w:left="109" w:right="106" w:hanging="7"/>
            </w:pPr>
            <w:r>
              <w:rPr>
                <w:spacing w:val="4"/>
              </w:rPr>
              <w:t>A0699</w:t>
            </w:r>
            <w:r>
              <w:rPr>
                <w:spacing w:val="31"/>
              </w:rPr>
              <w:t xml:space="preserve"> </w:t>
            </w:r>
            <w:r>
              <w:rPr>
                <w:spacing w:val="4"/>
              </w:rPr>
              <w:t>其他家具</w:t>
            </w:r>
            <w:r>
              <w:t xml:space="preserve"> </w:t>
            </w:r>
            <w:r>
              <w:rPr>
                <w:spacing w:val="-3"/>
              </w:rPr>
              <w:t>用具</w:t>
            </w:r>
          </w:p>
        </w:tc>
        <w:tc>
          <w:tcPr>
            <w:tcW w:w="2672" w:type="dxa"/>
            <w:vAlign w:val="top"/>
          </w:tcPr>
          <w:p w14:paraId="62297FA8">
            <w:pPr>
              <w:rPr>
                <w:rFonts w:ascii="Arial"/>
                <w:sz w:val="21"/>
              </w:rPr>
            </w:pPr>
          </w:p>
        </w:tc>
        <w:tc>
          <w:tcPr>
            <w:tcW w:w="2248" w:type="dxa"/>
            <w:vAlign w:val="top"/>
          </w:tcPr>
          <w:p w14:paraId="1D1E7241">
            <w:pPr>
              <w:rPr>
                <w:rFonts w:ascii="Arial"/>
                <w:sz w:val="21"/>
              </w:rPr>
            </w:pPr>
          </w:p>
        </w:tc>
        <w:tc>
          <w:tcPr>
            <w:tcW w:w="2392" w:type="dxa"/>
            <w:vAlign w:val="top"/>
          </w:tcPr>
          <w:p w14:paraId="3CD9A822">
            <w:pPr>
              <w:pStyle w:val="257"/>
              <w:spacing w:before="70"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C781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vAlign w:val="top"/>
          </w:tcPr>
          <w:p w14:paraId="6C085D3E">
            <w:pPr>
              <w:pStyle w:val="257"/>
              <w:spacing w:before="68"/>
              <w:ind w:left="116"/>
            </w:pPr>
            <w:r>
              <w:rPr>
                <w:spacing w:val="-4"/>
              </w:rPr>
              <w:t>29</w:t>
            </w:r>
          </w:p>
        </w:tc>
        <w:tc>
          <w:tcPr>
            <w:tcW w:w="1542" w:type="dxa"/>
            <w:vAlign w:val="top"/>
          </w:tcPr>
          <w:p w14:paraId="663F829A">
            <w:pPr>
              <w:pStyle w:val="257"/>
              <w:spacing w:before="69" w:line="284" w:lineRule="auto"/>
              <w:ind w:left="111" w:right="106" w:hanging="9"/>
            </w:pPr>
            <w:r>
              <w:rPr>
                <w:spacing w:val="-7"/>
              </w:rPr>
              <w:t>A070101</w:t>
            </w:r>
            <w:r>
              <w:rPr>
                <w:spacing w:val="-36"/>
              </w:rPr>
              <w:t xml:space="preserve"> </w:t>
            </w:r>
            <w:r>
              <w:rPr>
                <w:spacing w:val="-7"/>
              </w:rPr>
              <w:t>棉、化纤</w:t>
            </w:r>
            <w:r>
              <w:t xml:space="preserve"> </w:t>
            </w:r>
            <w:r>
              <w:rPr>
                <w:spacing w:val="-2"/>
              </w:rPr>
              <w:t>纺织及印染原料</w:t>
            </w:r>
          </w:p>
        </w:tc>
        <w:tc>
          <w:tcPr>
            <w:tcW w:w="2672" w:type="dxa"/>
            <w:vAlign w:val="top"/>
          </w:tcPr>
          <w:p w14:paraId="0330E98B">
            <w:pPr>
              <w:rPr>
                <w:rFonts w:ascii="Arial"/>
                <w:sz w:val="21"/>
              </w:rPr>
            </w:pPr>
          </w:p>
        </w:tc>
        <w:tc>
          <w:tcPr>
            <w:tcW w:w="2248" w:type="dxa"/>
            <w:vAlign w:val="top"/>
          </w:tcPr>
          <w:p w14:paraId="62FF6221">
            <w:pPr>
              <w:rPr>
                <w:rFonts w:ascii="Arial"/>
                <w:sz w:val="21"/>
              </w:rPr>
            </w:pPr>
          </w:p>
        </w:tc>
        <w:tc>
          <w:tcPr>
            <w:tcW w:w="2392" w:type="dxa"/>
            <w:vAlign w:val="top"/>
          </w:tcPr>
          <w:p w14:paraId="27AFCC61">
            <w:pPr>
              <w:pStyle w:val="257"/>
              <w:spacing w:before="67" w:line="219" w:lineRule="auto"/>
              <w:ind w:left="109"/>
            </w:pPr>
            <w:r>
              <w:rPr>
                <w:spacing w:val="-1"/>
              </w:rPr>
              <w:t>HJ2546</w:t>
            </w:r>
            <w:r>
              <w:rPr>
                <w:spacing w:val="-34"/>
              </w:rPr>
              <w:t xml:space="preserve"> </w:t>
            </w:r>
            <w:r>
              <w:rPr>
                <w:spacing w:val="-1"/>
              </w:rPr>
              <w:t>纺织产品</w:t>
            </w:r>
          </w:p>
        </w:tc>
      </w:tr>
      <w:tr w14:paraId="36044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583" w:type="dxa"/>
            <w:vAlign w:val="top"/>
          </w:tcPr>
          <w:p w14:paraId="6B9759D3">
            <w:pPr>
              <w:pStyle w:val="257"/>
              <w:spacing w:before="68"/>
              <w:ind w:left="118"/>
            </w:pPr>
            <w:r>
              <w:rPr>
                <w:spacing w:val="-5"/>
              </w:rPr>
              <w:t>30</w:t>
            </w:r>
          </w:p>
        </w:tc>
        <w:tc>
          <w:tcPr>
            <w:tcW w:w="1542" w:type="dxa"/>
            <w:vAlign w:val="top"/>
          </w:tcPr>
          <w:p w14:paraId="71EB6A48">
            <w:pPr>
              <w:pStyle w:val="257"/>
              <w:spacing w:before="69" w:line="296" w:lineRule="auto"/>
              <w:ind w:left="109" w:right="106" w:hanging="7"/>
              <w:jc w:val="both"/>
            </w:pPr>
            <w:r>
              <w:rPr>
                <w:spacing w:val="-2"/>
              </w:rPr>
              <w:t>A090101</w:t>
            </w:r>
            <w:r>
              <w:rPr>
                <w:spacing w:val="42"/>
              </w:rPr>
              <w:t xml:space="preserve"> </w:t>
            </w:r>
            <w:r>
              <w:rPr>
                <w:spacing w:val="-2"/>
              </w:rPr>
              <w:t>复</w:t>
            </w:r>
            <w:r>
              <w:rPr>
                <w:spacing w:val="-48"/>
              </w:rPr>
              <w:t xml:space="preserve"> </w:t>
            </w:r>
            <w:r>
              <w:rPr>
                <w:spacing w:val="-2"/>
              </w:rPr>
              <w:t>印纸</w:t>
            </w:r>
            <w:r>
              <w:t xml:space="preserve"> </w:t>
            </w:r>
            <w:r>
              <w:rPr>
                <w:spacing w:val="8"/>
              </w:rPr>
              <w:t>（包括再生复印</w:t>
            </w:r>
            <w:r>
              <w:rPr>
                <w:spacing w:val="4"/>
              </w:rPr>
              <w:t xml:space="preserve"> </w:t>
            </w:r>
            <w:r>
              <w:rPr>
                <w:spacing w:val="-5"/>
              </w:rPr>
              <w:t>纸）</w:t>
            </w:r>
          </w:p>
        </w:tc>
        <w:tc>
          <w:tcPr>
            <w:tcW w:w="2672" w:type="dxa"/>
            <w:vAlign w:val="top"/>
          </w:tcPr>
          <w:p w14:paraId="0D2FD32E">
            <w:pPr>
              <w:rPr>
                <w:rFonts w:ascii="Arial"/>
                <w:sz w:val="21"/>
              </w:rPr>
            </w:pPr>
          </w:p>
        </w:tc>
        <w:tc>
          <w:tcPr>
            <w:tcW w:w="2248" w:type="dxa"/>
            <w:vAlign w:val="top"/>
          </w:tcPr>
          <w:p w14:paraId="27BA282D">
            <w:pPr>
              <w:rPr>
                <w:rFonts w:ascii="Arial"/>
                <w:sz w:val="21"/>
              </w:rPr>
            </w:pPr>
          </w:p>
        </w:tc>
        <w:tc>
          <w:tcPr>
            <w:tcW w:w="2392" w:type="dxa"/>
            <w:vAlign w:val="top"/>
          </w:tcPr>
          <w:p w14:paraId="5279D6C1">
            <w:pPr>
              <w:pStyle w:val="257"/>
              <w:spacing w:before="67" w:line="219" w:lineRule="auto"/>
              <w:ind w:left="109"/>
            </w:pPr>
            <w:r>
              <w:rPr>
                <w:spacing w:val="-2"/>
              </w:rPr>
              <w:t>HJ410</w:t>
            </w:r>
            <w:r>
              <w:rPr>
                <w:spacing w:val="-27"/>
              </w:rPr>
              <w:t xml:space="preserve"> </w:t>
            </w:r>
            <w:r>
              <w:rPr>
                <w:spacing w:val="-2"/>
              </w:rPr>
              <w:t>文化用纸</w:t>
            </w:r>
          </w:p>
        </w:tc>
      </w:tr>
      <w:tr w14:paraId="6F09B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83" w:type="dxa"/>
            <w:vAlign w:val="top"/>
          </w:tcPr>
          <w:p w14:paraId="5AE20200">
            <w:pPr>
              <w:pStyle w:val="257"/>
              <w:spacing w:before="64"/>
              <w:ind w:left="118"/>
            </w:pPr>
            <w:r>
              <w:rPr>
                <w:spacing w:val="-5"/>
              </w:rPr>
              <w:t>31</w:t>
            </w:r>
          </w:p>
        </w:tc>
        <w:tc>
          <w:tcPr>
            <w:tcW w:w="1542" w:type="dxa"/>
            <w:vAlign w:val="top"/>
          </w:tcPr>
          <w:p w14:paraId="18CEB351">
            <w:pPr>
              <w:pStyle w:val="257"/>
              <w:spacing w:before="64" w:line="296" w:lineRule="auto"/>
              <w:ind w:left="109" w:right="106" w:hanging="7"/>
              <w:jc w:val="both"/>
            </w:pPr>
            <w:r>
              <w:rPr>
                <w:spacing w:val="3"/>
              </w:rPr>
              <w:t>A090201</w:t>
            </w:r>
            <w:r>
              <w:rPr>
                <w:spacing w:val="34"/>
              </w:rPr>
              <w:t xml:space="preserve"> </w:t>
            </w:r>
            <w:r>
              <w:rPr>
                <w:spacing w:val="3"/>
              </w:rPr>
              <w:t>鼓粉盒</w:t>
            </w:r>
            <w:r>
              <w:t xml:space="preserve"> </w:t>
            </w:r>
            <w:r>
              <w:rPr>
                <w:spacing w:val="8"/>
              </w:rPr>
              <w:t>（包括再生鼓粉</w:t>
            </w:r>
            <w:r>
              <w:rPr>
                <w:spacing w:val="4"/>
              </w:rPr>
              <w:t xml:space="preserve"> </w:t>
            </w:r>
            <w:r>
              <w:rPr>
                <w:spacing w:val="-5"/>
              </w:rPr>
              <w:t>盒）</w:t>
            </w:r>
          </w:p>
        </w:tc>
        <w:tc>
          <w:tcPr>
            <w:tcW w:w="2672" w:type="dxa"/>
            <w:vAlign w:val="top"/>
          </w:tcPr>
          <w:p w14:paraId="02C5799D">
            <w:pPr>
              <w:rPr>
                <w:rFonts w:ascii="Arial"/>
                <w:sz w:val="21"/>
              </w:rPr>
            </w:pPr>
          </w:p>
        </w:tc>
        <w:tc>
          <w:tcPr>
            <w:tcW w:w="2248" w:type="dxa"/>
            <w:vAlign w:val="top"/>
          </w:tcPr>
          <w:p w14:paraId="24D7525A">
            <w:pPr>
              <w:rPr>
                <w:rFonts w:ascii="Arial"/>
                <w:sz w:val="21"/>
              </w:rPr>
            </w:pPr>
          </w:p>
        </w:tc>
        <w:tc>
          <w:tcPr>
            <w:tcW w:w="2392" w:type="dxa"/>
            <w:vAlign w:val="top"/>
          </w:tcPr>
          <w:p w14:paraId="4B489F3D">
            <w:pPr>
              <w:pStyle w:val="257"/>
              <w:spacing w:before="63" w:line="219" w:lineRule="auto"/>
              <w:ind w:left="109"/>
            </w:pPr>
            <w:r>
              <w:rPr>
                <w:spacing w:val="-1"/>
              </w:rPr>
              <w:t>HJ/T413</w:t>
            </w:r>
            <w:r>
              <w:rPr>
                <w:spacing w:val="-34"/>
              </w:rPr>
              <w:t xml:space="preserve"> </w:t>
            </w:r>
            <w:r>
              <w:rPr>
                <w:spacing w:val="-1"/>
              </w:rPr>
              <w:t>再生鼓粉盒</w:t>
            </w:r>
          </w:p>
        </w:tc>
      </w:tr>
      <w:tr w14:paraId="5460C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83" w:type="dxa"/>
            <w:vMerge w:val="restart"/>
            <w:tcBorders>
              <w:bottom w:val="nil"/>
            </w:tcBorders>
            <w:vAlign w:val="top"/>
          </w:tcPr>
          <w:p w14:paraId="73D20A8E">
            <w:pPr>
              <w:pStyle w:val="257"/>
              <w:spacing w:before="64"/>
              <w:ind w:left="118"/>
            </w:pPr>
            <w:r>
              <w:rPr>
                <w:spacing w:val="-5"/>
              </w:rPr>
              <w:t>32</w:t>
            </w:r>
          </w:p>
        </w:tc>
        <w:tc>
          <w:tcPr>
            <w:tcW w:w="1542" w:type="dxa"/>
            <w:vMerge w:val="restart"/>
            <w:tcBorders>
              <w:bottom w:val="nil"/>
            </w:tcBorders>
            <w:vAlign w:val="top"/>
          </w:tcPr>
          <w:p w14:paraId="60247062">
            <w:pPr>
              <w:pStyle w:val="257"/>
              <w:spacing w:before="64" w:line="219" w:lineRule="auto"/>
              <w:ind w:left="102"/>
            </w:pPr>
            <w:r>
              <w:rPr>
                <w:spacing w:val="-1"/>
              </w:rPr>
              <w:t>A100203</w:t>
            </w:r>
            <w:r>
              <w:rPr>
                <w:spacing w:val="-33"/>
              </w:rPr>
              <w:t xml:space="preserve"> </w:t>
            </w:r>
            <w:r>
              <w:rPr>
                <w:spacing w:val="-1"/>
              </w:rPr>
              <w:t>人造板</w:t>
            </w:r>
          </w:p>
        </w:tc>
        <w:tc>
          <w:tcPr>
            <w:tcW w:w="2672" w:type="dxa"/>
            <w:vAlign w:val="top"/>
          </w:tcPr>
          <w:p w14:paraId="7EFC192F">
            <w:pPr>
              <w:pStyle w:val="257"/>
              <w:spacing w:before="64" w:line="219" w:lineRule="auto"/>
              <w:ind w:left="103"/>
            </w:pPr>
            <w:r>
              <w:rPr>
                <w:spacing w:val="-1"/>
              </w:rPr>
              <w:t>A10020301</w:t>
            </w:r>
            <w:r>
              <w:rPr>
                <w:spacing w:val="-32"/>
              </w:rPr>
              <w:t xml:space="preserve"> </w:t>
            </w:r>
            <w:r>
              <w:rPr>
                <w:spacing w:val="-1"/>
              </w:rPr>
              <w:t>胶合板</w:t>
            </w:r>
          </w:p>
        </w:tc>
        <w:tc>
          <w:tcPr>
            <w:tcW w:w="2248" w:type="dxa"/>
            <w:vAlign w:val="top"/>
          </w:tcPr>
          <w:p w14:paraId="5D0C019B">
            <w:pPr>
              <w:rPr>
                <w:rFonts w:ascii="Arial"/>
                <w:sz w:val="21"/>
              </w:rPr>
            </w:pPr>
          </w:p>
        </w:tc>
        <w:tc>
          <w:tcPr>
            <w:tcW w:w="2392" w:type="dxa"/>
            <w:vAlign w:val="top"/>
          </w:tcPr>
          <w:p w14:paraId="02BA6B7E">
            <w:pPr>
              <w:pStyle w:val="257"/>
              <w:spacing w:before="64" w:line="219" w:lineRule="auto"/>
              <w:ind w:left="109"/>
            </w:pPr>
            <w:r>
              <w:rPr>
                <w:spacing w:val="-1"/>
              </w:rPr>
              <w:t>HJ571</w:t>
            </w:r>
            <w:r>
              <w:rPr>
                <w:spacing w:val="-34"/>
              </w:rPr>
              <w:t xml:space="preserve"> </w:t>
            </w:r>
            <w:r>
              <w:rPr>
                <w:spacing w:val="-1"/>
              </w:rPr>
              <w:t>人造板及其制品</w:t>
            </w:r>
          </w:p>
        </w:tc>
      </w:tr>
      <w:tr w14:paraId="1DDE0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vAlign w:val="top"/>
          </w:tcPr>
          <w:p w14:paraId="7A586619">
            <w:pPr>
              <w:rPr>
                <w:rFonts w:ascii="Arial"/>
                <w:sz w:val="21"/>
              </w:rPr>
            </w:pPr>
          </w:p>
        </w:tc>
        <w:tc>
          <w:tcPr>
            <w:tcW w:w="1542" w:type="dxa"/>
            <w:vMerge w:val="continue"/>
            <w:tcBorders>
              <w:top w:val="nil"/>
              <w:bottom w:val="nil"/>
            </w:tcBorders>
            <w:vAlign w:val="top"/>
          </w:tcPr>
          <w:p w14:paraId="5C7CE7E4">
            <w:pPr>
              <w:rPr>
                <w:rFonts w:ascii="Arial"/>
                <w:sz w:val="21"/>
              </w:rPr>
            </w:pPr>
          </w:p>
        </w:tc>
        <w:tc>
          <w:tcPr>
            <w:tcW w:w="2672" w:type="dxa"/>
            <w:vAlign w:val="top"/>
          </w:tcPr>
          <w:p w14:paraId="4C42CE39">
            <w:pPr>
              <w:pStyle w:val="257"/>
              <w:spacing w:before="65" w:line="219" w:lineRule="auto"/>
              <w:ind w:left="103"/>
            </w:pPr>
            <w:r>
              <w:rPr>
                <w:spacing w:val="-1"/>
              </w:rPr>
              <w:t>A10020302</w:t>
            </w:r>
            <w:r>
              <w:rPr>
                <w:spacing w:val="-30"/>
              </w:rPr>
              <w:t xml:space="preserve"> </w:t>
            </w:r>
            <w:r>
              <w:rPr>
                <w:spacing w:val="-1"/>
              </w:rPr>
              <w:t>纤维板</w:t>
            </w:r>
          </w:p>
        </w:tc>
        <w:tc>
          <w:tcPr>
            <w:tcW w:w="2248" w:type="dxa"/>
            <w:vAlign w:val="top"/>
          </w:tcPr>
          <w:p w14:paraId="730D3B7A">
            <w:pPr>
              <w:rPr>
                <w:rFonts w:ascii="Arial"/>
                <w:sz w:val="21"/>
              </w:rPr>
            </w:pPr>
          </w:p>
        </w:tc>
        <w:tc>
          <w:tcPr>
            <w:tcW w:w="2392" w:type="dxa"/>
            <w:vAlign w:val="top"/>
          </w:tcPr>
          <w:p w14:paraId="4D87B76C">
            <w:pPr>
              <w:pStyle w:val="257"/>
              <w:spacing w:before="64" w:line="219" w:lineRule="auto"/>
              <w:ind w:left="109"/>
            </w:pPr>
            <w:r>
              <w:rPr>
                <w:spacing w:val="-1"/>
              </w:rPr>
              <w:t>HJ571</w:t>
            </w:r>
            <w:r>
              <w:rPr>
                <w:spacing w:val="-34"/>
              </w:rPr>
              <w:t xml:space="preserve"> </w:t>
            </w:r>
            <w:r>
              <w:rPr>
                <w:spacing w:val="-1"/>
              </w:rPr>
              <w:t>人造板及其制品</w:t>
            </w:r>
          </w:p>
        </w:tc>
      </w:tr>
      <w:tr w14:paraId="3ACD4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vAlign w:val="top"/>
          </w:tcPr>
          <w:p w14:paraId="2C31392A">
            <w:pPr>
              <w:rPr>
                <w:rFonts w:ascii="Arial"/>
                <w:sz w:val="21"/>
              </w:rPr>
            </w:pPr>
          </w:p>
        </w:tc>
        <w:tc>
          <w:tcPr>
            <w:tcW w:w="1542" w:type="dxa"/>
            <w:vMerge w:val="continue"/>
            <w:tcBorders>
              <w:top w:val="nil"/>
              <w:bottom w:val="nil"/>
            </w:tcBorders>
            <w:vAlign w:val="top"/>
          </w:tcPr>
          <w:p w14:paraId="1F004592">
            <w:pPr>
              <w:rPr>
                <w:rFonts w:ascii="Arial"/>
                <w:sz w:val="21"/>
              </w:rPr>
            </w:pPr>
          </w:p>
        </w:tc>
        <w:tc>
          <w:tcPr>
            <w:tcW w:w="2672" w:type="dxa"/>
            <w:vAlign w:val="top"/>
          </w:tcPr>
          <w:p w14:paraId="716CE41D">
            <w:pPr>
              <w:pStyle w:val="257"/>
              <w:spacing w:before="65" w:line="219" w:lineRule="auto"/>
              <w:ind w:left="103"/>
            </w:pPr>
            <w:r>
              <w:rPr>
                <w:spacing w:val="-1"/>
              </w:rPr>
              <w:t>A10020303</w:t>
            </w:r>
            <w:r>
              <w:rPr>
                <w:spacing w:val="-32"/>
              </w:rPr>
              <w:t xml:space="preserve"> </w:t>
            </w:r>
            <w:r>
              <w:rPr>
                <w:spacing w:val="-1"/>
              </w:rPr>
              <w:t>刨花板</w:t>
            </w:r>
          </w:p>
        </w:tc>
        <w:tc>
          <w:tcPr>
            <w:tcW w:w="2248" w:type="dxa"/>
            <w:vAlign w:val="top"/>
          </w:tcPr>
          <w:p w14:paraId="7DE9B386">
            <w:pPr>
              <w:rPr>
                <w:rFonts w:ascii="Arial"/>
                <w:sz w:val="21"/>
              </w:rPr>
            </w:pPr>
          </w:p>
        </w:tc>
        <w:tc>
          <w:tcPr>
            <w:tcW w:w="2392" w:type="dxa"/>
            <w:vAlign w:val="top"/>
          </w:tcPr>
          <w:p w14:paraId="51394242">
            <w:pPr>
              <w:pStyle w:val="257"/>
              <w:spacing w:before="64" w:line="219" w:lineRule="auto"/>
              <w:ind w:left="109"/>
            </w:pPr>
            <w:r>
              <w:rPr>
                <w:spacing w:val="-1"/>
              </w:rPr>
              <w:t>HJ571</w:t>
            </w:r>
            <w:r>
              <w:rPr>
                <w:spacing w:val="-34"/>
              </w:rPr>
              <w:t xml:space="preserve"> </w:t>
            </w:r>
            <w:r>
              <w:rPr>
                <w:spacing w:val="-1"/>
              </w:rPr>
              <w:t>人造板及其制品</w:t>
            </w:r>
          </w:p>
        </w:tc>
      </w:tr>
      <w:tr w14:paraId="0099C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vAlign w:val="top"/>
          </w:tcPr>
          <w:p w14:paraId="25773387">
            <w:pPr>
              <w:rPr>
                <w:rFonts w:ascii="Arial"/>
                <w:sz w:val="21"/>
              </w:rPr>
            </w:pPr>
          </w:p>
        </w:tc>
        <w:tc>
          <w:tcPr>
            <w:tcW w:w="1542" w:type="dxa"/>
            <w:vMerge w:val="continue"/>
            <w:tcBorders>
              <w:top w:val="nil"/>
              <w:bottom w:val="nil"/>
            </w:tcBorders>
            <w:vAlign w:val="top"/>
          </w:tcPr>
          <w:p w14:paraId="11B1FCC9">
            <w:pPr>
              <w:rPr>
                <w:rFonts w:ascii="Arial"/>
                <w:sz w:val="21"/>
              </w:rPr>
            </w:pPr>
          </w:p>
        </w:tc>
        <w:tc>
          <w:tcPr>
            <w:tcW w:w="2672" w:type="dxa"/>
            <w:vAlign w:val="top"/>
          </w:tcPr>
          <w:p w14:paraId="2DAAB28E">
            <w:pPr>
              <w:pStyle w:val="257"/>
              <w:spacing w:before="68" w:line="219" w:lineRule="auto"/>
              <w:ind w:left="103"/>
            </w:pPr>
            <w:r>
              <w:rPr>
                <w:spacing w:val="-1"/>
              </w:rPr>
              <w:t>A10020304</w:t>
            </w:r>
            <w:r>
              <w:rPr>
                <w:spacing w:val="-31"/>
              </w:rPr>
              <w:t xml:space="preserve"> </w:t>
            </w:r>
            <w:r>
              <w:rPr>
                <w:spacing w:val="-1"/>
              </w:rPr>
              <w:t>细木工板</w:t>
            </w:r>
          </w:p>
        </w:tc>
        <w:tc>
          <w:tcPr>
            <w:tcW w:w="2248" w:type="dxa"/>
            <w:vAlign w:val="top"/>
          </w:tcPr>
          <w:p w14:paraId="5AA641E9">
            <w:pPr>
              <w:rPr>
                <w:rFonts w:ascii="Arial"/>
                <w:sz w:val="21"/>
              </w:rPr>
            </w:pPr>
          </w:p>
        </w:tc>
        <w:tc>
          <w:tcPr>
            <w:tcW w:w="2392" w:type="dxa"/>
            <w:vAlign w:val="top"/>
          </w:tcPr>
          <w:p w14:paraId="23D010C9">
            <w:pPr>
              <w:pStyle w:val="257"/>
              <w:spacing w:before="67" w:line="219" w:lineRule="auto"/>
              <w:ind w:left="109"/>
            </w:pPr>
            <w:r>
              <w:rPr>
                <w:spacing w:val="-1"/>
              </w:rPr>
              <w:t>HJ571</w:t>
            </w:r>
            <w:r>
              <w:rPr>
                <w:spacing w:val="-34"/>
              </w:rPr>
              <w:t xml:space="preserve"> </w:t>
            </w:r>
            <w:r>
              <w:rPr>
                <w:spacing w:val="-1"/>
              </w:rPr>
              <w:t>人造板及其制品</w:t>
            </w:r>
          </w:p>
        </w:tc>
      </w:tr>
      <w:tr w14:paraId="1A883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4D2ADE76">
            <w:pPr>
              <w:rPr>
                <w:rFonts w:ascii="Arial"/>
                <w:sz w:val="21"/>
              </w:rPr>
            </w:pPr>
          </w:p>
        </w:tc>
        <w:tc>
          <w:tcPr>
            <w:tcW w:w="1542" w:type="dxa"/>
            <w:vMerge w:val="continue"/>
            <w:tcBorders>
              <w:top w:val="nil"/>
            </w:tcBorders>
            <w:vAlign w:val="top"/>
          </w:tcPr>
          <w:p w14:paraId="3995B404">
            <w:pPr>
              <w:rPr>
                <w:rFonts w:ascii="Arial"/>
                <w:sz w:val="21"/>
              </w:rPr>
            </w:pPr>
          </w:p>
        </w:tc>
        <w:tc>
          <w:tcPr>
            <w:tcW w:w="2672" w:type="dxa"/>
            <w:vAlign w:val="top"/>
          </w:tcPr>
          <w:p w14:paraId="7440858E">
            <w:pPr>
              <w:pStyle w:val="257"/>
              <w:spacing w:before="65" w:line="219" w:lineRule="auto"/>
              <w:ind w:left="103"/>
            </w:pPr>
            <w:r>
              <w:rPr>
                <w:spacing w:val="-1"/>
              </w:rPr>
              <w:t>A10020399</w:t>
            </w:r>
            <w:r>
              <w:rPr>
                <w:spacing w:val="-31"/>
              </w:rPr>
              <w:t xml:space="preserve"> </w:t>
            </w:r>
            <w:r>
              <w:rPr>
                <w:spacing w:val="-1"/>
              </w:rPr>
              <w:t>其他人造板</w:t>
            </w:r>
          </w:p>
        </w:tc>
        <w:tc>
          <w:tcPr>
            <w:tcW w:w="2248" w:type="dxa"/>
            <w:vAlign w:val="top"/>
          </w:tcPr>
          <w:p w14:paraId="56B92C13">
            <w:pPr>
              <w:rPr>
                <w:rFonts w:ascii="Arial"/>
                <w:sz w:val="21"/>
              </w:rPr>
            </w:pPr>
          </w:p>
        </w:tc>
        <w:tc>
          <w:tcPr>
            <w:tcW w:w="2392" w:type="dxa"/>
            <w:vAlign w:val="top"/>
          </w:tcPr>
          <w:p w14:paraId="7BFF304A">
            <w:pPr>
              <w:pStyle w:val="257"/>
              <w:spacing w:before="64" w:line="219" w:lineRule="auto"/>
              <w:ind w:left="109"/>
            </w:pPr>
            <w:r>
              <w:rPr>
                <w:spacing w:val="-1"/>
              </w:rPr>
              <w:t>HJ571</w:t>
            </w:r>
            <w:r>
              <w:rPr>
                <w:spacing w:val="-34"/>
              </w:rPr>
              <w:t xml:space="preserve"> </w:t>
            </w:r>
            <w:r>
              <w:rPr>
                <w:spacing w:val="-1"/>
              </w:rPr>
              <w:t>人造板及其制品</w:t>
            </w:r>
          </w:p>
        </w:tc>
      </w:tr>
      <w:tr w14:paraId="3C665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83" w:type="dxa"/>
            <w:vMerge w:val="restart"/>
            <w:tcBorders>
              <w:bottom w:val="nil"/>
            </w:tcBorders>
            <w:vAlign w:val="top"/>
          </w:tcPr>
          <w:p w14:paraId="239BEB6C">
            <w:pPr>
              <w:pStyle w:val="257"/>
              <w:spacing w:before="65"/>
              <w:ind w:left="118"/>
            </w:pPr>
            <w:r>
              <w:rPr>
                <w:spacing w:val="-5"/>
              </w:rPr>
              <w:t>33</w:t>
            </w:r>
          </w:p>
        </w:tc>
        <w:tc>
          <w:tcPr>
            <w:tcW w:w="1542" w:type="dxa"/>
            <w:vMerge w:val="restart"/>
            <w:tcBorders>
              <w:bottom w:val="nil"/>
            </w:tcBorders>
            <w:vAlign w:val="top"/>
          </w:tcPr>
          <w:p w14:paraId="5FB21499">
            <w:pPr>
              <w:pStyle w:val="257"/>
              <w:spacing w:before="64" w:line="321" w:lineRule="auto"/>
              <w:ind w:left="109" w:right="108" w:hanging="7"/>
            </w:pPr>
            <w:r>
              <w:rPr>
                <w:spacing w:val="3"/>
              </w:rPr>
              <w:t>A100204</w:t>
            </w:r>
            <w:r>
              <w:rPr>
                <w:spacing w:val="34"/>
              </w:rPr>
              <w:t xml:space="preserve"> </w:t>
            </w:r>
            <w:r>
              <w:rPr>
                <w:spacing w:val="3"/>
              </w:rPr>
              <w:t>二次加</w:t>
            </w:r>
            <w:r>
              <w:t xml:space="preserve"> </w:t>
            </w:r>
            <w:r>
              <w:rPr>
                <w:spacing w:val="-2"/>
              </w:rPr>
              <w:t>工材,相关板材</w:t>
            </w:r>
          </w:p>
        </w:tc>
        <w:tc>
          <w:tcPr>
            <w:tcW w:w="2672" w:type="dxa"/>
            <w:vAlign w:val="top"/>
          </w:tcPr>
          <w:p w14:paraId="17ED21B3">
            <w:pPr>
              <w:pStyle w:val="257"/>
              <w:spacing w:before="65" w:line="219" w:lineRule="auto"/>
              <w:ind w:left="103"/>
            </w:pPr>
            <w:r>
              <w:rPr>
                <w:spacing w:val="-1"/>
              </w:rPr>
              <w:t>A10020404</w:t>
            </w:r>
            <w:r>
              <w:rPr>
                <w:spacing w:val="-28"/>
              </w:rPr>
              <w:t xml:space="preserve"> </w:t>
            </w:r>
            <w:r>
              <w:rPr>
                <w:spacing w:val="-1"/>
              </w:rPr>
              <w:t>人造板表面装饰板</w:t>
            </w:r>
          </w:p>
        </w:tc>
        <w:tc>
          <w:tcPr>
            <w:tcW w:w="2248" w:type="dxa"/>
            <w:vAlign w:val="top"/>
          </w:tcPr>
          <w:p w14:paraId="671F7172">
            <w:pPr>
              <w:rPr>
                <w:rFonts w:ascii="Arial"/>
                <w:sz w:val="21"/>
              </w:rPr>
            </w:pPr>
          </w:p>
        </w:tc>
        <w:tc>
          <w:tcPr>
            <w:tcW w:w="2392" w:type="dxa"/>
            <w:vAlign w:val="top"/>
          </w:tcPr>
          <w:p w14:paraId="742D8B9D">
            <w:pPr>
              <w:pStyle w:val="257"/>
              <w:spacing w:before="64" w:line="219" w:lineRule="auto"/>
              <w:ind w:left="109"/>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2C82F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3" w:type="dxa"/>
            <w:vMerge w:val="continue"/>
            <w:tcBorders>
              <w:top w:val="nil"/>
            </w:tcBorders>
            <w:vAlign w:val="top"/>
          </w:tcPr>
          <w:p w14:paraId="137CE8B9">
            <w:pPr>
              <w:rPr>
                <w:rFonts w:ascii="Arial"/>
                <w:sz w:val="21"/>
              </w:rPr>
            </w:pPr>
          </w:p>
        </w:tc>
        <w:tc>
          <w:tcPr>
            <w:tcW w:w="1542" w:type="dxa"/>
            <w:vMerge w:val="continue"/>
            <w:tcBorders>
              <w:top w:val="nil"/>
            </w:tcBorders>
            <w:vAlign w:val="top"/>
          </w:tcPr>
          <w:p w14:paraId="67BF376E">
            <w:pPr>
              <w:rPr>
                <w:rFonts w:ascii="Arial"/>
                <w:sz w:val="21"/>
              </w:rPr>
            </w:pPr>
          </w:p>
        </w:tc>
        <w:tc>
          <w:tcPr>
            <w:tcW w:w="2672" w:type="dxa"/>
            <w:vAlign w:val="top"/>
          </w:tcPr>
          <w:p w14:paraId="6ECA7361">
            <w:pPr>
              <w:pStyle w:val="257"/>
              <w:spacing w:before="67" w:line="284" w:lineRule="auto"/>
              <w:ind w:left="113" w:right="107" w:hanging="10"/>
            </w:pPr>
            <w:r>
              <w:rPr>
                <w:spacing w:val="5"/>
              </w:rPr>
              <w:t>A10020404</w:t>
            </w:r>
            <w:r>
              <w:rPr>
                <w:spacing w:val="30"/>
              </w:rPr>
              <w:t xml:space="preserve"> </w:t>
            </w:r>
            <w:r>
              <w:rPr>
                <w:spacing w:val="5"/>
              </w:rPr>
              <w:t>人造板表面装饰板</w:t>
            </w:r>
            <w:r>
              <w:t xml:space="preserve"> </w:t>
            </w:r>
            <w:r>
              <w:rPr>
                <w:spacing w:val="-3"/>
              </w:rPr>
              <w:t>（地板）</w:t>
            </w:r>
          </w:p>
        </w:tc>
        <w:tc>
          <w:tcPr>
            <w:tcW w:w="2248" w:type="dxa"/>
            <w:vAlign w:val="top"/>
          </w:tcPr>
          <w:p w14:paraId="6E863972">
            <w:pPr>
              <w:rPr>
                <w:rFonts w:ascii="Arial"/>
                <w:sz w:val="21"/>
              </w:rPr>
            </w:pPr>
          </w:p>
        </w:tc>
        <w:tc>
          <w:tcPr>
            <w:tcW w:w="2392" w:type="dxa"/>
            <w:vAlign w:val="top"/>
          </w:tcPr>
          <w:p w14:paraId="5CD24ADF">
            <w:pPr>
              <w:pStyle w:val="257"/>
              <w:spacing w:before="67" w:line="219" w:lineRule="auto"/>
              <w:ind w:left="109"/>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33A9B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1B0908CB">
            <w:pPr>
              <w:pStyle w:val="257"/>
              <w:spacing w:before="65"/>
              <w:ind w:left="118"/>
            </w:pPr>
            <w:r>
              <w:rPr>
                <w:spacing w:val="-5"/>
              </w:rPr>
              <w:t>34</w:t>
            </w:r>
          </w:p>
        </w:tc>
        <w:tc>
          <w:tcPr>
            <w:tcW w:w="1542" w:type="dxa"/>
            <w:vAlign w:val="top"/>
          </w:tcPr>
          <w:p w14:paraId="74C8304D">
            <w:pPr>
              <w:pStyle w:val="257"/>
              <w:spacing w:before="66" w:line="283" w:lineRule="auto"/>
              <w:ind w:left="107" w:right="108" w:hanging="5"/>
            </w:pPr>
            <w:r>
              <w:rPr>
                <w:spacing w:val="3"/>
              </w:rPr>
              <w:t>A100301</w:t>
            </w:r>
            <w:r>
              <w:rPr>
                <w:spacing w:val="34"/>
              </w:rPr>
              <w:t xml:space="preserve"> </w:t>
            </w:r>
            <w:r>
              <w:rPr>
                <w:spacing w:val="3"/>
              </w:rPr>
              <w:t>水泥熟</w:t>
            </w:r>
            <w:r>
              <w:t xml:space="preserve"> </w:t>
            </w:r>
            <w:r>
              <w:rPr>
                <w:spacing w:val="-2"/>
              </w:rPr>
              <w:t>料及水泥</w:t>
            </w:r>
          </w:p>
        </w:tc>
        <w:tc>
          <w:tcPr>
            <w:tcW w:w="2672" w:type="dxa"/>
            <w:vAlign w:val="top"/>
          </w:tcPr>
          <w:p w14:paraId="3314F35F">
            <w:pPr>
              <w:pStyle w:val="257"/>
              <w:spacing w:before="65" w:line="220" w:lineRule="auto"/>
              <w:ind w:left="103"/>
            </w:pPr>
            <w:r>
              <w:rPr>
                <w:spacing w:val="-1"/>
              </w:rPr>
              <w:t>A10030102</w:t>
            </w:r>
            <w:r>
              <w:rPr>
                <w:spacing w:val="-31"/>
              </w:rPr>
              <w:t xml:space="preserve"> </w:t>
            </w:r>
            <w:r>
              <w:rPr>
                <w:spacing w:val="-1"/>
              </w:rPr>
              <w:t>水泥</w:t>
            </w:r>
          </w:p>
        </w:tc>
        <w:tc>
          <w:tcPr>
            <w:tcW w:w="2248" w:type="dxa"/>
            <w:vAlign w:val="top"/>
          </w:tcPr>
          <w:p w14:paraId="25356875">
            <w:pPr>
              <w:rPr>
                <w:rFonts w:ascii="Arial"/>
                <w:sz w:val="21"/>
              </w:rPr>
            </w:pPr>
          </w:p>
        </w:tc>
        <w:tc>
          <w:tcPr>
            <w:tcW w:w="2392" w:type="dxa"/>
            <w:vAlign w:val="top"/>
          </w:tcPr>
          <w:p w14:paraId="58FEE2FB">
            <w:pPr>
              <w:pStyle w:val="257"/>
              <w:spacing w:before="64" w:line="219" w:lineRule="auto"/>
              <w:ind w:left="109"/>
            </w:pPr>
            <w:r>
              <w:rPr>
                <w:spacing w:val="-1"/>
              </w:rPr>
              <w:t>HJ2519</w:t>
            </w:r>
            <w:r>
              <w:rPr>
                <w:spacing w:val="-34"/>
              </w:rPr>
              <w:t xml:space="preserve"> </w:t>
            </w:r>
            <w:r>
              <w:rPr>
                <w:spacing w:val="-1"/>
              </w:rPr>
              <w:t>水泥</w:t>
            </w:r>
          </w:p>
        </w:tc>
      </w:tr>
      <w:tr w14:paraId="47BBA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6DAA5275">
            <w:pPr>
              <w:pStyle w:val="257"/>
              <w:spacing w:before="66"/>
              <w:ind w:left="118"/>
            </w:pPr>
            <w:r>
              <w:rPr>
                <w:spacing w:val="-5"/>
              </w:rPr>
              <w:t>35</w:t>
            </w:r>
          </w:p>
        </w:tc>
        <w:tc>
          <w:tcPr>
            <w:tcW w:w="1542" w:type="dxa"/>
            <w:vAlign w:val="top"/>
          </w:tcPr>
          <w:p w14:paraId="1C589A6B">
            <w:pPr>
              <w:pStyle w:val="257"/>
              <w:spacing w:before="66" w:line="283" w:lineRule="auto"/>
              <w:ind w:left="106" w:right="108" w:hanging="4"/>
            </w:pPr>
            <w:r>
              <w:rPr>
                <w:spacing w:val="3"/>
              </w:rPr>
              <w:t>A100303</w:t>
            </w:r>
            <w:r>
              <w:rPr>
                <w:spacing w:val="34"/>
              </w:rPr>
              <w:t xml:space="preserve"> </w:t>
            </w:r>
            <w:r>
              <w:rPr>
                <w:spacing w:val="3"/>
              </w:rPr>
              <w:t>水泥混</w:t>
            </w:r>
            <w:r>
              <w:t xml:space="preserve"> </w:t>
            </w:r>
            <w:r>
              <w:rPr>
                <w:spacing w:val="-2"/>
              </w:rPr>
              <w:t>凝土制品</w:t>
            </w:r>
          </w:p>
        </w:tc>
        <w:tc>
          <w:tcPr>
            <w:tcW w:w="2672" w:type="dxa"/>
            <w:vAlign w:val="top"/>
          </w:tcPr>
          <w:p w14:paraId="08A33F38">
            <w:pPr>
              <w:pStyle w:val="257"/>
              <w:spacing w:before="65" w:line="221" w:lineRule="auto"/>
              <w:ind w:left="103"/>
            </w:pPr>
            <w:r>
              <w:rPr>
                <w:spacing w:val="-1"/>
              </w:rPr>
              <w:t>A10030301</w:t>
            </w:r>
            <w:r>
              <w:rPr>
                <w:spacing w:val="-30"/>
              </w:rPr>
              <w:t xml:space="preserve"> </w:t>
            </w:r>
            <w:r>
              <w:rPr>
                <w:spacing w:val="-1"/>
              </w:rPr>
              <w:t>商品混凝土</w:t>
            </w:r>
          </w:p>
        </w:tc>
        <w:tc>
          <w:tcPr>
            <w:tcW w:w="2248" w:type="dxa"/>
            <w:vAlign w:val="top"/>
          </w:tcPr>
          <w:p w14:paraId="0B265018">
            <w:pPr>
              <w:rPr>
                <w:rFonts w:ascii="Arial"/>
                <w:sz w:val="21"/>
              </w:rPr>
            </w:pPr>
          </w:p>
        </w:tc>
        <w:tc>
          <w:tcPr>
            <w:tcW w:w="2392" w:type="dxa"/>
            <w:vAlign w:val="top"/>
          </w:tcPr>
          <w:p w14:paraId="0063C434">
            <w:pPr>
              <w:pStyle w:val="257"/>
              <w:spacing w:before="65" w:line="219" w:lineRule="auto"/>
              <w:ind w:left="109"/>
            </w:pPr>
            <w:r>
              <w:rPr>
                <w:spacing w:val="-1"/>
              </w:rPr>
              <w:t>HJ/T412</w:t>
            </w:r>
            <w:r>
              <w:rPr>
                <w:spacing w:val="-34"/>
              </w:rPr>
              <w:t xml:space="preserve"> </w:t>
            </w:r>
            <w:r>
              <w:rPr>
                <w:spacing w:val="-1"/>
              </w:rPr>
              <w:t>预拌混凝土</w:t>
            </w:r>
          </w:p>
        </w:tc>
      </w:tr>
      <w:tr w14:paraId="5A972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0B83C9DB">
            <w:pPr>
              <w:pStyle w:val="257"/>
              <w:spacing w:before="66"/>
              <w:ind w:left="118"/>
            </w:pPr>
            <w:r>
              <w:rPr>
                <w:spacing w:val="-5"/>
              </w:rPr>
              <w:t>36</w:t>
            </w:r>
          </w:p>
        </w:tc>
        <w:tc>
          <w:tcPr>
            <w:tcW w:w="1542" w:type="dxa"/>
            <w:vMerge w:val="restart"/>
            <w:tcBorders>
              <w:bottom w:val="nil"/>
            </w:tcBorders>
            <w:vAlign w:val="top"/>
          </w:tcPr>
          <w:p w14:paraId="6BBBD180">
            <w:pPr>
              <w:pStyle w:val="257"/>
              <w:spacing w:before="66" w:line="322" w:lineRule="auto"/>
              <w:ind w:left="111" w:right="108" w:hanging="9"/>
            </w:pPr>
            <w:r>
              <w:rPr>
                <w:spacing w:val="3"/>
              </w:rPr>
              <w:t>A100304</w:t>
            </w:r>
            <w:r>
              <w:rPr>
                <w:spacing w:val="35"/>
              </w:rPr>
              <w:t xml:space="preserve"> </w:t>
            </w:r>
            <w:r>
              <w:rPr>
                <w:spacing w:val="3"/>
              </w:rPr>
              <w:t>纤维增</w:t>
            </w:r>
            <w:r>
              <w:t xml:space="preserve"> </w:t>
            </w:r>
            <w:r>
              <w:rPr>
                <w:spacing w:val="-2"/>
              </w:rPr>
              <w:t>强水泥制品</w:t>
            </w:r>
          </w:p>
        </w:tc>
        <w:tc>
          <w:tcPr>
            <w:tcW w:w="2672" w:type="dxa"/>
            <w:vAlign w:val="top"/>
          </w:tcPr>
          <w:p w14:paraId="603F2296">
            <w:pPr>
              <w:pStyle w:val="257"/>
              <w:spacing w:before="66" w:line="219" w:lineRule="auto"/>
              <w:ind w:left="103"/>
            </w:pPr>
            <w:r>
              <w:rPr>
                <w:spacing w:val="-1"/>
              </w:rPr>
              <w:t>A10030402</w:t>
            </w:r>
            <w:r>
              <w:rPr>
                <w:spacing w:val="-28"/>
              </w:rPr>
              <w:t xml:space="preserve"> </w:t>
            </w:r>
            <w:r>
              <w:rPr>
                <w:spacing w:val="-1"/>
              </w:rPr>
              <w:t>纤维增强硅酸钙板</w:t>
            </w:r>
          </w:p>
        </w:tc>
        <w:tc>
          <w:tcPr>
            <w:tcW w:w="2248" w:type="dxa"/>
            <w:vAlign w:val="top"/>
          </w:tcPr>
          <w:p w14:paraId="54E76511">
            <w:pPr>
              <w:rPr>
                <w:rFonts w:ascii="Arial"/>
                <w:sz w:val="21"/>
              </w:rPr>
            </w:pPr>
          </w:p>
        </w:tc>
        <w:tc>
          <w:tcPr>
            <w:tcW w:w="2392" w:type="dxa"/>
            <w:vAlign w:val="top"/>
          </w:tcPr>
          <w:p w14:paraId="7DB76559">
            <w:pPr>
              <w:pStyle w:val="257"/>
              <w:spacing w:before="66" w:line="219" w:lineRule="auto"/>
              <w:ind w:left="109"/>
            </w:pPr>
            <w:r>
              <w:rPr>
                <w:spacing w:val="-1"/>
              </w:rPr>
              <w:t>HJ/T223</w:t>
            </w:r>
            <w:r>
              <w:rPr>
                <w:spacing w:val="-33"/>
              </w:rPr>
              <w:t xml:space="preserve"> </w:t>
            </w:r>
            <w:r>
              <w:rPr>
                <w:spacing w:val="-1"/>
              </w:rPr>
              <w:t>轻质墙体板材</w:t>
            </w:r>
          </w:p>
        </w:tc>
      </w:tr>
      <w:tr w14:paraId="4747B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vAlign w:val="top"/>
          </w:tcPr>
          <w:p w14:paraId="1C250FD4">
            <w:pPr>
              <w:rPr>
                <w:rFonts w:ascii="Arial"/>
                <w:sz w:val="21"/>
              </w:rPr>
            </w:pPr>
          </w:p>
        </w:tc>
        <w:tc>
          <w:tcPr>
            <w:tcW w:w="1542" w:type="dxa"/>
            <w:vMerge w:val="continue"/>
            <w:tcBorders>
              <w:top w:val="nil"/>
            </w:tcBorders>
            <w:vAlign w:val="top"/>
          </w:tcPr>
          <w:p w14:paraId="2E8EFD2B">
            <w:pPr>
              <w:rPr>
                <w:rFonts w:ascii="Arial"/>
                <w:sz w:val="21"/>
              </w:rPr>
            </w:pPr>
          </w:p>
        </w:tc>
        <w:tc>
          <w:tcPr>
            <w:tcW w:w="2672" w:type="dxa"/>
            <w:vAlign w:val="top"/>
          </w:tcPr>
          <w:p w14:paraId="0C6EE681">
            <w:pPr>
              <w:pStyle w:val="257"/>
              <w:spacing w:before="66" w:line="220" w:lineRule="auto"/>
              <w:ind w:left="103"/>
            </w:pPr>
            <w:r>
              <w:rPr>
                <w:spacing w:val="-1"/>
              </w:rPr>
              <w:t>A10030403</w:t>
            </w:r>
            <w:r>
              <w:rPr>
                <w:spacing w:val="-45"/>
              </w:rPr>
              <w:t xml:space="preserve"> </w:t>
            </w:r>
            <w:r>
              <w:rPr>
                <w:spacing w:val="-1"/>
              </w:rPr>
              <w:t>无石棉纤维水泥制品</w:t>
            </w:r>
          </w:p>
        </w:tc>
        <w:tc>
          <w:tcPr>
            <w:tcW w:w="2248" w:type="dxa"/>
            <w:vAlign w:val="top"/>
          </w:tcPr>
          <w:p w14:paraId="365F4AAD">
            <w:pPr>
              <w:rPr>
                <w:rFonts w:ascii="Arial"/>
                <w:sz w:val="21"/>
              </w:rPr>
            </w:pPr>
          </w:p>
        </w:tc>
        <w:tc>
          <w:tcPr>
            <w:tcW w:w="2392" w:type="dxa"/>
            <w:vAlign w:val="top"/>
          </w:tcPr>
          <w:p w14:paraId="66573A6B">
            <w:pPr>
              <w:pStyle w:val="257"/>
              <w:spacing w:before="66" w:line="219" w:lineRule="auto"/>
              <w:ind w:left="109"/>
            </w:pPr>
            <w:r>
              <w:rPr>
                <w:spacing w:val="-1"/>
              </w:rPr>
              <w:t>HJ/T223</w:t>
            </w:r>
            <w:r>
              <w:rPr>
                <w:spacing w:val="-33"/>
              </w:rPr>
              <w:t xml:space="preserve"> </w:t>
            </w:r>
            <w:r>
              <w:rPr>
                <w:spacing w:val="-1"/>
              </w:rPr>
              <w:t>轻质墙体板材</w:t>
            </w:r>
          </w:p>
        </w:tc>
      </w:tr>
      <w:tr w14:paraId="5D83D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334D0AE4">
            <w:pPr>
              <w:pStyle w:val="257"/>
              <w:spacing w:before="67"/>
              <w:ind w:left="118"/>
            </w:pPr>
            <w:r>
              <w:rPr>
                <w:spacing w:val="-5"/>
              </w:rPr>
              <w:t>37</w:t>
            </w:r>
          </w:p>
        </w:tc>
        <w:tc>
          <w:tcPr>
            <w:tcW w:w="1542" w:type="dxa"/>
            <w:vMerge w:val="restart"/>
            <w:tcBorders>
              <w:bottom w:val="nil"/>
            </w:tcBorders>
            <w:vAlign w:val="top"/>
          </w:tcPr>
          <w:p w14:paraId="50FFF942">
            <w:pPr>
              <w:pStyle w:val="257"/>
              <w:spacing w:before="66" w:line="322" w:lineRule="auto"/>
              <w:ind w:left="109" w:right="108" w:hanging="7"/>
            </w:pPr>
            <w:r>
              <w:rPr>
                <w:spacing w:val="3"/>
              </w:rPr>
              <w:t>A100305</w:t>
            </w:r>
            <w:r>
              <w:rPr>
                <w:spacing w:val="34"/>
              </w:rPr>
              <w:t xml:space="preserve"> </w:t>
            </w:r>
            <w:r>
              <w:rPr>
                <w:spacing w:val="3"/>
              </w:rPr>
              <w:t>轻质建</w:t>
            </w:r>
            <w:r>
              <w:t xml:space="preserve"> </w:t>
            </w:r>
            <w:r>
              <w:rPr>
                <w:spacing w:val="-2"/>
              </w:rPr>
              <w:t>筑材料及制品</w:t>
            </w:r>
          </w:p>
        </w:tc>
        <w:tc>
          <w:tcPr>
            <w:tcW w:w="2672" w:type="dxa"/>
            <w:vAlign w:val="top"/>
          </w:tcPr>
          <w:p w14:paraId="22715C66">
            <w:pPr>
              <w:pStyle w:val="257"/>
              <w:spacing w:before="67" w:line="219" w:lineRule="auto"/>
              <w:ind w:left="103"/>
            </w:pPr>
            <w:r>
              <w:rPr>
                <w:spacing w:val="-1"/>
              </w:rPr>
              <w:t>A10030501</w:t>
            </w:r>
            <w:r>
              <w:rPr>
                <w:spacing w:val="-32"/>
              </w:rPr>
              <w:t xml:space="preserve"> </w:t>
            </w:r>
            <w:r>
              <w:rPr>
                <w:spacing w:val="-1"/>
              </w:rPr>
              <w:t>石膏板</w:t>
            </w:r>
          </w:p>
        </w:tc>
        <w:tc>
          <w:tcPr>
            <w:tcW w:w="2248" w:type="dxa"/>
            <w:vAlign w:val="top"/>
          </w:tcPr>
          <w:p w14:paraId="2011796B">
            <w:pPr>
              <w:rPr>
                <w:rFonts w:ascii="Arial"/>
                <w:sz w:val="21"/>
              </w:rPr>
            </w:pPr>
          </w:p>
        </w:tc>
        <w:tc>
          <w:tcPr>
            <w:tcW w:w="2392" w:type="dxa"/>
            <w:vAlign w:val="top"/>
          </w:tcPr>
          <w:p w14:paraId="0F10D724">
            <w:pPr>
              <w:pStyle w:val="257"/>
              <w:spacing w:before="66" w:line="219" w:lineRule="auto"/>
              <w:ind w:left="109"/>
            </w:pPr>
            <w:r>
              <w:rPr>
                <w:spacing w:val="-1"/>
              </w:rPr>
              <w:t>HJ/T223</w:t>
            </w:r>
            <w:r>
              <w:rPr>
                <w:spacing w:val="-33"/>
              </w:rPr>
              <w:t xml:space="preserve"> </w:t>
            </w:r>
            <w:r>
              <w:rPr>
                <w:spacing w:val="-1"/>
              </w:rPr>
              <w:t>轻质墙体板材</w:t>
            </w:r>
          </w:p>
        </w:tc>
      </w:tr>
      <w:tr w14:paraId="6B2F0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583" w:type="dxa"/>
            <w:vMerge w:val="continue"/>
            <w:tcBorders>
              <w:top w:val="nil"/>
            </w:tcBorders>
            <w:vAlign w:val="top"/>
          </w:tcPr>
          <w:p w14:paraId="042470B2">
            <w:pPr>
              <w:rPr>
                <w:rFonts w:ascii="Arial"/>
                <w:sz w:val="21"/>
              </w:rPr>
            </w:pPr>
          </w:p>
        </w:tc>
        <w:tc>
          <w:tcPr>
            <w:tcW w:w="1542" w:type="dxa"/>
            <w:vMerge w:val="continue"/>
            <w:tcBorders>
              <w:top w:val="nil"/>
            </w:tcBorders>
            <w:vAlign w:val="top"/>
          </w:tcPr>
          <w:p w14:paraId="003F1632">
            <w:pPr>
              <w:rPr>
                <w:rFonts w:ascii="Arial"/>
                <w:sz w:val="21"/>
              </w:rPr>
            </w:pPr>
          </w:p>
        </w:tc>
        <w:tc>
          <w:tcPr>
            <w:tcW w:w="2672" w:type="dxa"/>
            <w:vAlign w:val="top"/>
          </w:tcPr>
          <w:p w14:paraId="79DB65BF">
            <w:pPr>
              <w:pStyle w:val="257"/>
              <w:spacing w:before="66" w:line="219" w:lineRule="auto"/>
              <w:ind w:left="103"/>
            </w:pPr>
            <w:r>
              <w:rPr>
                <w:spacing w:val="-1"/>
              </w:rPr>
              <w:t>A10030503</w:t>
            </w:r>
            <w:r>
              <w:rPr>
                <w:spacing w:val="-30"/>
              </w:rPr>
              <w:t xml:space="preserve"> </w:t>
            </w:r>
            <w:r>
              <w:rPr>
                <w:spacing w:val="-1"/>
              </w:rPr>
              <w:t>轻质隔墙条板</w:t>
            </w:r>
          </w:p>
        </w:tc>
        <w:tc>
          <w:tcPr>
            <w:tcW w:w="2248" w:type="dxa"/>
            <w:vAlign w:val="top"/>
          </w:tcPr>
          <w:p w14:paraId="44A2CFD1">
            <w:pPr>
              <w:rPr>
                <w:rFonts w:ascii="Arial"/>
                <w:sz w:val="21"/>
              </w:rPr>
            </w:pPr>
          </w:p>
        </w:tc>
        <w:tc>
          <w:tcPr>
            <w:tcW w:w="2392" w:type="dxa"/>
            <w:vAlign w:val="top"/>
          </w:tcPr>
          <w:p w14:paraId="5CC71AD9">
            <w:pPr>
              <w:pStyle w:val="257"/>
              <w:spacing w:before="66" w:line="219" w:lineRule="auto"/>
              <w:ind w:left="109"/>
            </w:pPr>
            <w:r>
              <w:rPr>
                <w:spacing w:val="-1"/>
              </w:rPr>
              <w:t>HJ/T223</w:t>
            </w:r>
            <w:r>
              <w:rPr>
                <w:spacing w:val="-33"/>
              </w:rPr>
              <w:t xml:space="preserve"> </w:t>
            </w:r>
            <w:r>
              <w:rPr>
                <w:spacing w:val="-1"/>
              </w:rPr>
              <w:t>轻质墙体板材</w:t>
            </w:r>
          </w:p>
        </w:tc>
      </w:tr>
      <w:tr w14:paraId="21967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7284EA9F">
            <w:pPr>
              <w:pStyle w:val="257"/>
              <w:spacing w:before="67"/>
              <w:ind w:left="118"/>
            </w:pPr>
            <w:r>
              <w:rPr>
                <w:spacing w:val="-5"/>
              </w:rPr>
              <w:t>38</w:t>
            </w:r>
          </w:p>
        </w:tc>
        <w:tc>
          <w:tcPr>
            <w:tcW w:w="1542" w:type="dxa"/>
            <w:vMerge w:val="restart"/>
            <w:tcBorders>
              <w:bottom w:val="nil"/>
            </w:tcBorders>
            <w:vAlign w:val="top"/>
          </w:tcPr>
          <w:p w14:paraId="2DF50A0C">
            <w:pPr>
              <w:pStyle w:val="257"/>
              <w:spacing w:before="67" w:line="322" w:lineRule="auto"/>
              <w:ind w:left="111" w:right="108" w:hanging="9"/>
            </w:pPr>
            <w:r>
              <w:rPr>
                <w:spacing w:val="-1"/>
              </w:rPr>
              <w:t>A100307</w:t>
            </w:r>
            <w:r>
              <w:rPr>
                <w:spacing w:val="36"/>
              </w:rPr>
              <w:t xml:space="preserve"> </w:t>
            </w:r>
            <w:r>
              <w:rPr>
                <w:spacing w:val="-1"/>
              </w:rPr>
              <w:t>建筑</w:t>
            </w:r>
            <w:r>
              <w:rPr>
                <w:spacing w:val="-52"/>
              </w:rPr>
              <w:t xml:space="preserve"> </w:t>
            </w:r>
            <w:r>
              <w:rPr>
                <w:spacing w:val="-1"/>
              </w:rPr>
              <w:t>陶</w:t>
            </w:r>
            <w:r>
              <w:t xml:space="preserve"> </w:t>
            </w:r>
            <w:r>
              <w:rPr>
                <w:spacing w:val="-3"/>
              </w:rPr>
              <w:t>瓷制品</w:t>
            </w:r>
          </w:p>
        </w:tc>
        <w:tc>
          <w:tcPr>
            <w:tcW w:w="2672" w:type="dxa"/>
            <w:vAlign w:val="top"/>
          </w:tcPr>
          <w:p w14:paraId="248CE171">
            <w:pPr>
              <w:pStyle w:val="257"/>
              <w:spacing w:before="66" w:line="221" w:lineRule="auto"/>
              <w:ind w:left="103"/>
            </w:pPr>
            <w:r>
              <w:rPr>
                <w:spacing w:val="-1"/>
              </w:rPr>
              <w:t>A10030701</w:t>
            </w:r>
            <w:r>
              <w:rPr>
                <w:spacing w:val="-30"/>
              </w:rPr>
              <w:t xml:space="preserve"> </w:t>
            </w:r>
            <w:r>
              <w:rPr>
                <w:spacing w:val="-1"/>
              </w:rPr>
              <w:t>瓷质砖</w:t>
            </w:r>
          </w:p>
        </w:tc>
        <w:tc>
          <w:tcPr>
            <w:tcW w:w="2248" w:type="dxa"/>
            <w:vAlign w:val="top"/>
          </w:tcPr>
          <w:p w14:paraId="2BD9339A">
            <w:pPr>
              <w:rPr>
                <w:rFonts w:ascii="Arial"/>
                <w:sz w:val="21"/>
              </w:rPr>
            </w:pPr>
          </w:p>
        </w:tc>
        <w:tc>
          <w:tcPr>
            <w:tcW w:w="2392" w:type="dxa"/>
            <w:vAlign w:val="top"/>
          </w:tcPr>
          <w:p w14:paraId="46A0765F">
            <w:pPr>
              <w:pStyle w:val="257"/>
              <w:spacing w:before="66" w:line="219" w:lineRule="auto"/>
              <w:ind w:left="109"/>
            </w:pPr>
            <w:r>
              <w:rPr>
                <w:spacing w:val="-2"/>
              </w:rPr>
              <w:t>HJ/T297</w:t>
            </w:r>
            <w:r>
              <w:rPr>
                <w:spacing w:val="-22"/>
              </w:rPr>
              <w:t xml:space="preserve"> </w:t>
            </w:r>
            <w:r>
              <w:rPr>
                <w:spacing w:val="-2"/>
              </w:rPr>
              <w:t>陶瓷砖</w:t>
            </w:r>
          </w:p>
        </w:tc>
      </w:tr>
      <w:tr w14:paraId="5186D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vAlign w:val="top"/>
          </w:tcPr>
          <w:p w14:paraId="3CD46BD4">
            <w:pPr>
              <w:rPr>
                <w:rFonts w:ascii="Arial"/>
                <w:sz w:val="21"/>
              </w:rPr>
            </w:pPr>
          </w:p>
        </w:tc>
        <w:tc>
          <w:tcPr>
            <w:tcW w:w="1542" w:type="dxa"/>
            <w:vMerge w:val="continue"/>
            <w:tcBorders>
              <w:top w:val="nil"/>
              <w:bottom w:val="nil"/>
            </w:tcBorders>
            <w:vAlign w:val="top"/>
          </w:tcPr>
          <w:p w14:paraId="66FC5862">
            <w:pPr>
              <w:rPr>
                <w:rFonts w:ascii="Arial"/>
                <w:sz w:val="21"/>
              </w:rPr>
            </w:pPr>
          </w:p>
        </w:tc>
        <w:tc>
          <w:tcPr>
            <w:tcW w:w="2672" w:type="dxa"/>
            <w:vAlign w:val="top"/>
          </w:tcPr>
          <w:p w14:paraId="085CDCEB">
            <w:pPr>
              <w:pStyle w:val="257"/>
              <w:spacing w:before="66" w:line="221" w:lineRule="auto"/>
              <w:ind w:left="103"/>
            </w:pPr>
            <w:r>
              <w:t>A10030704 炻质砖</w:t>
            </w:r>
          </w:p>
        </w:tc>
        <w:tc>
          <w:tcPr>
            <w:tcW w:w="2248" w:type="dxa"/>
            <w:vAlign w:val="top"/>
          </w:tcPr>
          <w:p w14:paraId="54861799">
            <w:pPr>
              <w:rPr>
                <w:rFonts w:ascii="Arial"/>
                <w:sz w:val="21"/>
              </w:rPr>
            </w:pPr>
          </w:p>
        </w:tc>
        <w:tc>
          <w:tcPr>
            <w:tcW w:w="2392" w:type="dxa"/>
            <w:vAlign w:val="top"/>
          </w:tcPr>
          <w:p w14:paraId="01408A8A">
            <w:pPr>
              <w:pStyle w:val="257"/>
              <w:spacing w:before="66" w:line="219" w:lineRule="auto"/>
              <w:ind w:left="109"/>
            </w:pPr>
            <w:r>
              <w:rPr>
                <w:spacing w:val="-2"/>
              </w:rPr>
              <w:t>HJ/T297</w:t>
            </w:r>
            <w:r>
              <w:rPr>
                <w:spacing w:val="-22"/>
              </w:rPr>
              <w:t xml:space="preserve"> </w:t>
            </w:r>
            <w:r>
              <w:rPr>
                <w:spacing w:val="-2"/>
              </w:rPr>
              <w:t>陶瓷砖</w:t>
            </w:r>
          </w:p>
        </w:tc>
      </w:tr>
      <w:tr w14:paraId="6DB39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vAlign w:val="top"/>
          </w:tcPr>
          <w:p w14:paraId="37419E00">
            <w:pPr>
              <w:rPr>
                <w:rFonts w:ascii="Arial"/>
                <w:sz w:val="21"/>
              </w:rPr>
            </w:pPr>
          </w:p>
        </w:tc>
        <w:tc>
          <w:tcPr>
            <w:tcW w:w="1542" w:type="dxa"/>
            <w:vMerge w:val="continue"/>
            <w:tcBorders>
              <w:top w:val="nil"/>
              <w:bottom w:val="nil"/>
            </w:tcBorders>
            <w:vAlign w:val="top"/>
          </w:tcPr>
          <w:p w14:paraId="215212B0">
            <w:pPr>
              <w:rPr>
                <w:rFonts w:ascii="Arial"/>
                <w:sz w:val="21"/>
              </w:rPr>
            </w:pPr>
          </w:p>
        </w:tc>
        <w:tc>
          <w:tcPr>
            <w:tcW w:w="2672" w:type="dxa"/>
            <w:vAlign w:val="top"/>
          </w:tcPr>
          <w:p w14:paraId="63714F5F">
            <w:pPr>
              <w:pStyle w:val="257"/>
              <w:spacing w:before="66" w:line="221" w:lineRule="auto"/>
              <w:ind w:left="103"/>
            </w:pPr>
            <w:r>
              <w:rPr>
                <w:spacing w:val="-2"/>
              </w:rPr>
              <w:t>A10030705</w:t>
            </w:r>
            <w:r>
              <w:rPr>
                <w:spacing w:val="-17"/>
              </w:rPr>
              <w:t xml:space="preserve"> </w:t>
            </w:r>
            <w:r>
              <w:rPr>
                <w:spacing w:val="-2"/>
              </w:rPr>
              <w:t>陶质砖</w:t>
            </w:r>
          </w:p>
        </w:tc>
        <w:tc>
          <w:tcPr>
            <w:tcW w:w="2248" w:type="dxa"/>
            <w:vAlign w:val="top"/>
          </w:tcPr>
          <w:p w14:paraId="0FCA5C7A">
            <w:pPr>
              <w:rPr>
                <w:rFonts w:ascii="Arial"/>
                <w:sz w:val="21"/>
              </w:rPr>
            </w:pPr>
          </w:p>
        </w:tc>
        <w:tc>
          <w:tcPr>
            <w:tcW w:w="2392" w:type="dxa"/>
            <w:vAlign w:val="top"/>
          </w:tcPr>
          <w:p w14:paraId="0FDD9E7E">
            <w:pPr>
              <w:pStyle w:val="257"/>
              <w:spacing w:before="66" w:line="219" w:lineRule="auto"/>
              <w:ind w:left="109"/>
            </w:pPr>
            <w:r>
              <w:rPr>
                <w:spacing w:val="-2"/>
              </w:rPr>
              <w:t>HJ/T297</w:t>
            </w:r>
            <w:r>
              <w:rPr>
                <w:spacing w:val="-22"/>
              </w:rPr>
              <w:t xml:space="preserve"> </w:t>
            </w:r>
            <w:r>
              <w:rPr>
                <w:spacing w:val="-2"/>
              </w:rPr>
              <w:t>陶瓷砖</w:t>
            </w:r>
          </w:p>
        </w:tc>
      </w:tr>
      <w:tr w14:paraId="1A846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6F05D91F">
            <w:pPr>
              <w:rPr>
                <w:rFonts w:ascii="Arial"/>
                <w:sz w:val="21"/>
              </w:rPr>
            </w:pPr>
          </w:p>
        </w:tc>
        <w:tc>
          <w:tcPr>
            <w:tcW w:w="1542" w:type="dxa"/>
            <w:vMerge w:val="continue"/>
            <w:tcBorders>
              <w:top w:val="nil"/>
            </w:tcBorders>
            <w:vAlign w:val="top"/>
          </w:tcPr>
          <w:p w14:paraId="0E276C34">
            <w:pPr>
              <w:rPr>
                <w:rFonts w:ascii="Arial"/>
                <w:sz w:val="21"/>
              </w:rPr>
            </w:pPr>
          </w:p>
        </w:tc>
        <w:tc>
          <w:tcPr>
            <w:tcW w:w="2672" w:type="dxa"/>
            <w:vAlign w:val="top"/>
          </w:tcPr>
          <w:p w14:paraId="655ECBF3">
            <w:pPr>
              <w:pStyle w:val="257"/>
              <w:spacing w:before="66" w:line="221" w:lineRule="auto"/>
              <w:ind w:left="103"/>
            </w:pPr>
            <w:r>
              <w:t>A10030799 其他建筑陶瓷制品</w:t>
            </w:r>
          </w:p>
        </w:tc>
        <w:tc>
          <w:tcPr>
            <w:tcW w:w="2248" w:type="dxa"/>
            <w:vAlign w:val="top"/>
          </w:tcPr>
          <w:p w14:paraId="2ED97174">
            <w:pPr>
              <w:rPr>
                <w:rFonts w:ascii="Arial"/>
                <w:sz w:val="21"/>
              </w:rPr>
            </w:pPr>
          </w:p>
        </w:tc>
        <w:tc>
          <w:tcPr>
            <w:tcW w:w="2392" w:type="dxa"/>
            <w:vAlign w:val="top"/>
          </w:tcPr>
          <w:p w14:paraId="7651FF70">
            <w:pPr>
              <w:pStyle w:val="257"/>
              <w:spacing w:before="66" w:line="219" w:lineRule="auto"/>
              <w:ind w:left="109"/>
            </w:pPr>
            <w:r>
              <w:rPr>
                <w:spacing w:val="-2"/>
              </w:rPr>
              <w:t>HJ/T297</w:t>
            </w:r>
            <w:r>
              <w:rPr>
                <w:spacing w:val="-22"/>
              </w:rPr>
              <w:t xml:space="preserve"> </w:t>
            </w:r>
            <w:r>
              <w:rPr>
                <w:spacing w:val="-2"/>
              </w:rPr>
              <w:t>陶瓷砖</w:t>
            </w:r>
          </w:p>
        </w:tc>
      </w:tr>
      <w:tr w14:paraId="42316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restart"/>
            <w:tcBorders>
              <w:bottom w:val="nil"/>
            </w:tcBorders>
            <w:vAlign w:val="top"/>
          </w:tcPr>
          <w:p w14:paraId="6779F663">
            <w:pPr>
              <w:pStyle w:val="257"/>
              <w:spacing w:before="66"/>
              <w:ind w:left="118"/>
            </w:pPr>
            <w:r>
              <w:rPr>
                <w:spacing w:val="-5"/>
              </w:rPr>
              <w:t>39</w:t>
            </w:r>
          </w:p>
        </w:tc>
        <w:tc>
          <w:tcPr>
            <w:tcW w:w="1542" w:type="dxa"/>
            <w:vMerge w:val="restart"/>
            <w:tcBorders>
              <w:bottom w:val="nil"/>
            </w:tcBorders>
            <w:vAlign w:val="top"/>
          </w:tcPr>
          <w:p w14:paraId="086D36DF">
            <w:pPr>
              <w:pStyle w:val="257"/>
              <w:spacing w:before="65" w:line="322" w:lineRule="auto"/>
              <w:ind w:left="109" w:right="108" w:hanging="7"/>
            </w:pPr>
            <w:r>
              <w:rPr>
                <w:spacing w:val="-1"/>
              </w:rPr>
              <w:t>A100309</w:t>
            </w:r>
            <w:r>
              <w:rPr>
                <w:spacing w:val="34"/>
                <w:w w:val="101"/>
              </w:rPr>
              <w:t xml:space="preserve"> </w:t>
            </w:r>
            <w:r>
              <w:rPr>
                <w:spacing w:val="-1"/>
              </w:rPr>
              <w:t>建筑</w:t>
            </w:r>
            <w:r>
              <w:rPr>
                <w:spacing w:val="-51"/>
              </w:rPr>
              <w:t xml:space="preserve"> </w:t>
            </w:r>
            <w:r>
              <w:rPr>
                <w:spacing w:val="-1"/>
              </w:rPr>
              <w:t>防</w:t>
            </w:r>
            <w:r>
              <w:t xml:space="preserve"> </w:t>
            </w:r>
            <w:r>
              <w:rPr>
                <w:spacing w:val="-2"/>
              </w:rPr>
              <w:t>水卷材及制品</w:t>
            </w:r>
          </w:p>
        </w:tc>
        <w:tc>
          <w:tcPr>
            <w:tcW w:w="2672" w:type="dxa"/>
            <w:vAlign w:val="top"/>
          </w:tcPr>
          <w:p w14:paraId="0DAE9208">
            <w:pPr>
              <w:pStyle w:val="257"/>
              <w:spacing w:before="66" w:line="283" w:lineRule="auto"/>
              <w:ind w:left="110" w:right="107" w:hanging="7"/>
            </w:pPr>
            <w:r>
              <w:rPr>
                <w:spacing w:val="-1"/>
              </w:rPr>
              <w:t>A10030901</w:t>
            </w:r>
            <w:r>
              <w:rPr>
                <w:spacing w:val="-47"/>
              </w:rPr>
              <w:t xml:space="preserve"> </w:t>
            </w:r>
            <w:r>
              <w:rPr>
                <w:spacing w:val="-1"/>
              </w:rPr>
              <w:t>沥青和改性沥青防水</w:t>
            </w:r>
            <w:r>
              <w:t xml:space="preserve"> </w:t>
            </w:r>
            <w:r>
              <w:rPr>
                <w:spacing w:val="-3"/>
              </w:rPr>
              <w:t>卷材</w:t>
            </w:r>
          </w:p>
        </w:tc>
        <w:tc>
          <w:tcPr>
            <w:tcW w:w="2248" w:type="dxa"/>
            <w:vAlign w:val="top"/>
          </w:tcPr>
          <w:p w14:paraId="257EA4D1">
            <w:pPr>
              <w:rPr>
                <w:rFonts w:ascii="Arial"/>
                <w:sz w:val="21"/>
              </w:rPr>
            </w:pPr>
          </w:p>
        </w:tc>
        <w:tc>
          <w:tcPr>
            <w:tcW w:w="2392" w:type="dxa"/>
            <w:vAlign w:val="top"/>
          </w:tcPr>
          <w:p w14:paraId="0D8F955B">
            <w:pPr>
              <w:pStyle w:val="257"/>
              <w:spacing w:before="66" w:line="219" w:lineRule="auto"/>
              <w:ind w:left="109"/>
            </w:pPr>
            <w:r>
              <w:rPr>
                <w:spacing w:val="-2"/>
              </w:rPr>
              <w:t>HJ455</w:t>
            </w:r>
            <w:r>
              <w:rPr>
                <w:spacing w:val="-25"/>
              </w:rPr>
              <w:t xml:space="preserve"> </w:t>
            </w:r>
            <w:r>
              <w:rPr>
                <w:spacing w:val="-2"/>
              </w:rPr>
              <w:t>防水卷材</w:t>
            </w:r>
          </w:p>
        </w:tc>
      </w:tr>
      <w:tr w14:paraId="5DF39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vAlign w:val="top"/>
          </w:tcPr>
          <w:p w14:paraId="52970568">
            <w:pPr>
              <w:rPr>
                <w:rFonts w:ascii="Arial"/>
                <w:sz w:val="21"/>
              </w:rPr>
            </w:pPr>
          </w:p>
        </w:tc>
        <w:tc>
          <w:tcPr>
            <w:tcW w:w="1542" w:type="dxa"/>
            <w:vMerge w:val="continue"/>
            <w:tcBorders>
              <w:top w:val="nil"/>
              <w:bottom w:val="nil"/>
            </w:tcBorders>
            <w:vAlign w:val="top"/>
          </w:tcPr>
          <w:p w14:paraId="2917E20D">
            <w:pPr>
              <w:rPr>
                <w:rFonts w:ascii="Arial"/>
                <w:sz w:val="21"/>
              </w:rPr>
            </w:pPr>
          </w:p>
        </w:tc>
        <w:tc>
          <w:tcPr>
            <w:tcW w:w="2672" w:type="dxa"/>
            <w:vAlign w:val="top"/>
          </w:tcPr>
          <w:p w14:paraId="302F306F">
            <w:pPr>
              <w:pStyle w:val="257"/>
              <w:spacing w:before="67" w:line="219" w:lineRule="auto"/>
              <w:ind w:left="103"/>
            </w:pPr>
            <w:r>
              <w:rPr>
                <w:spacing w:val="-2"/>
              </w:rPr>
              <w:t>A10030903</w:t>
            </w:r>
            <w:r>
              <w:rPr>
                <w:spacing w:val="36"/>
              </w:rPr>
              <w:t xml:space="preserve"> </w:t>
            </w:r>
            <w:r>
              <w:rPr>
                <w:spacing w:val="-2"/>
              </w:rPr>
              <w:t>自粘防水卷材</w:t>
            </w:r>
          </w:p>
        </w:tc>
        <w:tc>
          <w:tcPr>
            <w:tcW w:w="2248" w:type="dxa"/>
            <w:vAlign w:val="top"/>
          </w:tcPr>
          <w:p w14:paraId="5C33F6CF">
            <w:pPr>
              <w:rPr>
                <w:rFonts w:ascii="Arial"/>
                <w:sz w:val="21"/>
              </w:rPr>
            </w:pPr>
          </w:p>
        </w:tc>
        <w:tc>
          <w:tcPr>
            <w:tcW w:w="2392" w:type="dxa"/>
            <w:vAlign w:val="top"/>
          </w:tcPr>
          <w:p w14:paraId="2747896A">
            <w:pPr>
              <w:pStyle w:val="257"/>
              <w:spacing w:before="66" w:line="219" w:lineRule="auto"/>
              <w:ind w:left="109"/>
            </w:pPr>
            <w:r>
              <w:rPr>
                <w:spacing w:val="-2"/>
              </w:rPr>
              <w:t>HJ455</w:t>
            </w:r>
            <w:r>
              <w:rPr>
                <w:spacing w:val="-25"/>
              </w:rPr>
              <w:t xml:space="preserve"> </w:t>
            </w:r>
            <w:r>
              <w:rPr>
                <w:spacing w:val="-2"/>
              </w:rPr>
              <w:t>防水卷材</w:t>
            </w:r>
          </w:p>
        </w:tc>
      </w:tr>
      <w:tr w14:paraId="23FDE7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continue"/>
            <w:tcBorders>
              <w:top w:val="nil"/>
            </w:tcBorders>
            <w:vAlign w:val="top"/>
          </w:tcPr>
          <w:p w14:paraId="2A3B38B0">
            <w:pPr>
              <w:rPr>
                <w:rFonts w:ascii="Arial"/>
                <w:sz w:val="21"/>
              </w:rPr>
            </w:pPr>
          </w:p>
        </w:tc>
        <w:tc>
          <w:tcPr>
            <w:tcW w:w="1542" w:type="dxa"/>
            <w:vMerge w:val="continue"/>
            <w:tcBorders>
              <w:top w:val="nil"/>
            </w:tcBorders>
            <w:vAlign w:val="top"/>
          </w:tcPr>
          <w:p w14:paraId="2CA83744">
            <w:pPr>
              <w:rPr>
                <w:rFonts w:ascii="Arial"/>
                <w:sz w:val="21"/>
              </w:rPr>
            </w:pPr>
          </w:p>
        </w:tc>
        <w:tc>
          <w:tcPr>
            <w:tcW w:w="2672" w:type="dxa"/>
            <w:vAlign w:val="top"/>
          </w:tcPr>
          <w:p w14:paraId="11806FE6">
            <w:pPr>
              <w:pStyle w:val="257"/>
              <w:spacing w:before="66" w:line="283" w:lineRule="auto"/>
              <w:ind w:left="108" w:right="102" w:hanging="5"/>
            </w:pPr>
            <w:r>
              <w:rPr>
                <w:spacing w:val="-2"/>
              </w:rPr>
              <w:t>A10030906</w:t>
            </w:r>
            <w:r>
              <w:rPr>
                <w:spacing w:val="-24"/>
              </w:rPr>
              <w:t xml:space="preserve"> </w:t>
            </w:r>
            <w:r>
              <w:rPr>
                <w:spacing w:val="-2"/>
              </w:rPr>
              <w:t>高分子防水卷（片）</w:t>
            </w:r>
            <w:r>
              <w:t xml:space="preserve"> 材</w:t>
            </w:r>
          </w:p>
        </w:tc>
        <w:tc>
          <w:tcPr>
            <w:tcW w:w="2248" w:type="dxa"/>
            <w:vAlign w:val="top"/>
          </w:tcPr>
          <w:p w14:paraId="16190BED">
            <w:pPr>
              <w:rPr>
                <w:rFonts w:ascii="Arial"/>
                <w:sz w:val="21"/>
              </w:rPr>
            </w:pPr>
          </w:p>
        </w:tc>
        <w:tc>
          <w:tcPr>
            <w:tcW w:w="2392" w:type="dxa"/>
            <w:vAlign w:val="top"/>
          </w:tcPr>
          <w:p w14:paraId="76CBE2B5">
            <w:pPr>
              <w:pStyle w:val="257"/>
              <w:spacing w:before="66" w:line="219" w:lineRule="auto"/>
              <w:ind w:left="109"/>
            </w:pPr>
            <w:r>
              <w:rPr>
                <w:spacing w:val="-2"/>
              </w:rPr>
              <w:t>HJ455</w:t>
            </w:r>
            <w:r>
              <w:rPr>
                <w:spacing w:val="-25"/>
              </w:rPr>
              <w:t xml:space="preserve"> </w:t>
            </w:r>
            <w:r>
              <w:rPr>
                <w:spacing w:val="-2"/>
              </w:rPr>
              <w:t>防水卷材</w:t>
            </w:r>
          </w:p>
        </w:tc>
      </w:tr>
      <w:tr w14:paraId="09FB8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restart"/>
            <w:tcBorders>
              <w:bottom w:val="nil"/>
            </w:tcBorders>
            <w:vAlign w:val="top"/>
          </w:tcPr>
          <w:p w14:paraId="4E29A8C3">
            <w:pPr>
              <w:pStyle w:val="257"/>
              <w:spacing w:before="67"/>
              <w:ind w:left="114"/>
            </w:pPr>
            <w:r>
              <w:rPr>
                <w:spacing w:val="-3"/>
              </w:rPr>
              <w:t>40</w:t>
            </w:r>
          </w:p>
        </w:tc>
        <w:tc>
          <w:tcPr>
            <w:tcW w:w="1542" w:type="dxa"/>
            <w:vMerge w:val="restart"/>
            <w:tcBorders>
              <w:bottom w:val="nil"/>
            </w:tcBorders>
            <w:vAlign w:val="top"/>
          </w:tcPr>
          <w:p w14:paraId="5FD779D4">
            <w:pPr>
              <w:pStyle w:val="257"/>
              <w:spacing w:before="66" w:line="322" w:lineRule="auto"/>
              <w:ind w:left="106" w:right="106" w:hanging="4"/>
              <w:jc w:val="both"/>
            </w:pPr>
            <w:r>
              <w:rPr>
                <w:spacing w:val="-8"/>
              </w:rPr>
              <w:t>A100310</w:t>
            </w:r>
            <w:r>
              <w:rPr>
                <w:spacing w:val="-25"/>
              </w:rPr>
              <w:t xml:space="preserve"> </w:t>
            </w:r>
            <w:r>
              <w:rPr>
                <w:spacing w:val="-8"/>
              </w:rPr>
              <w:t>隔热、隔</w:t>
            </w:r>
            <w:r>
              <w:t xml:space="preserve"> </w:t>
            </w:r>
            <w:r>
              <w:rPr>
                <w:spacing w:val="9"/>
              </w:rPr>
              <w:t>音人造矿物材料</w:t>
            </w:r>
            <w:r>
              <w:t xml:space="preserve"> </w:t>
            </w:r>
            <w:r>
              <w:rPr>
                <w:spacing w:val="-2"/>
              </w:rPr>
              <w:t>及其制品</w:t>
            </w:r>
          </w:p>
        </w:tc>
        <w:tc>
          <w:tcPr>
            <w:tcW w:w="2672" w:type="dxa"/>
            <w:vAlign w:val="top"/>
          </w:tcPr>
          <w:p w14:paraId="468631AB">
            <w:pPr>
              <w:pStyle w:val="257"/>
              <w:spacing w:before="68" w:line="282" w:lineRule="auto"/>
              <w:ind w:left="108" w:right="107" w:hanging="5"/>
            </w:pPr>
            <w:r>
              <w:rPr>
                <w:spacing w:val="6"/>
              </w:rPr>
              <w:t>A10031001 矿物绝热和吸声材</w:t>
            </w:r>
            <w:r>
              <w:rPr>
                <w:spacing w:val="7"/>
              </w:rPr>
              <w:t xml:space="preserve"> </w:t>
            </w:r>
            <w:r>
              <w:t>料</w:t>
            </w:r>
          </w:p>
        </w:tc>
        <w:tc>
          <w:tcPr>
            <w:tcW w:w="2248" w:type="dxa"/>
            <w:vAlign w:val="top"/>
          </w:tcPr>
          <w:p w14:paraId="3DCB54C4">
            <w:pPr>
              <w:rPr>
                <w:rFonts w:ascii="Arial"/>
                <w:sz w:val="21"/>
              </w:rPr>
            </w:pPr>
          </w:p>
        </w:tc>
        <w:tc>
          <w:tcPr>
            <w:tcW w:w="2392" w:type="dxa"/>
            <w:vAlign w:val="top"/>
          </w:tcPr>
          <w:p w14:paraId="555281C6">
            <w:pPr>
              <w:pStyle w:val="257"/>
              <w:spacing w:before="67" w:line="219" w:lineRule="auto"/>
              <w:ind w:left="109"/>
            </w:pPr>
            <w:r>
              <w:rPr>
                <w:spacing w:val="-1"/>
              </w:rPr>
              <w:t>HJ/T223</w:t>
            </w:r>
            <w:r>
              <w:rPr>
                <w:spacing w:val="-33"/>
              </w:rPr>
              <w:t xml:space="preserve"> </w:t>
            </w:r>
            <w:r>
              <w:rPr>
                <w:spacing w:val="-1"/>
              </w:rPr>
              <w:t>轻质墙体板材</w:t>
            </w:r>
          </w:p>
        </w:tc>
      </w:tr>
      <w:tr w14:paraId="204D2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4506CB00">
            <w:pPr>
              <w:rPr>
                <w:rFonts w:ascii="Arial"/>
                <w:sz w:val="21"/>
              </w:rPr>
            </w:pPr>
          </w:p>
        </w:tc>
        <w:tc>
          <w:tcPr>
            <w:tcW w:w="1542" w:type="dxa"/>
            <w:vMerge w:val="continue"/>
            <w:tcBorders>
              <w:top w:val="nil"/>
            </w:tcBorders>
            <w:vAlign w:val="top"/>
          </w:tcPr>
          <w:p w14:paraId="0BFE09A1">
            <w:pPr>
              <w:rPr>
                <w:rFonts w:ascii="Arial"/>
                <w:sz w:val="21"/>
              </w:rPr>
            </w:pPr>
          </w:p>
        </w:tc>
        <w:tc>
          <w:tcPr>
            <w:tcW w:w="2672" w:type="dxa"/>
            <w:vAlign w:val="top"/>
          </w:tcPr>
          <w:p w14:paraId="12B704B3">
            <w:pPr>
              <w:pStyle w:val="257"/>
              <w:spacing w:before="68" w:line="219" w:lineRule="auto"/>
              <w:ind w:left="103"/>
            </w:pPr>
            <w:r>
              <w:rPr>
                <w:spacing w:val="-1"/>
              </w:rPr>
              <w:t>A10031002</w:t>
            </w:r>
            <w:r>
              <w:rPr>
                <w:spacing w:val="-30"/>
              </w:rPr>
              <w:t xml:space="preserve"> </w:t>
            </w:r>
            <w:r>
              <w:rPr>
                <w:spacing w:val="-1"/>
              </w:rPr>
              <w:t>矿物材料制品</w:t>
            </w:r>
          </w:p>
        </w:tc>
        <w:tc>
          <w:tcPr>
            <w:tcW w:w="2248" w:type="dxa"/>
            <w:vAlign w:val="top"/>
          </w:tcPr>
          <w:p w14:paraId="6D93CCD9">
            <w:pPr>
              <w:rPr>
                <w:rFonts w:ascii="Arial"/>
                <w:sz w:val="21"/>
              </w:rPr>
            </w:pPr>
          </w:p>
        </w:tc>
        <w:tc>
          <w:tcPr>
            <w:tcW w:w="2392" w:type="dxa"/>
            <w:vAlign w:val="top"/>
          </w:tcPr>
          <w:p w14:paraId="5BBF2B41">
            <w:pPr>
              <w:pStyle w:val="257"/>
              <w:spacing w:before="67" w:line="219" w:lineRule="auto"/>
              <w:ind w:left="109"/>
            </w:pPr>
            <w:r>
              <w:rPr>
                <w:spacing w:val="-1"/>
              </w:rPr>
              <w:t>HJ/T223</w:t>
            </w:r>
            <w:r>
              <w:rPr>
                <w:spacing w:val="-33"/>
              </w:rPr>
              <w:t xml:space="preserve"> </w:t>
            </w:r>
            <w:r>
              <w:rPr>
                <w:spacing w:val="-1"/>
              </w:rPr>
              <w:t>轻质墙体板材</w:t>
            </w:r>
          </w:p>
        </w:tc>
      </w:tr>
      <w:tr w14:paraId="300A5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bottom w:val="single" w:color="auto" w:sz="4" w:space="0"/>
            </w:tcBorders>
            <w:vAlign w:val="top"/>
          </w:tcPr>
          <w:p w14:paraId="4B814E34">
            <w:pPr>
              <w:pStyle w:val="257"/>
              <w:spacing w:before="67" w:line="242" w:lineRule="auto"/>
              <w:ind w:left="114"/>
            </w:pPr>
            <w:r>
              <w:rPr>
                <w:spacing w:val="-3"/>
              </w:rPr>
              <w:t>41</w:t>
            </w:r>
          </w:p>
        </w:tc>
        <w:tc>
          <w:tcPr>
            <w:tcW w:w="1542" w:type="dxa"/>
            <w:tcBorders>
              <w:bottom w:val="single" w:color="auto" w:sz="4" w:space="0"/>
            </w:tcBorders>
            <w:vAlign w:val="top"/>
          </w:tcPr>
          <w:p w14:paraId="183DF2DF">
            <w:pPr>
              <w:pStyle w:val="257"/>
              <w:spacing w:before="68" w:line="282" w:lineRule="auto"/>
              <w:ind w:left="109" w:right="108" w:hanging="7"/>
            </w:pPr>
            <w:r>
              <w:rPr>
                <w:spacing w:val="3"/>
              </w:rPr>
              <w:t>A100601</w:t>
            </w:r>
            <w:r>
              <w:rPr>
                <w:spacing w:val="34"/>
              </w:rPr>
              <w:t xml:space="preserve"> </w:t>
            </w:r>
            <w:r>
              <w:rPr>
                <w:spacing w:val="3"/>
              </w:rPr>
              <w:t>功能性</w:t>
            </w:r>
            <w:r>
              <w:t xml:space="preserve"> </w:t>
            </w:r>
            <w:r>
              <w:rPr>
                <w:spacing w:val="-2"/>
              </w:rPr>
              <w:t>建筑涂料</w:t>
            </w:r>
          </w:p>
        </w:tc>
        <w:tc>
          <w:tcPr>
            <w:tcW w:w="2672" w:type="dxa"/>
            <w:tcBorders>
              <w:bottom w:val="single" w:color="auto" w:sz="4" w:space="0"/>
            </w:tcBorders>
            <w:vAlign w:val="top"/>
          </w:tcPr>
          <w:p w14:paraId="34BCC6D5">
            <w:pPr>
              <w:rPr>
                <w:rFonts w:ascii="Arial"/>
                <w:sz w:val="21"/>
              </w:rPr>
            </w:pPr>
          </w:p>
        </w:tc>
        <w:tc>
          <w:tcPr>
            <w:tcW w:w="2248" w:type="dxa"/>
            <w:tcBorders>
              <w:bottom w:val="single" w:color="auto" w:sz="4" w:space="0"/>
            </w:tcBorders>
            <w:vAlign w:val="top"/>
          </w:tcPr>
          <w:p w14:paraId="1681F88E">
            <w:pPr>
              <w:rPr>
                <w:rFonts w:ascii="Arial"/>
                <w:sz w:val="21"/>
              </w:rPr>
            </w:pPr>
          </w:p>
        </w:tc>
        <w:tc>
          <w:tcPr>
            <w:tcW w:w="2392" w:type="dxa"/>
            <w:vAlign w:val="top"/>
          </w:tcPr>
          <w:p w14:paraId="3B8744EF">
            <w:pPr>
              <w:pStyle w:val="257"/>
              <w:spacing w:before="67" w:line="219" w:lineRule="auto"/>
              <w:ind w:left="109"/>
            </w:pPr>
            <w:r>
              <w:rPr>
                <w:spacing w:val="-1"/>
              </w:rPr>
              <w:t>HJ2537</w:t>
            </w:r>
            <w:r>
              <w:rPr>
                <w:spacing w:val="-34"/>
              </w:rPr>
              <w:t xml:space="preserve"> </w:t>
            </w:r>
            <w:r>
              <w:rPr>
                <w:spacing w:val="-1"/>
              </w:rPr>
              <w:t>水性涂料</w:t>
            </w:r>
          </w:p>
        </w:tc>
      </w:tr>
      <w:tr w14:paraId="4C244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tcBorders>
              <w:top w:val="single" w:color="auto" w:sz="4" w:space="0"/>
              <w:left w:val="single" w:color="auto" w:sz="4" w:space="0"/>
              <w:bottom w:val="single" w:color="auto" w:sz="4" w:space="0"/>
              <w:right w:val="single" w:color="auto" w:sz="4" w:space="0"/>
            </w:tcBorders>
            <w:vAlign w:val="top"/>
          </w:tcPr>
          <w:p w14:paraId="33954CF3">
            <w:pPr>
              <w:pStyle w:val="257"/>
              <w:spacing w:before="68" w:line="242" w:lineRule="auto"/>
              <w:ind w:left="114"/>
            </w:pPr>
            <w:r>
              <w:rPr>
                <w:spacing w:val="-3"/>
              </w:rPr>
              <w:t>42</w:t>
            </w:r>
          </w:p>
        </w:tc>
        <w:tc>
          <w:tcPr>
            <w:tcW w:w="1542" w:type="dxa"/>
            <w:tcBorders>
              <w:top w:val="single" w:color="auto" w:sz="4" w:space="0"/>
              <w:left w:val="single" w:color="auto" w:sz="4" w:space="0"/>
              <w:bottom w:val="single" w:color="auto" w:sz="4" w:space="0"/>
              <w:right w:val="single" w:color="auto" w:sz="4" w:space="0"/>
            </w:tcBorders>
            <w:vAlign w:val="top"/>
          </w:tcPr>
          <w:p w14:paraId="2F647228">
            <w:pPr>
              <w:pStyle w:val="257"/>
              <w:spacing w:before="69" w:line="284" w:lineRule="auto"/>
              <w:ind w:left="109" w:right="106" w:firstLine="84"/>
            </w:pPr>
            <w:r>
              <w:rPr>
                <w:spacing w:val="-1"/>
              </w:rPr>
              <w:t>A100399</w:t>
            </w:r>
            <w:r>
              <w:rPr>
                <w:spacing w:val="-15"/>
              </w:rPr>
              <w:t xml:space="preserve"> </w:t>
            </w:r>
            <w:r>
              <w:rPr>
                <w:spacing w:val="-1"/>
              </w:rPr>
              <w:t>其他非</w:t>
            </w:r>
            <w:r>
              <w:rPr>
                <w:spacing w:val="-2"/>
              </w:rPr>
              <w:t>金属矿物制品</w:t>
            </w:r>
          </w:p>
        </w:tc>
        <w:tc>
          <w:tcPr>
            <w:tcW w:w="2672" w:type="dxa"/>
            <w:tcBorders>
              <w:top w:val="single" w:color="auto" w:sz="4" w:space="0"/>
              <w:left w:val="single" w:color="auto" w:sz="4" w:space="0"/>
              <w:bottom w:val="single" w:color="auto" w:sz="4" w:space="0"/>
              <w:right w:val="single" w:color="auto" w:sz="4" w:space="0"/>
            </w:tcBorders>
            <w:vAlign w:val="top"/>
          </w:tcPr>
          <w:p w14:paraId="79B5FD95">
            <w:pPr>
              <w:pStyle w:val="257"/>
              <w:spacing w:before="68" w:line="219" w:lineRule="auto"/>
              <w:ind w:left="103"/>
            </w:pPr>
            <w:r>
              <w:rPr>
                <w:spacing w:val="-1"/>
              </w:rPr>
              <w:t>A10039901</w:t>
            </w:r>
            <w:r>
              <w:rPr>
                <w:spacing w:val="-45"/>
              </w:rPr>
              <w:t xml:space="preserve"> </w:t>
            </w:r>
            <w:r>
              <w:rPr>
                <w:spacing w:val="-1"/>
              </w:rPr>
              <w:t>其他非金属建筑材料</w:t>
            </w:r>
          </w:p>
        </w:tc>
        <w:tc>
          <w:tcPr>
            <w:tcW w:w="2248" w:type="dxa"/>
            <w:tcBorders>
              <w:top w:val="single" w:color="auto" w:sz="4" w:space="0"/>
              <w:left w:val="single" w:color="auto" w:sz="4" w:space="0"/>
              <w:bottom w:val="single" w:color="auto" w:sz="4" w:space="0"/>
              <w:right w:val="single" w:color="auto" w:sz="4" w:space="0"/>
            </w:tcBorders>
            <w:vAlign w:val="top"/>
          </w:tcPr>
          <w:p w14:paraId="183E04E1">
            <w:pPr>
              <w:rPr>
                <w:rFonts w:ascii="Arial"/>
                <w:sz w:val="21"/>
              </w:rPr>
            </w:pPr>
          </w:p>
        </w:tc>
        <w:tc>
          <w:tcPr>
            <w:tcW w:w="2392" w:type="dxa"/>
            <w:tcBorders>
              <w:left w:val="single" w:color="auto" w:sz="4" w:space="0"/>
            </w:tcBorders>
            <w:vAlign w:val="top"/>
          </w:tcPr>
          <w:p w14:paraId="7B485066">
            <w:pPr>
              <w:pStyle w:val="257"/>
              <w:spacing w:before="68" w:line="219" w:lineRule="auto"/>
              <w:ind w:left="109"/>
            </w:pPr>
            <w:r>
              <w:rPr>
                <w:spacing w:val="-2"/>
              </w:rPr>
              <w:t>HJ456</w:t>
            </w:r>
            <w:r>
              <w:rPr>
                <w:spacing w:val="-23"/>
              </w:rPr>
              <w:t xml:space="preserve"> </w:t>
            </w:r>
            <w:r>
              <w:rPr>
                <w:spacing w:val="-2"/>
              </w:rPr>
              <w:t>刚性防水材料</w:t>
            </w:r>
          </w:p>
        </w:tc>
      </w:tr>
      <w:tr w14:paraId="3FF8E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10207C1A">
            <w:pPr>
              <w:pStyle w:val="257"/>
              <w:spacing w:before="68"/>
              <w:ind w:left="114"/>
            </w:pPr>
            <w:r>
              <w:rPr>
                <w:spacing w:val="-3"/>
              </w:rPr>
              <w:t>43</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5EB07ED6">
            <w:pPr>
              <w:pStyle w:val="257"/>
              <w:spacing w:before="67" w:line="323" w:lineRule="auto"/>
              <w:ind w:left="107" w:right="108" w:hanging="5"/>
            </w:pPr>
            <w:r>
              <w:rPr>
                <w:spacing w:val="3"/>
              </w:rPr>
              <w:t>A100602</w:t>
            </w:r>
            <w:r>
              <w:rPr>
                <w:spacing w:val="34"/>
              </w:rPr>
              <w:t xml:space="preserve"> </w:t>
            </w:r>
            <w:r>
              <w:rPr>
                <w:spacing w:val="3"/>
              </w:rPr>
              <w:t>墙面涂</w:t>
            </w:r>
            <w:r>
              <w:t xml:space="preserve"> 料</w:t>
            </w:r>
          </w:p>
        </w:tc>
        <w:tc>
          <w:tcPr>
            <w:tcW w:w="2672" w:type="dxa"/>
            <w:tcBorders>
              <w:top w:val="single" w:color="auto" w:sz="4" w:space="0"/>
              <w:left w:val="single" w:color="auto" w:sz="4" w:space="0"/>
              <w:bottom w:val="single" w:color="auto" w:sz="4" w:space="0"/>
              <w:right w:val="single" w:color="auto" w:sz="4" w:space="0"/>
            </w:tcBorders>
            <w:vAlign w:val="top"/>
          </w:tcPr>
          <w:p w14:paraId="30381269">
            <w:pPr>
              <w:pStyle w:val="257"/>
              <w:spacing w:before="69" w:line="284" w:lineRule="auto"/>
              <w:ind w:left="108" w:right="107" w:hanging="5"/>
            </w:pPr>
            <w:r>
              <w:rPr>
                <w:spacing w:val="-1"/>
              </w:rPr>
              <w:t>A10060202</w:t>
            </w:r>
            <w:r>
              <w:rPr>
                <w:spacing w:val="-47"/>
              </w:rPr>
              <w:t xml:space="preserve"> </w:t>
            </w:r>
            <w:r>
              <w:rPr>
                <w:spacing w:val="-1"/>
              </w:rPr>
              <w:t>合成树脂乳液内墙涂</w:t>
            </w:r>
            <w:r>
              <w:t xml:space="preserve"> 料</w:t>
            </w:r>
          </w:p>
        </w:tc>
        <w:tc>
          <w:tcPr>
            <w:tcW w:w="2248" w:type="dxa"/>
            <w:tcBorders>
              <w:top w:val="single" w:color="auto" w:sz="4" w:space="0"/>
              <w:left w:val="single" w:color="auto" w:sz="4" w:space="0"/>
              <w:bottom w:val="single" w:color="auto" w:sz="4" w:space="0"/>
              <w:right w:val="single" w:color="auto" w:sz="4" w:space="0"/>
            </w:tcBorders>
            <w:vAlign w:val="top"/>
          </w:tcPr>
          <w:p w14:paraId="72A47172">
            <w:pPr>
              <w:rPr>
                <w:rFonts w:ascii="Arial"/>
                <w:sz w:val="21"/>
              </w:rPr>
            </w:pPr>
          </w:p>
        </w:tc>
        <w:tc>
          <w:tcPr>
            <w:tcW w:w="2392" w:type="dxa"/>
            <w:tcBorders>
              <w:left w:val="single" w:color="auto" w:sz="4" w:space="0"/>
            </w:tcBorders>
            <w:vAlign w:val="top"/>
          </w:tcPr>
          <w:p w14:paraId="563BAD7D">
            <w:pPr>
              <w:pStyle w:val="257"/>
              <w:spacing w:before="67" w:line="219" w:lineRule="auto"/>
              <w:ind w:left="109"/>
            </w:pPr>
            <w:r>
              <w:rPr>
                <w:spacing w:val="-1"/>
              </w:rPr>
              <w:t>HJ2537</w:t>
            </w:r>
            <w:r>
              <w:rPr>
                <w:spacing w:val="-34"/>
              </w:rPr>
              <w:t xml:space="preserve"> </w:t>
            </w:r>
            <w:r>
              <w:rPr>
                <w:spacing w:val="-1"/>
              </w:rPr>
              <w:t>水性涂料</w:t>
            </w:r>
          </w:p>
        </w:tc>
      </w:tr>
      <w:tr w14:paraId="316C0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4D66BD2A">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A52635C">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49AAA4F8">
            <w:pPr>
              <w:pStyle w:val="257"/>
              <w:spacing w:before="64" w:line="284" w:lineRule="auto"/>
              <w:ind w:left="108" w:right="107" w:hanging="5"/>
            </w:pPr>
            <w:r>
              <w:rPr>
                <w:spacing w:val="-1"/>
              </w:rPr>
              <w:t>A10060203</w:t>
            </w:r>
            <w:r>
              <w:rPr>
                <w:spacing w:val="-47"/>
              </w:rPr>
              <w:t xml:space="preserve"> </w:t>
            </w:r>
            <w:r>
              <w:rPr>
                <w:spacing w:val="-1"/>
              </w:rPr>
              <w:t>合成树脂乳液外墙涂</w:t>
            </w:r>
            <w:r>
              <w:t xml:space="preserve"> 料</w:t>
            </w:r>
          </w:p>
        </w:tc>
        <w:tc>
          <w:tcPr>
            <w:tcW w:w="2248" w:type="dxa"/>
            <w:tcBorders>
              <w:top w:val="single" w:color="auto" w:sz="4" w:space="0"/>
              <w:left w:val="single" w:color="auto" w:sz="4" w:space="0"/>
              <w:bottom w:val="single" w:color="auto" w:sz="4" w:space="0"/>
              <w:right w:val="single" w:color="auto" w:sz="4" w:space="0"/>
            </w:tcBorders>
            <w:vAlign w:val="top"/>
          </w:tcPr>
          <w:p w14:paraId="78CE74D6">
            <w:pPr>
              <w:rPr>
                <w:rFonts w:ascii="Arial"/>
                <w:sz w:val="21"/>
              </w:rPr>
            </w:pPr>
          </w:p>
        </w:tc>
        <w:tc>
          <w:tcPr>
            <w:tcW w:w="2392" w:type="dxa"/>
            <w:tcBorders>
              <w:left w:val="single" w:color="auto" w:sz="4" w:space="0"/>
            </w:tcBorders>
            <w:vAlign w:val="top"/>
          </w:tcPr>
          <w:p w14:paraId="6D61436D">
            <w:pPr>
              <w:pStyle w:val="257"/>
              <w:spacing w:before="63" w:line="219" w:lineRule="auto"/>
              <w:ind w:left="109"/>
            </w:pPr>
            <w:r>
              <w:rPr>
                <w:spacing w:val="-1"/>
              </w:rPr>
              <w:t>HJ2537</w:t>
            </w:r>
            <w:r>
              <w:rPr>
                <w:spacing w:val="-34"/>
              </w:rPr>
              <w:t xml:space="preserve"> </w:t>
            </w:r>
            <w:r>
              <w:rPr>
                <w:spacing w:val="-1"/>
              </w:rPr>
              <w:t>水性涂料</w:t>
            </w:r>
          </w:p>
        </w:tc>
      </w:tr>
      <w:tr w14:paraId="0F262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10101A8D">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0AAD2186">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4DF487A8">
            <w:pPr>
              <w:pStyle w:val="257"/>
              <w:spacing w:before="64" w:line="221" w:lineRule="auto"/>
              <w:ind w:left="103"/>
            </w:pPr>
            <w:r>
              <w:rPr>
                <w:spacing w:val="-1"/>
              </w:rPr>
              <w:t>A10060299</w:t>
            </w:r>
            <w:r>
              <w:rPr>
                <w:spacing w:val="-30"/>
              </w:rPr>
              <w:t xml:space="preserve"> </w:t>
            </w:r>
            <w:r>
              <w:rPr>
                <w:spacing w:val="-1"/>
              </w:rPr>
              <w:t>其他墙面涂料</w:t>
            </w:r>
          </w:p>
        </w:tc>
        <w:tc>
          <w:tcPr>
            <w:tcW w:w="2248" w:type="dxa"/>
            <w:tcBorders>
              <w:top w:val="single" w:color="auto" w:sz="4" w:space="0"/>
              <w:left w:val="single" w:color="auto" w:sz="4" w:space="0"/>
              <w:bottom w:val="single" w:color="auto" w:sz="4" w:space="0"/>
              <w:right w:val="single" w:color="auto" w:sz="4" w:space="0"/>
            </w:tcBorders>
            <w:vAlign w:val="top"/>
          </w:tcPr>
          <w:p w14:paraId="64F1E019">
            <w:pPr>
              <w:rPr>
                <w:rFonts w:ascii="Arial"/>
                <w:sz w:val="21"/>
              </w:rPr>
            </w:pPr>
          </w:p>
        </w:tc>
        <w:tc>
          <w:tcPr>
            <w:tcW w:w="2392" w:type="dxa"/>
            <w:tcBorders>
              <w:left w:val="single" w:color="auto" w:sz="4" w:space="0"/>
            </w:tcBorders>
            <w:vAlign w:val="top"/>
          </w:tcPr>
          <w:p w14:paraId="426BA902">
            <w:pPr>
              <w:pStyle w:val="257"/>
              <w:spacing w:before="64" w:line="219" w:lineRule="auto"/>
              <w:ind w:left="109"/>
            </w:pPr>
            <w:r>
              <w:rPr>
                <w:spacing w:val="-1"/>
              </w:rPr>
              <w:t>HJ2537</w:t>
            </w:r>
            <w:r>
              <w:rPr>
                <w:spacing w:val="-34"/>
              </w:rPr>
              <w:t xml:space="preserve"> </w:t>
            </w:r>
            <w:r>
              <w:rPr>
                <w:spacing w:val="-1"/>
              </w:rPr>
              <w:t>水性涂料</w:t>
            </w:r>
          </w:p>
        </w:tc>
      </w:tr>
      <w:tr w14:paraId="768D3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top w:val="single" w:color="auto" w:sz="4" w:space="0"/>
            </w:tcBorders>
            <w:vAlign w:val="top"/>
          </w:tcPr>
          <w:p w14:paraId="7EB7582E">
            <w:pPr>
              <w:pStyle w:val="257"/>
              <w:spacing w:before="65" w:line="242" w:lineRule="auto"/>
              <w:ind w:left="114"/>
            </w:pPr>
            <w:r>
              <w:rPr>
                <w:spacing w:val="-3"/>
              </w:rPr>
              <w:t>44</w:t>
            </w:r>
          </w:p>
        </w:tc>
        <w:tc>
          <w:tcPr>
            <w:tcW w:w="1542" w:type="dxa"/>
            <w:tcBorders>
              <w:top w:val="single" w:color="auto" w:sz="4" w:space="0"/>
            </w:tcBorders>
            <w:vAlign w:val="top"/>
          </w:tcPr>
          <w:p w14:paraId="7481B57C">
            <w:pPr>
              <w:pStyle w:val="257"/>
              <w:spacing w:before="66" w:line="283" w:lineRule="auto"/>
              <w:ind w:left="107" w:right="108" w:hanging="5"/>
            </w:pPr>
            <w:r>
              <w:rPr>
                <w:spacing w:val="2"/>
              </w:rPr>
              <w:t>A100604</w:t>
            </w:r>
            <w:r>
              <w:rPr>
                <w:spacing w:val="44"/>
              </w:rPr>
              <w:t xml:space="preserve"> </w:t>
            </w:r>
            <w:r>
              <w:rPr>
                <w:spacing w:val="2"/>
              </w:rPr>
              <w:t>防水涂</w:t>
            </w:r>
            <w:r>
              <w:t xml:space="preserve"> 料</w:t>
            </w:r>
          </w:p>
        </w:tc>
        <w:tc>
          <w:tcPr>
            <w:tcW w:w="2672" w:type="dxa"/>
            <w:tcBorders>
              <w:top w:val="single" w:color="auto" w:sz="4" w:space="0"/>
            </w:tcBorders>
            <w:vAlign w:val="top"/>
          </w:tcPr>
          <w:p w14:paraId="535DF1A2">
            <w:pPr>
              <w:pStyle w:val="257"/>
              <w:spacing w:before="65" w:line="220" w:lineRule="auto"/>
              <w:ind w:left="103"/>
            </w:pPr>
            <w:r>
              <w:rPr>
                <w:spacing w:val="-1"/>
              </w:rPr>
              <w:t>A10060499</w:t>
            </w:r>
            <w:r>
              <w:rPr>
                <w:spacing w:val="-30"/>
              </w:rPr>
              <w:t xml:space="preserve"> </w:t>
            </w:r>
            <w:r>
              <w:rPr>
                <w:spacing w:val="-1"/>
              </w:rPr>
              <w:t>其他防水涂料</w:t>
            </w:r>
          </w:p>
        </w:tc>
        <w:tc>
          <w:tcPr>
            <w:tcW w:w="2248" w:type="dxa"/>
            <w:tcBorders>
              <w:top w:val="single" w:color="auto" w:sz="4" w:space="0"/>
            </w:tcBorders>
            <w:vAlign w:val="top"/>
          </w:tcPr>
          <w:p w14:paraId="1855E2A6">
            <w:pPr>
              <w:rPr>
                <w:rFonts w:ascii="Arial"/>
                <w:sz w:val="21"/>
              </w:rPr>
            </w:pPr>
          </w:p>
        </w:tc>
        <w:tc>
          <w:tcPr>
            <w:tcW w:w="2392" w:type="dxa"/>
            <w:vAlign w:val="top"/>
          </w:tcPr>
          <w:p w14:paraId="1C6CE9A5">
            <w:pPr>
              <w:pStyle w:val="257"/>
              <w:spacing w:before="65" w:line="219" w:lineRule="auto"/>
              <w:ind w:left="109"/>
            </w:pPr>
            <w:r>
              <w:rPr>
                <w:spacing w:val="-1"/>
              </w:rPr>
              <w:t>HJ2537</w:t>
            </w:r>
            <w:r>
              <w:rPr>
                <w:spacing w:val="-34"/>
              </w:rPr>
              <w:t xml:space="preserve"> </w:t>
            </w:r>
            <w:r>
              <w:rPr>
                <w:spacing w:val="-1"/>
              </w:rPr>
              <w:t>水性涂料</w:t>
            </w:r>
          </w:p>
        </w:tc>
      </w:tr>
      <w:tr w14:paraId="632B5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743A4B4D">
            <w:pPr>
              <w:pStyle w:val="257"/>
              <w:spacing w:before="66"/>
              <w:ind w:left="114"/>
            </w:pPr>
            <w:r>
              <w:rPr>
                <w:spacing w:val="-3"/>
              </w:rPr>
              <w:t>45</w:t>
            </w:r>
          </w:p>
        </w:tc>
        <w:tc>
          <w:tcPr>
            <w:tcW w:w="1542" w:type="dxa"/>
            <w:vAlign w:val="top"/>
          </w:tcPr>
          <w:p w14:paraId="35C9BC36">
            <w:pPr>
              <w:pStyle w:val="257"/>
              <w:spacing w:before="66" w:line="283" w:lineRule="auto"/>
              <w:ind w:left="109" w:right="108" w:hanging="7"/>
            </w:pPr>
            <w:r>
              <w:rPr>
                <w:spacing w:val="3"/>
              </w:rPr>
              <w:t>A100699</w:t>
            </w:r>
            <w:r>
              <w:rPr>
                <w:spacing w:val="34"/>
              </w:rPr>
              <w:t xml:space="preserve"> </w:t>
            </w:r>
            <w:r>
              <w:rPr>
                <w:spacing w:val="3"/>
              </w:rPr>
              <w:t>其他建</w:t>
            </w:r>
            <w:r>
              <w:t xml:space="preserve"> </w:t>
            </w:r>
            <w:r>
              <w:rPr>
                <w:spacing w:val="-2"/>
              </w:rPr>
              <w:t>筑涂料</w:t>
            </w:r>
          </w:p>
        </w:tc>
        <w:tc>
          <w:tcPr>
            <w:tcW w:w="2672" w:type="dxa"/>
            <w:vAlign w:val="top"/>
          </w:tcPr>
          <w:p w14:paraId="23D38720">
            <w:pPr>
              <w:rPr>
                <w:rFonts w:ascii="Arial"/>
                <w:sz w:val="21"/>
              </w:rPr>
            </w:pPr>
          </w:p>
        </w:tc>
        <w:tc>
          <w:tcPr>
            <w:tcW w:w="2248" w:type="dxa"/>
            <w:vAlign w:val="top"/>
          </w:tcPr>
          <w:p w14:paraId="0B70DE25">
            <w:pPr>
              <w:rPr>
                <w:rFonts w:ascii="Arial"/>
                <w:sz w:val="21"/>
              </w:rPr>
            </w:pPr>
          </w:p>
        </w:tc>
        <w:tc>
          <w:tcPr>
            <w:tcW w:w="2392" w:type="dxa"/>
            <w:vAlign w:val="top"/>
          </w:tcPr>
          <w:p w14:paraId="660F1672">
            <w:pPr>
              <w:pStyle w:val="257"/>
              <w:spacing w:before="65" w:line="219" w:lineRule="auto"/>
              <w:ind w:left="109"/>
            </w:pPr>
            <w:r>
              <w:rPr>
                <w:spacing w:val="-1"/>
              </w:rPr>
              <w:t>HJ2537</w:t>
            </w:r>
            <w:r>
              <w:rPr>
                <w:spacing w:val="-34"/>
              </w:rPr>
              <w:t xml:space="preserve"> </w:t>
            </w:r>
            <w:r>
              <w:rPr>
                <w:spacing w:val="-1"/>
              </w:rPr>
              <w:t>水性涂料</w:t>
            </w:r>
          </w:p>
        </w:tc>
      </w:tr>
      <w:tr w14:paraId="38319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83" w:type="dxa"/>
            <w:vAlign w:val="top"/>
          </w:tcPr>
          <w:p w14:paraId="2F17EFB4">
            <w:pPr>
              <w:pStyle w:val="257"/>
              <w:spacing w:before="66"/>
              <w:ind w:left="114"/>
            </w:pPr>
            <w:r>
              <w:rPr>
                <w:spacing w:val="-3"/>
              </w:rPr>
              <w:t>46</w:t>
            </w:r>
          </w:p>
        </w:tc>
        <w:tc>
          <w:tcPr>
            <w:tcW w:w="1542" w:type="dxa"/>
            <w:vAlign w:val="top"/>
          </w:tcPr>
          <w:p w14:paraId="3F904A96">
            <w:pPr>
              <w:pStyle w:val="257"/>
              <w:spacing w:before="66" w:line="222" w:lineRule="auto"/>
              <w:ind w:left="102"/>
            </w:pPr>
            <w:r>
              <w:rPr>
                <w:spacing w:val="-8"/>
              </w:rPr>
              <w:t>A100701</w:t>
            </w:r>
            <w:r>
              <w:rPr>
                <w:spacing w:val="-12"/>
              </w:rPr>
              <w:t xml:space="preserve"> </w:t>
            </w:r>
            <w:r>
              <w:rPr>
                <w:spacing w:val="-8"/>
              </w:rPr>
              <w:t>门、门槛</w:t>
            </w:r>
          </w:p>
        </w:tc>
        <w:tc>
          <w:tcPr>
            <w:tcW w:w="2672" w:type="dxa"/>
            <w:vAlign w:val="top"/>
          </w:tcPr>
          <w:p w14:paraId="27EBC322">
            <w:pPr>
              <w:rPr>
                <w:rFonts w:ascii="Arial"/>
                <w:sz w:val="21"/>
              </w:rPr>
            </w:pPr>
          </w:p>
        </w:tc>
        <w:tc>
          <w:tcPr>
            <w:tcW w:w="2248" w:type="dxa"/>
            <w:vAlign w:val="top"/>
          </w:tcPr>
          <w:p w14:paraId="5BDA538E">
            <w:pPr>
              <w:rPr>
                <w:rFonts w:ascii="Arial"/>
                <w:sz w:val="21"/>
              </w:rPr>
            </w:pPr>
          </w:p>
        </w:tc>
        <w:tc>
          <w:tcPr>
            <w:tcW w:w="2392" w:type="dxa"/>
            <w:vAlign w:val="top"/>
          </w:tcPr>
          <w:p w14:paraId="2B02D3B7">
            <w:pPr>
              <w:pStyle w:val="257"/>
              <w:spacing w:before="66" w:line="219" w:lineRule="auto"/>
              <w:ind w:left="109"/>
            </w:pPr>
            <w:r>
              <w:rPr>
                <w:spacing w:val="-1"/>
              </w:rPr>
              <w:t>HJ/T 237</w:t>
            </w:r>
            <w:r>
              <w:rPr>
                <w:spacing w:val="-32"/>
              </w:rPr>
              <w:t xml:space="preserve"> </w:t>
            </w:r>
            <w:r>
              <w:rPr>
                <w:spacing w:val="-1"/>
              </w:rPr>
              <w:t>塑料门窗/HJ459</w:t>
            </w:r>
            <w:r>
              <w:rPr>
                <w:spacing w:val="-37"/>
              </w:rPr>
              <w:t xml:space="preserve"> </w:t>
            </w:r>
            <w:r>
              <w:rPr>
                <w:spacing w:val="-1"/>
              </w:rPr>
              <w:t>木</w:t>
            </w:r>
            <w:r>
              <w:rPr>
                <w:spacing w:val="-2"/>
              </w:rPr>
              <w:t>质门和钢质门</w:t>
            </w:r>
          </w:p>
        </w:tc>
      </w:tr>
      <w:tr w14:paraId="0C4D9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Align w:val="top"/>
          </w:tcPr>
          <w:p w14:paraId="26CEAE9B">
            <w:pPr>
              <w:pStyle w:val="257"/>
              <w:spacing w:before="66"/>
              <w:ind w:left="114"/>
            </w:pPr>
            <w:r>
              <w:rPr>
                <w:spacing w:val="-3"/>
              </w:rPr>
              <w:t>47</w:t>
            </w:r>
          </w:p>
        </w:tc>
        <w:tc>
          <w:tcPr>
            <w:tcW w:w="1542" w:type="dxa"/>
            <w:vAlign w:val="top"/>
          </w:tcPr>
          <w:p w14:paraId="790141B8">
            <w:pPr>
              <w:pStyle w:val="257"/>
              <w:spacing w:before="66" w:line="221" w:lineRule="auto"/>
              <w:ind w:left="102"/>
            </w:pPr>
            <w:r>
              <w:rPr>
                <w:spacing w:val="-1"/>
              </w:rPr>
              <w:t>A100702</w:t>
            </w:r>
            <w:r>
              <w:rPr>
                <w:spacing w:val="-24"/>
              </w:rPr>
              <w:t xml:space="preserve"> </w:t>
            </w:r>
            <w:r>
              <w:rPr>
                <w:spacing w:val="-1"/>
              </w:rPr>
              <w:t>窗</w:t>
            </w:r>
          </w:p>
        </w:tc>
        <w:tc>
          <w:tcPr>
            <w:tcW w:w="2672" w:type="dxa"/>
            <w:vAlign w:val="top"/>
          </w:tcPr>
          <w:p w14:paraId="5BB1A806">
            <w:pPr>
              <w:rPr>
                <w:rFonts w:ascii="Arial"/>
                <w:sz w:val="21"/>
              </w:rPr>
            </w:pPr>
          </w:p>
        </w:tc>
        <w:tc>
          <w:tcPr>
            <w:tcW w:w="2248" w:type="dxa"/>
            <w:vAlign w:val="top"/>
          </w:tcPr>
          <w:p w14:paraId="12F20AF9">
            <w:pPr>
              <w:rPr>
                <w:rFonts w:ascii="Arial"/>
                <w:sz w:val="21"/>
              </w:rPr>
            </w:pPr>
          </w:p>
        </w:tc>
        <w:tc>
          <w:tcPr>
            <w:tcW w:w="2392" w:type="dxa"/>
            <w:vAlign w:val="top"/>
          </w:tcPr>
          <w:p w14:paraId="5122D3D0">
            <w:pPr>
              <w:pStyle w:val="257"/>
              <w:spacing w:before="66" w:line="219" w:lineRule="auto"/>
              <w:ind w:left="109"/>
            </w:pPr>
            <w:r>
              <w:rPr>
                <w:spacing w:val="-1"/>
              </w:rPr>
              <w:t>HJ/T237</w:t>
            </w:r>
            <w:r>
              <w:rPr>
                <w:spacing w:val="-33"/>
              </w:rPr>
              <w:t xml:space="preserve"> </w:t>
            </w:r>
            <w:r>
              <w:rPr>
                <w:spacing w:val="-1"/>
              </w:rPr>
              <w:t>塑料门窗</w:t>
            </w:r>
          </w:p>
        </w:tc>
      </w:tr>
      <w:tr w14:paraId="684C0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583" w:type="dxa"/>
            <w:vAlign w:val="top"/>
          </w:tcPr>
          <w:p w14:paraId="0FB2F36E">
            <w:pPr>
              <w:pStyle w:val="257"/>
              <w:spacing w:before="69"/>
              <w:ind w:left="114"/>
            </w:pPr>
            <w:r>
              <w:rPr>
                <w:spacing w:val="-3"/>
              </w:rPr>
              <w:t>48</w:t>
            </w:r>
          </w:p>
        </w:tc>
        <w:tc>
          <w:tcPr>
            <w:tcW w:w="1542" w:type="dxa"/>
            <w:vAlign w:val="top"/>
          </w:tcPr>
          <w:p w14:paraId="36F78E55">
            <w:pPr>
              <w:pStyle w:val="257"/>
              <w:spacing w:before="70" w:line="282" w:lineRule="auto"/>
              <w:ind w:left="109" w:right="106" w:hanging="7"/>
            </w:pPr>
            <w:r>
              <w:rPr>
                <w:spacing w:val="-8"/>
              </w:rPr>
              <w:t>A170108</w:t>
            </w:r>
            <w:r>
              <w:rPr>
                <w:spacing w:val="-25"/>
              </w:rPr>
              <w:t xml:space="preserve"> </w:t>
            </w:r>
            <w:r>
              <w:rPr>
                <w:spacing w:val="-8"/>
              </w:rPr>
              <w:t>涂料（建</w:t>
            </w:r>
            <w:r>
              <w:t xml:space="preserve"> </w:t>
            </w:r>
            <w:r>
              <w:rPr>
                <w:spacing w:val="-2"/>
              </w:rPr>
              <w:t>筑涂料除外）</w:t>
            </w:r>
          </w:p>
        </w:tc>
        <w:tc>
          <w:tcPr>
            <w:tcW w:w="2672" w:type="dxa"/>
            <w:vAlign w:val="top"/>
          </w:tcPr>
          <w:p w14:paraId="0E6B6EAA">
            <w:pPr>
              <w:rPr>
                <w:rFonts w:ascii="Arial"/>
                <w:sz w:val="21"/>
              </w:rPr>
            </w:pPr>
          </w:p>
        </w:tc>
        <w:tc>
          <w:tcPr>
            <w:tcW w:w="2248" w:type="dxa"/>
            <w:vAlign w:val="top"/>
          </w:tcPr>
          <w:p w14:paraId="754BCD0F">
            <w:pPr>
              <w:rPr>
                <w:rFonts w:ascii="Arial"/>
                <w:sz w:val="21"/>
              </w:rPr>
            </w:pPr>
          </w:p>
        </w:tc>
        <w:tc>
          <w:tcPr>
            <w:tcW w:w="2392" w:type="dxa"/>
            <w:vAlign w:val="top"/>
          </w:tcPr>
          <w:p w14:paraId="5DA8EBC0">
            <w:pPr>
              <w:pStyle w:val="257"/>
              <w:spacing w:before="69" w:line="219" w:lineRule="auto"/>
              <w:ind w:left="109"/>
            </w:pPr>
            <w:r>
              <w:rPr>
                <w:spacing w:val="-1"/>
              </w:rPr>
              <w:t>HJ2537</w:t>
            </w:r>
            <w:r>
              <w:rPr>
                <w:spacing w:val="-34"/>
              </w:rPr>
              <w:t xml:space="preserve"> </w:t>
            </w:r>
            <w:r>
              <w:rPr>
                <w:spacing w:val="-1"/>
              </w:rPr>
              <w:t>水性涂料</w:t>
            </w:r>
          </w:p>
        </w:tc>
      </w:tr>
      <w:tr w14:paraId="1C745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533A863C">
            <w:pPr>
              <w:pStyle w:val="257"/>
              <w:spacing w:before="68"/>
              <w:ind w:left="114"/>
            </w:pPr>
            <w:r>
              <w:rPr>
                <w:spacing w:val="-3"/>
              </w:rPr>
              <w:t>49</w:t>
            </w:r>
          </w:p>
        </w:tc>
        <w:tc>
          <w:tcPr>
            <w:tcW w:w="1542" w:type="dxa"/>
            <w:vAlign w:val="top"/>
          </w:tcPr>
          <w:p w14:paraId="13CB0C21">
            <w:pPr>
              <w:pStyle w:val="257"/>
              <w:spacing w:before="68" w:line="282" w:lineRule="auto"/>
              <w:ind w:left="109" w:right="108" w:hanging="7"/>
            </w:pPr>
            <w:r>
              <w:rPr>
                <w:spacing w:val="3"/>
              </w:rPr>
              <w:t>A170112</w:t>
            </w:r>
            <w:r>
              <w:rPr>
                <w:spacing w:val="34"/>
              </w:rPr>
              <w:t xml:space="preserve"> </w:t>
            </w:r>
            <w:r>
              <w:rPr>
                <w:spacing w:val="3"/>
              </w:rPr>
              <w:t>密封用</w:t>
            </w:r>
            <w:r>
              <w:t xml:space="preserve"> </w:t>
            </w:r>
            <w:r>
              <w:rPr>
                <w:spacing w:val="-2"/>
              </w:rPr>
              <w:t>填料及类似品</w:t>
            </w:r>
          </w:p>
        </w:tc>
        <w:tc>
          <w:tcPr>
            <w:tcW w:w="2672" w:type="dxa"/>
            <w:vAlign w:val="top"/>
          </w:tcPr>
          <w:p w14:paraId="1D94107C">
            <w:pPr>
              <w:rPr>
                <w:rFonts w:ascii="Arial"/>
                <w:sz w:val="21"/>
              </w:rPr>
            </w:pPr>
          </w:p>
        </w:tc>
        <w:tc>
          <w:tcPr>
            <w:tcW w:w="2248" w:type="dxa"/>
            <w:vAlign w:val="top"/>
          </w:tcPr>
          <w:p w14:paraId="2D7DC984">
            <w:pPr>
              <w:rPr>
                <w:rFonts w:ascii="Arial"/>
                <w:sz w:val="21"/>
              </w:rPr>
            </w:pPr>
          </w:p>
        </w:tc>
        <w:tc>
          <w:tcPr>
            <w:tcW w:w="2392" w:type="dxa"/>
            <w:vAlign w:val="top"/>
          </w:tcPr>
          <w:p w14:paraId="1DD66A27">
            <w:pPr>
              <w:pStyle w:val="257"/>
              <w:spacing w:before="67" w:line="219" w:lineRule="auto"/>
              <w:ind w:left="109"/>
            </w:pPr>
            <w:r>
              <w:rPr>
                <w:spacing w:val="-1"/>
              </w:rPr>
              <w:t>HJ2541</w:t>
            </w:r>
            <w:r>
              <w:rPr>
                <w:spacing w:val="-35"/>
              </w:rPr>
              <w:t xml:space="preserve"> </w:t>
            </w:r>
            <w:r>
              <w:rPr>
                <w:spacing w:val="-1"/>
              </w:rPr>
              <w:t>胶粘剂</w:t>
            </w:r>
          </w:p>
        </w:tc>
      </w:tr>
      <w:tr w14:paraId="213AD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vAlign w:val="top"/>
          </w:tcPr>
          <w:p w14:paraId="242B0303">
            <w:pPr>
              <w:pStyle w:val="257"/>
              <w:spacing w:before="69"/>
              <w:ind w:left="118"/>
            </w:pPr>
            <w:r>
              <w:rPr>
                <w:spacing w:val="-5"/>
              </w:rPr>
              <w:t>50</w:t>
            </w:r>
          </w:p>
        </w:tc>
        <w:tc>
          <w:tcPr>
            <w:tcW w:w="1542" w:type="dxa"/>
            <w:vAlign w:val="top"/>
          </w:tcPr>
          <w:p w14:paraId="53AC877B">
            <w:pPr>
              <w:pStyle w:val="257"/>
              <w:spacing w:before="69" w:line="284" w:lineRule="auto"/>
              <w:ind w:left="122" w:right="108" w:hanging="20"/>
            </w:pPr>
            <w:r>
              <w:rPr>
                <w:spacing w:val="3"/>
              </w:rPr>
              <w:t>A180201</w:t>
            </w:r>
            <w:r>
              <w:rPr>
                <w:spacing w:val="34"/>
              </w:rPr>
              <w:t xml:space="preserve"> </w:t>
            </w:r>
            <w:r>
              <w:rPr>
                <w:spacing w:val="3"/>
              </w:rPr>
              <w:t>塑料制</w:t>
            </w:r>
            <w:r>
              <w:t xml:space="preserve"> 品</w:t>
            </w:r>
          </w:p>
        </w:tc>
        <w:tc>
          <w:tcPr>
            <w:tcW w:w="2672" w:type="dxa"/>
            <w:vAlign w:val="top"/>
          </w:tcPr>
          <w:p w14:paraId="214BE936">
            <w:pPr>
              <w:rPr>
                <w:rFonts w:ascii="Arial"/>
                <w:sz w:val="21"/>
              </w:rPr>
            </w:pPr>
          </w:p>
        </w:tc>
        <w:tc>
          <w:tcPr>
            <w:tcW w:w="2248" w:type="dxa"/>
            <w:vAlign w:val="top"/>
          </w:tcPr>
          <w:p w14:paraId="302B59F9">
            <w:pPr>
              <w:rPr>
                <w:rFonts w:ascii="Arial"/>
                <w:sz w:val="21"/>
              </w:rPr>
            </w:pPr>
          </w:p>
        </w:tc>
        <w:tc>
          <w:tcPr>
            <w:tcW w:w="2392" w:type="dxa"/>
            <w:vAlign w:val="top"/>
          </w:tcPr>
          <w:p w14:paraId="6970262A">
            <w:pPr>
              <w:pStyle w:val="257"/>
              <w:spacing w:before="69" w:line="284" w:lineRule="auto"/>
              <w:ind w:left="113" w:right="104" w:hanging="4"/>
            </w:pPr>
            <w:r>
              <w:t>HJ/T226 建筑用塑料管材/HJ/</w:t>
            </w:r>
            <w:r>
              <w:rPr>
                <w:spacing w:val="-1"/>
              </w:rPr>
              <w:t>T231 再生塑</w:t>
            </w:r>
            <w:r>
              <w:t xml:space="preserve"> </w:t>
            </w:r>
            <w:r>
              <w:rPr>
                <w:spacing w:val="-2"/>
              </w:rPr>
              <w:t>料制品</w:t>
            </w:r>
          </w:p>
        </w:tc>
      </w:tr>
    </w:tbl>
    <w:p w14:paraId="0F85C2AE">
      <w:pPr>
        <w:pStyle w:val="30"/>
        <w:snapToGrid w:val="0"/>
        <w:spacing w:before="120" w:after="120" w:line="320" w:lineRule="exact"/>
        <w:jc w:val="center"/>
        <w:outlineLvl w:val="0"/>
        <w:rPr>
          <w:rFonts w:ascii="Arial" w:hAnsi="Arial" w:eastAsia="宋体" w:cs="Arial"/>
          <w:color w:val="000000" w:themeColor="text1"/>
          <w:sz w:val="32"/>
          <w:szCs w:val="32"/>
          <w14:textFill>
            <w14:solidFill>
              <w14:schemeClr w14:val="tx1"/>
            </w14:solidFill>
          </w14:textFill>
        </w:rPr>
      </w:pPr>
      <w:bookmarkStart w:id="97" w:name="_Toc12782"/>
      <w:r>
        <w:rPr>
          <w:rFonts w:hint="eastAsia" w:ascii="宋体" w:hAnsi="宋体" w:eastAsia="宋体" w:cs="Times New Roman"/>
          <w:spacing w:val="-3"/>
          <w:szCs w:val="21"/>
        </w:rPr>
        <w:t>注：环境标志产品认证应依据相关标准的最新</w:t>
      </w:r>
      <w:r>
        <w:rPr>
          <w:rFonts w:hint="eastAsia" w:ascii="宋体" w:hAnsi="宋体" w:eastAsia="宋体" w:cs="Times New Roman"/>
          <w:spacing w:val="-3"/>
          <w:szCs w:val="21"/>
          <w:lang w:val="en-US" w:eastAsia="zh-CN"/>
        </w:rPr>
        <w:t>版本。</w:t>
      </w:r>
      <w:r>
        <w:rPr>
          <w:rFonts w:ascii="Arial" w:hAnsi="Arial" w:cs="Arial"/>
          <w:color w:val="000000" w:themeColor="text1"/>
          <w14:textFill>
            <w14:solidFill>
              <w14:schemeClr w14:val="tx1"/>
            </w14:solidFill>
          </w14:textFill>
        </w:rPr>
        <w:br w:type="page"/>
      </w:r>
      <w:r>
        <w:rPr>
          <w:rFonts w:ascii="Arial" w:hAnsi="Arial" w:eastAsia="宋体" w:cs="Arial"/>
          <w:color w:val="000000" w:themeColor="text1"/>
          <w:sz w:val="32"/>
          <w:szCs w:val="32"/>
          <w14:textFill>
            <w14:solidFill>
              <w14:schemeClr w14:val="tx1"/>
            </w14:solidFill>
          </w14:textFill>
        </w:rPr>
        <w:t>第五章  合同主要条款格式</w:t>
      </w:r>
      <w:bookmarkEnd w:id="97"/>
    </w:p>
    <w:p w14:paraId="083C2EA5">
      <w:pPr>
        <w:pStyle w:val="3"/>
        <w:jc w:val="center"/>
        <w:outlineLvl w:val="1"/>
        <w:rPr>
          <w:color w:val="000000"/>
        </w:rPr>
      </w:pPr>
      <w:r>
        <w:rPr>
          <w:rFonts w:hint="eastAsia" w:ascii="宋体" w:hAnsi="宋体" w:eastAsia="宋体" w:cs="宋体"/>
          <w:color w:val="000000"/>
          <w:sz w:val="32"/>
          <w:szCs w:val="32"/>
        </w:rPr>
        <w:t>采购合同</w:t>
      </w:r>
      <w:bookmarkStart w:id="98" w:name="_bookmark5"/>
      <w:bookmarkEnd w:id="98"/>
    </w:p>
    <w:p w14:paraId="3C510A02">
      <w:pPr>
        <w:snapToGrid w:val="0"/>
        <w:spacing w:line="360" w:lineRule="auto"/>
        <w:ind w:right="480"/>
        <w:rPr>
          <w:rFonts w:hint="eastAsia" w:ascii="宋体" w:hAnsi="宋体" w:eastAsia="宋体" w:cs="宋体"/>
          <w:bCs/>
          <w:color w:val="000000"/>
          <w:sz w:val="21"/>
          <w:szCs w:val="21"/>
          <w:highlight w:val="none"/>
          <w:u w:val="single"/>
          <w:lang w:eastAsia="zh-CN"/>
        </w:rPr>
      </w:pPr>
      <w:r>
        <w:rPr>
          <w:rFonts w:hint="eastAsia" w:ascii="宋体" w:hAnsi="宋体" w:eastAsia="宋体" w:cs="宋体"/>
          <w:color w:val="000000"/>
          <w:sz w:val="21"/>
          <w:szCs w:val="21"/>
          <w:highlight w:val="none"/>
        </w:rPr>
        <w:t>采购人（甲方）：</w:t>
      </w:r>
      <w:r>
        <w:rPr>
          <w:rFonts w:hint="eastAsia" w:ascii="宋体" w:hAnsi="宋体" w:eastAsia="宋体" w:cs="宋体"/>
          <w:color w:val="000000"/>
          <w:sz w:val="21"/>
          <w:szCs w:val="21"/>
          <w:highlight w:val="none"/>
          <w:lang w:eastAsia="zh-CN"/>
        </w:rPr>
        <w:t>广西壮族自治区南溪山医院（广西壮族自治区第二人民医院）</w:t>
      </w:r>
    </w:p>
    <w:p w14:paraId="31F3FAE2">
      <w:pPr>
        <w:snapToGrid w:val="0"/>
        <w:spacing w:line="360" w:lineRule="auto"/>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val="en-US" w:eastAsia="zh-CN"/>
        </w:rPr>
        <w:t>中标</w:t>
      </w:r>
      <w:r>
        <w:rPr>
          <w:rFonts w:hint="eastAsia" w:ascii="宋体" w:hAnsi="宋体" w:eastAsia="宋体" w:cs="宋体"/>
          <w:color w:val="000000"/>
          <w:sz w:val="21"/>
          <w:szCs w:val="21"/>
          <w:highlight w:val="none"/>
        </w:rPr>
        <w:t>供应商（乙方）：</w:t>
      </w:r>
      <w:r>
        <w:rPr>
          <w:rFonts w:hint="eastAsia" w:ascii="宋体" w:hAnsi="宋体" w:eastAsia="宋体" w:cs="宋体"/>
          <w:color w:val="000000"/>
          <w:sz w:val="21"/>
          <w:szCs w:val="21"/>
          <w:highlight w:val="none"/>
          <w:u w:val="single"/>
        </w:rPr>
        <w:t xml:space="preserve">                         </w:t>
      </w:r>
    </w:p>
    <w:p w14:paraId="05E2F414">
      <w:pPr>
        <w:snapToGrid w:val="0"/>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采购计划文号：</w:t>
      </w:r>
    </w:p>
    <w:p w14:paraId="03963B32">
      <w:pPr>
        <w:snapToGrid w:val="0"/>
        <w:spacing w:line="360" w:lineRule="auto"/>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项目名称：</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项目编号：</w:t>
      </w:r>
      <w:r>
        <w:rPr>
          <w:rFonts w:hint="eastAsia" w:ascii="宋体" w:hAnsi="宋体" w:eastAsia="宋体" w:cs="宋体"/>
          <w:color w:val="000000"/>
          <w:sz w:val="21"/>
          <w:szCs w:val="21"/>
          <w:highlight w:val="none"/>
          <w:u w:val="single"/>
        </w:rPr>
        <w:t xml:space="preserve">                       </w:t>
      </w:r>
    </w:p>
    <w:p w14:paraId="3671CFB3">
      <w:pPr>
        <w:snapToGrid w:val="0"/>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合同类型：买卖合同</w:t>
      </w:r>
    </w:p>
    <w:p w14:paraId="737762E1">
      <w:pPr>
        <w:snapToGrid w:val="0"/>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签订地点：</w:t>
      </w:r>
      <w:r>
        <w:rPr>
          <w:rFonts w:hint="eastAsia" w:ascii="宋体" w:hAnsi="宋体" w:eastAsia="宋体" w:cs="宋体"/>
          <w:color w:val="000000"/>
          <w:sz w:val="21"/>
          <w:szCs w:val="21"/>
          <w:highlight w:val="none"/>
          <w:lang w:eastAsia="zh-CN"/>
        </w:rPr>
        <w:t>广西壮族自治区南溪山医院（广西壮族自治区第二人民医院）</w:t>
      </w:r>
      <w:r>
        <w:rPr>
          <w:rFonts w:hint="eastAsia" w:ascii="宋体" w:hAnsi="宋体" w:eastAsia="宋体" w:cs="宋体"/>
          <w:color w:val="000000"/>
          <w:sz w:val="21"/>
          <w:szCs w:val="21"/>
          <w:highlight w:val="none"/>
        </w:rPr>
        <w:t xml:space="preserve"> </w:t>
      </w:r>
    </w:p>
    <w:p w14:paraId="1F3C5C95">
      <w:pPr>
        <w:pStyle w:val="30"/>
        <w:pageBreakBefore w:val="0"/>
        <w:kinsoku/>
        <w:wordWrap/>
        <w:overflowPunct/>
        <w:topLinePunct w:val="0"/>
        <w:bidi w:val="0"/>
        <w:adjustRightInd w:val="0"/>
        <w:snapToGrid w:val="0"/>
        <w:spacing w:line="288"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根据《中华人民共和国政府采购法》、《政府采购货物和服务招标投标管理办法》、《中华人民共和国民法典》等法律法规规定，按照招标文件规定条款和乙方投标文件承诺，甲乙双方签订本合同。</w:t>
      </w:r>
    </w:p>
    <w:p w14:paraId="65CA0FA5">
      <w:pPr>
        <w:pStyle w:val="3"/>
        <w:pageBreakBefore w:val="0"/>
        <w:kinsoku/>
        <w:wordWrap/>
        <w:overflowPunct/>
        <w:topLinePunct w:val="0"/>
        <w:bidi w:val="0"/>
        <w:spacing w:before="0" w:after="0" w:line="288" w:lineRule="auto"/>
        <w:ind w:firstLine="422" w:firstLineChars="200"/>
        <w:rPr>
          <w:rFonts w:hint="eastAsia"/>
          <w:sz w:val="21"/>
          <w:szCs w:val="21"/>
        </w:rPr>
      </w:pPr>
      <w:bookmarkStart w:id="99" w:name="_Toc19869"/>
      <w:bookmarkStart w:id="100" w:name="_Toc30699"/>
      <w:r>
        <w:rPr>
          <w:rFonts w:hint="eastAsia"/>
          <w:sz w:val="21"/>
          <w:szCs w:val="21"/>
        </w:rPr>
        <w:t>第一条　合同标的</w:t>
      </w:r>
      <w:bookmarkEnd w:id="99"/>
      <w:bookmarkEnd w:id="100"/>
    </w:p>
    <w:tbl>
      <w:tblPr>
        <w:tblStyle w:val="54"/>
        <w:tblW w:w="9555" w:type="dxa"/>
        <w:tblInd w:w="-2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290"/>
        <w:gridCol w:w="1305"/>
        <w:gridCol w:w="1019"/>
        <w:gridCol w:w="801"/>
        <w:gridCol w:w="1060"/>
        <w:gridCol w:w="788"/>
        <w:gridCol w:w="662"/>
        <w:gridCol w:w="935"/>
        <w:gridCol w:w="1050"/>
      </w:tblGrid>
      <w:tr w14:paraId="48C0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645" w:type="dxa"/>
            <w:noWrap w:val="0"/>
            <w:vAlign w:val="center"/>
          </w:tcPr>
          <w:p w14:paraId="425C734B">
            <w:pPr>
              <w:pageBreakBefore w:val="0"/>
              <w:kinsoku/>
              <w:wordWrap/>
              <w:overflowPunct/>
              <w:topLinePunct w:val="0"/>
              <w:bidi w:val="0"/>
              <w:spacing w:line="288"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序号</w:t>
            </w:r>
          </w:p>
        </w:tc>
        <w:tc>
          <w:tcPr>
            <w:tcW w:w="1290" w:type="dxa"/>
            <w:noWrap w:val="0"/>
            <w:vAlign w:val="center"/>
          </w:tcPr>
          <w:p w14:paraId="4B81F03E">
            <w:pPr>
              <w:pageBreakBefore w:val="0"/>
              <w:kinsoku/>
              <w:wordWrap/>
              <w:overflowPunct/>
              <w:topLinePunct w:val="0"/>
              <w:bidi w:val="0"/>
              <w:spacing w:line="288" w:lineRule="auto"/>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标的</w:t>
            </w:r>
          </w:p>
          <w:p w14:paraId="08BCC7CB">
            <w:pPr>
              <w:pageBreakBefore w:val="0"/>
              <w:kinsoku/>
              <w:wordWrap/>
              <w:overflowPunct/>
              <w:topLinePunct w:val="0"/>
              <w:bidi w:val="0"/>
              <w:spacing w:line="288" w:lineRule="auto"/>
              <w:jc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名称</w:t>
            </w:r>
          </w:p>
        </w:tc>
        <w:tc>
          <w:tcPr>
            <w:tcW w:w="1305" w:type="dxa"/>
            <w:noWrap w:val="0"/>
            <w:vAlign w:val="center"/>
          </w:tcPr>
          <w:p w14:paraId="1193171E">
            <w:pPr>
              <w:pageBreakBefore w:val="0"/>
              <w:kinsoku/>
              <w:wordWrap/>
              <w:overflowPunct/>
              <w:topLinePunct w:val="0"/>
              <w:bidi w:val="0"/>
              <w:spacing w:line="288" w:lineRule="auto"/>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产品</w:t>
            </w:r>
          </w:p>
          <w:p w14:paraId="4D00C425">
            <w:pPr>
              <w:pageBreakBefore w:val="0"/>
              <w:kinsoku/>
              <w:wordWrap/>
              <w:overflowPunct/>
              <w:topLinePunct w:val="0"/>
              <w:bidi w:val="0"/>
              <w:spacing w:line="288" w:lineRule="auto"/>
              <w:jc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名称</w:t>
            </w:r>
          </w:p>
        </w:tc>
        <w:tc>
          <w:tcPr>
            <w:tcW w:w="1019" w:type="dxa"/>
            <w:noWrap w:val="0"/>
            <w:vAlign w:val="center"/>
          </w:tcPr>
          <w:p w14:paraId="5F5A7352">
            <w:pPr>
              <w:pageBreakBefore w:val="0"/>
              <w:kinsoku/>
              <w:wordWrap/>
              <w:overflowPunct/>
              <w:topLinePunct w:val="0"/>
              <w:bidi w:val="0"/>
              <w:spacing w:line="288"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商标品牌</w:t>
            </w:r>
          </w:p>
        </w:tc>
        <w:tc>
          <w:tcPr>
            <w:tcW w:w="801" w:type="dxa"/>
            <w:noWrap w:val="0"/>
            <w:vAlign w:val="center"/>
          </w:tcPr>
          <w:p w14:paraId="6EA82E66">
            <w:pPr>
              <w:pageBreakBefore w:val="0"/>
              <w:kinsoku/>
              <w:wordWrap/>
              <w:overflowPunct/>
              <w:topLinePunct w:val="0"/>
              <w:bidi w:val="0"/>
              <w:spacing w:line="288"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规格型号</w:t>
            </w:r>
          </w:p>
        </w:tc>
        <w:tc>
          <w:tcPr>
            <w:tcW w:w="1060" w:type="dxa"/>
            <w:noWrap w:val="0"/>
            <w:vAlign w:val="center"/>
          </w:tcPr>
          <w:p w14:paraId="231CEE55">
            <w:pPr>
              <w:pageBreakBefore w:val="0"/>
              <w:kinsoku/>
              <w:wordWrap/>
              <w:overflowPunct/>
              <w:topLinePunct w:val="0"/>
              <w:bidi w:val="0"/>
              <w:spacing w:line="288"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生产</w:t>
            </w:r>
          </w:p>
          <w:p w14:paraId="34DEC657">
            <w:pPr>
              <w:pageBreakBefore w:val="0"/>
              <w:kinsoku/>
              <w:wordWrap/>
              <w:overflowPunct/>
              <w:topLinePunct w:val="0"/>
              <w:bidi w:val="0"/>
              <w:spacing w:line="288"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厂家</w:t>
            </w:r>
          </w:p>
        </w:tc>
        <w:tc>
          <w:tcPr>
            <w:tcW w:w="788" w:type="dxa"/>
            <w:noWrap w:val="0"/>
            <w:vAlign w:val="center"/>
          </w:tcPr>
          <w:p w14:paraId="05F716EF">
            <w:pPr>
              <w:pageBreakBefore w:val="0"/>
              <w:kinsoku/>
              <w:wordWrap/>
              <w:overflowPunct/>
              <w:topLinePunct w:val="0"/>
              <w:bidi w:val="0"/>
              <w:spacing w:line="288"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数量</w:t>
            </w:r>
          </w:p>
        </w:tc>
        <w:tc>
          <w:tcPr>
            <w:tcW w:w="662" w:type="dxa"/>
            <w:noWrap w:val="0"/>
            <w:vAlign w:val="center"/>
          </w:tcPr>
          <w:p w14:paraId="59742F82">
            <w:pPr>
              <w:pageBreakBefore w:val="0"/>
              <w:kinsoku/>
              <w:wordWrap/>
              <w:overflowPunct/>
              <w:topLinePunct w:val="0"/>
              <w:bidi w:val="0"/>
              <w:spacing w:line="288"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单位</w:t>
            </w:r>
          </w:p>
        </w:tc>
        <w:tc>
          <w:tcPr>
            <w:tcW w:w="935" w:type="dxa"/>
            <w:noWrap w:val="0"/>
            <w:vAlign w:val="center"/>
          </w:tcPr>
          <w:p w14:paraId="081242F7">
            <w:pPr>
              <w:pageBreakBefore w:val="0"/>
              <w:kinsoku/>
              <w:wordWrap/>
              <w:overflowPunct/>
              <w:topLinePunct w:val="0"/>
              <w:bidi w:val="0"/>
              <w:spacing w:line="288"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单价(元)</w:t>
            </w:r>
          </w:p>
        </w:tc>
        <w:tc>
          <w:tcPr>
            <w:tcW w:w="1050" w:type="dxa"/>
            <w:noWrap w:val="0"/>
            <w:vAlign w:val="center"/>
          </w:tcPr>
          <w:p w14:paraId="02BC907F">
            <w:pPr>
              <w:pageBreakBefore w:val="0"/>
              <w:kinsoku/>
              <w:wordWrap/>
              <w:overflowPunct/>
              <w:topLinePunct w:val="0"/>
              <w:bidi w:val="0"/>
              <w:spacing w:line="288"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金额(元)</w:t>
            </w:r>
          </w:p>
        </w:tc>
      </w:tr>
      <w:tr w14:paraId="647E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645" w:type="dxa"/>
            <w:noWrap w:val="0"/>
            <w:vAlign w:val="center"/>
          </w:tcPr>
          <w:p w14:paraId="4AA75784">
            <w:pPr>
              <w:pageBreakBefore w:val="0"/>
              <w:widowControl/>
              <w:kinsoku/>
              <w:wordWrap/>
              <w:overflowPunct/>
              <w:topLinePunct w:val="0"/>
              <w:bidi w:val="0"/>
              <w:adjustRightInd w:val="0"/>
              <w:snapToGrid w:val="0"/>
              <w:spacing w:line="288"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1290" w:type="dxa"/>
            <w:noWrap w:val="0"/>
            <w:vAlign w:val="center"/>
          </w:tcPr>
          <w:p w14:paraId="3AC26252">
            <w:pPr>
              <w:pageBreakBefore w:val="0"/>
              <w:kinsoku/>
              <w:wordWrap/>
              <w:overflowPunct/>
              <w:topLinePunct w:val="0"/>
              <w:bidi w:val="0"/>
              <w:spacing w:line="288" w:lineRule="auto"/>
              <w:rPr>
                <w:rFonts w:hint="eastAsia" w:ascii="宋体" w:hAnsi="宋体" w:eastAsia="宋体" w:cs="宋体"/>
                <w:color w:val="000000"/>
                <w:kern w:val="0"/>
                <w:sz w:val="21"/>
                <w:szCs w:val="21"/>
                <w:lang w:bidi="ar"/>
              </w:rPr>
            </w:pPr>
          </w:p>
        </w:tc>
        <w:tc>
          <w:tcPr>
            <w:tcW w:w="1305" w:type="dxa"/>
            <w:noWrap w:val="0"/>
            <w:vAlign w:val="center"/>
          </w:tcPr>
          <w:p w14:paraId="2C2307FE">
            <w:pPr>
              <w:pageBreakBefore w:val="0"/>
              <w:kinsoku/>
              <w:wordWrap/>
              <w:overflowPunct/>
              <w:topLinePunct w:val="0"/>
              <w:bidi w:val="0"/>
              <w:spacing w:line="288" w:lineRule="auto"/>
              <w:rPr>
                <w:rFonts w:hint="eastAsia" w:ascii="宋体" w:hAnsi="宋体" w:eastAsia="宋体" w:cs="宋体"/>
                <w:color w:val="000000"/>
                <w:sz w:val="21"/>
                <w:szCs w:val="21"/>
              </w:rPr>
            </w:pPr>
          </w:p>
        </w:tc>
        <w:tc>
          <w:tcPr>
            <w:tcW w:w="1019" w:type="dxa"/>
            <w:noWrap w:val="0"/>
            <w:vAlign w:val="center"/>
          </w:tcPr>
          <w:p w14:paraId="23C2FE2C">
            <w:pPr>
              <w:pageBreakBefore w:val="0"/>
              <w:kinsoku/>
              <w:wordWrap/>
              <w:overflowPunct/>
              <w:topLinePunct w:val="0"/>
              <w:bidi w:val="0"/>
              <w:spacing w:line="288" w:lineRule="auto"/>
              <w:rPr>
                <w:rFonts w:hint="eastAsia" w:ascii="宋体" w:hAnsi="宋体" w:eastAsia="宋体" w:cs="宋体"/>
                <w:color w:val="000000"/>
                <w:sz w:val="21"/>
                <w:szCs w:val="21"/>
              </w:rPr>
            </w:pPr>
          </w:p>
        </w:tc>
        <w:tc>
          <w:tcPr>
            <w:tcW w:w="801" w:type="dxa"/>
            <w:noWrap w:val="0"/>
            <w:vAlign w:val="center"/>
          </w:tcPr>
          <w:p w14:paraId="7BC9BF3C">
            <w:pPr>
              <w:pageBreakBefore w:val="0"/>
              <w:kinsoku/>
              <w:wordWrap/>
              <w:overflowPunct/>
              <w:topLinePunct w:val="0"/>
              <w:bidi w:val="0"/>
              <w:spacing w:line="288" w:lineRule="auto"/>
              <w:rPr>
                <w:rFonts w:hint="eastAsia" w:ascii="宋体" w:hAnsi="宋体" w:eastAsia="宋体" w:cs="宋体"/>
                <w:color w:val="000000"/>
                <w:kern w:val="0"/>
                <w:sz w:val="21"/>
                <w:szCs w:val="21"/>
                <w:lang w:bidi="ar"/>
              </w:rPr>
            </w:pPr>
          </w:p>
        </w:tc>
        <w:tc>
          <w:tcPr>
            <w:tcW w:w="1060" w:type="dxa"/>
            <w:noWrap w:val="0"/>
            <w:vAlign w:val="center"/>
          </w:tcPr>
          <w:p w14:paraId="0EA67C85">
            <w:pPr>
              <w:pageBreakBefore w:val="0"/>
              <w:kinsoku/>
              <w:wordWrap/>
              <w:overflowPunct/>
              <w:topLinePunct w:val="0"/>
              <w:bidi w:val="0"/>
              <w:spacing w:line="288" w:lineRule="auto"/>
              <w:rPr>
                <w:rFonts w:hint="eastAsia" w:ascii="宋体" w:hAnsi="宋体" w:eastAsia="宋体" w:cs="宋体"/>
                <w:color w:val="000000"/>
                <w:sz w:val="21"/>
                <w:szCs w:val="21"/>
              </w:rPr>
            </w:pPr>
          </w:p>
        </w:tc>
        <w:tc>
          <w:tcPr>
            <w:tcW w:w="788" w:type="dxa"/>
            <w:noWrap w:val="0"/>
            <w:vAlign w:val="center"/>
          </w:tcPr>
          <w:p w14:paraId="6536F605">
            <w:pPr>
              <w:pageBreakBefore w:val="0"/>
              <w:widowControl/>
              <w:kinsoku/>
              <w:wordWrap/>
              <w:overflowPunct/>
              <w:topLinePunct w:val="0"/>
              <w:bidi w:val="0"/>
              <w:adjustRightInd w:val="0"/>
              <w:snapToGrid w:val="0"/>
              <w:spacing w:line="288" w:lineRule="auto"/>
              <w:rPr>
                <w:rFonts w:hint="eastAsia" w:ascii="宋体" w:hAnsi="宋体" w:eastAsia="宋体" w:cs="宋体"/>
                <w:color w:val="000000"/>
                <w:kern w:val="0"/>
                <w:sz w:val="21"/>
                <w:szCs w:val="21"/>
              </w:rPr>
            </w:pPr>
          </w:p>
        </w:tc>
        <w:tc>
          <w:tcPr>
            <w:tcW w:w="662" w:type="dxa"/>
            <w:noWrap w:val="0"/>
            <w:vAlign w:val="center"/>
          </w:tcPr>
          <w:p w14:paraId="6BF4E6D8">
            <w:pPr>
              <w:pageBreakBefore w:val="0"/>
              <w:widowControl/>
              <w:kinsoku/>
              <w:wordWrap/>
              <w:overflowPunct/>
              <w:topLinePunct w:val="0"/>
              <w:bidi w:val="0"/>
              <w:adjustRightInd w:val="0"/>
              <w:snapToGrid w:val="0"/>
              <w:spacing w:line="288" w:lineRule="auto"/>
              <w:rPr>
                <w:rFonts w:hint="eastAsia" w:ascii="宋体" w:hAnsi="宋体" w:eastAsia="宋体" w:cs="宋体"/>
                <w:color w:val="000000"/>
                <w:kern w:val="0"/>
                <w:sz w:val="21"/>
                <w:szCs w:val="21"/>
              </w:rPr>
            </w:pPr>
          </w:p>
        </w:tc>
        <w:tc>
          <w:tcPr>
            <w:tcW w:w="935" w:type="dxa"/>
            <w:noWrap w:val="0"/>
            <w:vAlign w:val="center"/>
          </w:tcPr>
          <w:p w14:paraId="570CE7DD">
            <w:pPr>
              <w:pageBreakBefore w:val="0"/>
              <w:kinsoku/>
              <w:wordWrap/>
              <w:overflowPunct/>
              <w:topLinePunct w:val="0"/>
              <w:bidi w:val="0"/>
              <w:spacing w:line="288" w:lineRule="auto"/>
              <w:rPr>
                <w:rFonts w:hint="eastAsia" w:ascii="宋体" w:hAnsi="宋体" w:eastAsia="宋体" w:cs="宋体"/>
                <w:color w:val="000000"/>
                <w:sz w:val="21"/>
                <w:szCs w:val="21"/>
              </w:rPr>
            </w:pPr>
          </w:p>
        </w:tc>
        <w:tc>
          <w:tcPr>
            <w:tcW w:w="1050" w:type="dxa"/>
            <w:noWrap w:val="0"/>
            <w:vAlign w:val="center"/>
          </w:tcPr>
          <w:p w14:paraId="23CA339C">
            <w:pPr>
              <w:pageBreakBefore w:val="0"/>
              <w:kinsoku/>
              <w:wordWrap/>
              <w:overflowPunct/>
              <w:topLinePunct w:val="0"/>
              <w:bidi w:val="0"/>
              <w:spacing w:line="288" w:lineRule="auto"/>
              <w:rPr>
                <w:rFonts w:hint="eastAsia" w:ascii="宋体" w:hAnsi="宋体" w:eastAsia="宋体" w:cs="宋体"/>
                <w:color w:val="000000"/>
                <w:sz w:val="21"/>
                <w:szCs w:val="21"/>
              </w:rPr>
            </w:pPr>
          </w:p>
        </w:tc>
      </w:tr>
      <w:tr w14:paraId="7983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9555" w:type="dxa"/>
            <w:gridSpan w:val="10"/>
            <w:noWrap w:val="0"/>
            <w:vAlign w:val="center"/>
          </w:tcPr>
          <w:p w14:paraId="46F78B72">
            <w:pPr>
              <w:pageBreakBefore w:val="0"/>
              <w:kinsoku/>
              <w:wordWrap/>
              <w:overflowPunct/>
              <w:topLinePunct w:val="0"/>
              <w:bidi w:val="0"/>
              <w:spacing w:line="288" w:lineRule="auto"/>
              <w:rPr>
                <w:rFonts w:hint="eastAsia" w:ascii="宋体" w:hAnsi="宋体" w:eastAsia="宋体" w:cs="宋体"/>
                <w:color w:val="000000"/>
                <w:sz w:val="21"/>
                <w:szCs w:val="21"/>
              </w:rPr>
            </w:pPr>
            <w:r>
              <w:rPr>
                <w:rFonts w:hint="eastAsia" w:ascii="宋体" w:hAnsi="宋体" w:eastAsia="宋体" w:cs="宋体"/>
                <w:color w:val="000000"/>
                <w:sz w:val="21"/>
                <w:szCs w:val="21"/>
              </w:rPr>
              <w:t>人民币合计金额(大写) ：                    (小写)¥：</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元</w:t>
            </w:r>
          </w:p>
        </w:tc>
      </w:tr>
    </w:tbl>
    <w:p w14:paraId="0BF7E249">
      <w:pPr>
        <w:pStyle w:val="3"/>
        <w:pageBreakBefore w:val="0"/>
        <w:kinsoku/>
        <w:wordWrap/>
        <w:overflowPunct/>
        <w:topLinePunct w:val="0"/>
        <w:bidi w:val="0"/>
        <w:spacing w:before="0" w:after="0" w:line="288" w:lineRule="auto"/>
        <w:ind w:firstLine="422" w:firstLineChars="200"/>
        <w:rPr>
          <w:rFonts w:hint="eastAsia"/>
          <w:sz w:val="21"/>
          <w:szCs w:val="21"/>
        </w:rPr>
      </w:pPr>
      <w:bookmarkStart w:id="101" w:name="_Toc29819"/>
      <w:bookmarkStart w:id="102" w:name="_Toc6425"/>
      <w:r>
        <w:rPr>
          <w:rFonts w:hint="eastAsia"/>
          <w:sz w:val="21"/>
          <w:szCs w:val="21"/>
        </w:rPr>
        <w:t>第二条　标的质量</w:t>
      </w:r>
      <w:bookmarkEnd w:id="101"/>
      <w:bookmarkEnd w:id="102"/>
    </w:p>
    <w:p w14:paraId="47D0BC47">
      <w:pPr>
        <w:pageBreakBefore w:val="0"/>
        <w:kinsoku/>
        <w:wordWrap/>
        <w:overflowPunct/>
        <w:topLinePunct w:val="0"/>
        <w:bidi w:val="0"/>
        <w:spacing w:line="288"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1.乙方所提供标的的名称、商标品牌、生产厂家、规格型号、技术参数</w:t>
      </w:r>
      <w:r>
        <w:rPr>
          <w:rFonts w:hint="eastAsia" w:ascii="宋体" w:hAnsi="宋体" w:eastAsia="宋体" w:cs="宋体"/>
          <w:color w:val="000000"/>
          <w:spacing w:val="-6"/>
          <w:sz w:val="21"/>
          <w:szCs w:val="21"/>
        </w:rPr>
        <w:t>等内容必须与乙方投标文件及有关承诺相一致，且满足项目实施要求。</w:t>
      </w:r>
    </w:p>
    <w:p w14:paraId="38600872">
      <w:pPr>
        <w:pageBreakBefore w:val="0"/>
        <w:kinsoku/>
        <w:wordWrap/>
        <w:overflowPunct/>
        <w:topLinePunct w:val="0"/>
        <w:bidi w:val="0"/>
        <w:spacing w:line="288"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2.乙方所提供的货物必须是全新、未使用的原装产品，且在正常安装、</w:t>
      </w:r>
      <w:r>
        <w:rPr>
          <w:rFonts w:hint="eastAsia" w:ascii="宋体" w:hAnsi="宋体" w:eastAsia="宋体" w:cs="宋体"/>
          <w:color w:val="000000"/>
          <w:spacing w:val="-6"/>
          <w:sz w:val="21"/>
          <w:szCs w:val="21"/>
        </w:rPr>
        <w:t>使用和保养条件下，其使用寿命期内各项指标均达到投标文件的承诺。</w:t>
      </w:r>
    </w:p>
    <w:p w14:paraId="2DCEB581">
      <w:pPr>
        <w:pageBreakBefore w:val="0"/>
        <w:kinsoku/>
        <w:wordWrap/>
        <w:overflowPunct/>
        <w:topLinePunct w:val="0"/>
        <w:bidi w:val="0"/>
        <w:spacing w:line="288"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乙方在交付产品后，甲方在任何时间如发现乙方所交付的产品不符合甲方招标文件要求或乙方在投标文件中的承诺，乙方应当提供相关证明材料或鉴定报告予以作证，乙方无法证明其交付的产品符合招标文件或投标文件的，按质量不合格处理。</w:t>
      </w:r>
    </w:p>
    <w:p w14:paraId="66C06D9C">
      <w:pPr>
        <w:pStyle w:val="3"/>
        <w:pageBreakBefore w:val="0"/>
        <w:kinsoku/>
        <w:wordWrap/>
        <w:overflowPunct/>
        <w:topLinePunct w:val="0"/>
        <w:bidi w:val="0"/>
        <w:spacing w:before="0" w:after="0" w:line="288" w:lineRule="auto"/>
        <w:ind w:firstLine="422" w:firstLineChars="200"/>
        <w:rPr>
          <w:rFonts w:hint="eastAsia" w:ascii="宋体" w:hAnsi="宋体" w:eastAsia="宋体" w:cs="宋体"/>
          <w:color w:val="auto"/>
          <w:sz w:val="21"/>
          <w:szCs w:val="21"/>
          <w:highlight w:val="none"/>
        </w:rPr>
      </w:pPr>
      <w:bookmarkStart w:id="103" w:name="_Toc12930"/>
      <w:bookmarkStart w:id="104" w:name="_Toc32384"/>
      <w:bookmarkStart w:id="105" w:name="_Toc15229"/>
      <w:r>
        <w:rPr>
          <w:rFonts w:hint="eastAsia"/>
          <w:color w:val="auto"/>
          <w:sz w:val="21"/>
          <w:szCs w:val="21"/>
          <w:highlight w:val="none"/>
        </w:rPr>
        <w:t>第三条　履行时间（期限）、地点和方式</w:t>
      </w:r>
      <w:bookmarkEnd w:id="103"/>
      <w:bookmarkEnd w:id="104"/>
      <w:bookmarkEnd w:id="105"/>
    </w:p>
    <w:p w14:paraId="712813E5">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1.履行时间（期限）：自签订合同之日起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个日历日内安装调试合格完毕并交付使用。</w:t>
      </w:r>
    </w:p>
    <w:p w14:paraId="436FB894">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2.履行地点：广西桂林市内甲方指定地点。</w:t>
      </w:r>
    </w:p>
    <w:p w14:paraId="76CDB250">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3.履行方式:</w:t>
      </w:r>
    </w:p>
    <w:p w14:paraId="44E8E891">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（1）乙方负责货物运输，货物的运输方式：</w:t>
      </w:r>
      <w:r>
        <w:rPr>
          <w:rFonts w:hint="eastAsia" w:ascii="宋体" w:hAnsi="宋体" w:eastAsia="宋体" w:cs="宋体"/>
          <w:color w:val="auto"/>
          <w:sz w:val="21"/>
          <w:szCs w:val="21"/>
          <w:highlight w:val="none"/>
          <w:u w:val="single"/>
        </w:rPr>
        <w:t xml:space="preserve">  不限  </w:t>
      </w:r>
      <w:r>
        <w:rPr>
          <w:rFonts w:hint="eastAsia" w:ascii="宋体" w:hAnsi="宋体" w:eastAsia="宋体" w:cs="宋体"/>
          <w:color w:val="auto"/>
          <w:sz w:val="21"/>
          <w:szCs w:val="21"/>
          <w:highlight w:val="none"/>
        </w:rPr>
        <w:t>。</w:t>
      </w:r>
    </w:p>
    <w:p w14:paraId="130B3DBD">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（2）交货方式：</w:t>
      </w:r>
    </w:p>
    <w:p w14:paraId="66D2A2B5">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☑乙方将货物送到甲方指定地点。</w:t>
      </w:r>
    </w:p>
    <w:p w14:paraId="7B06F5AB">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□甲方自行到乙方指定地点提货。</w:t>
      </w:r>
    </w:p>
    <w:p w14:paraId="06C8E65E">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05BA5E0">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（3）卸货费用由乙方承担。</w:t>
      </w:r>
    </w:p>
    <w:p w14:paraId="08C60B25">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06" w:name="_Toc10041"/>
      <w:bookmarkStart w:id="107" w:name="_Toc17278"/>
      <w:bookmarkStart w:id="108" w:name="_Toc17423"/>
      <w:r>
        <w:rPr>
          <w:rFonts w:hint="eastAsia"/>
          <w:color w:val="auto"/>
          <w:sz w:val="21"/>
          <w:szCs w:val="21"/>
          <w:highlight w:val="none"/>
        </w:rPr>
        <w:t>第四条　包装方式及运输</w:t>
      </w:r>
      <w:bookmarkEnd w:id="106"/>
      <w:bookmarkEnd w:id="107"/>
      <w:bookmarkEnd w:id="108"/>
    </w:p>
    <w:p w14:paraId="1A34250C">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1.乙方提供的货物均应按投标文件承诺的包装要求进行包装及运输,要求为原厂原包装，包装完好完整、无破损、未开封。国家对包装及运输有相关强制性标准或要求的，乙方应当执行。</w:t>
      </w:r>
    </w:p>
    <w:p w14:paraId="63E0F914">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2.乙方的包装及运输应综合考虑运输距离、防水、防潮、防震、防锈和防破损装卸等要求，以保证货物安全、完好运达甲方指定地点。国家对包装及运输有相关强制性标准或要求的，乙方应当执行。</w:t>
      </w:r>
    </w:p>
    <w:p w14:paraId="121F0843">
      <w:pPr>
        <w:pStyle w:val="21"/>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3.货物的使用说明书（货物属于进口产品的，供货时应同时附上中文使用说明书）、质量检验证明书、质量合格证、随配附件和工具以及清单一并附于货物包装内。</w:t>
      </w:r>
    </w:p>
    <w:p w14:paraId="013BB267">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4.产品（含包装）运抵甲方指定交付地点并经甲方验收合格前发生损坏及相关风险由乙方自行承担。</w:t>
      </w:r>
    </w:p>
    <w:p w14:paraId="372E2C5F">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5.乙方负责货物运输，货物运输合理损耗及计算方法：</w:t>
      </w:r>
      <w:r>
        <w:rPr>
          <w:rFonts w:hint="eastAsia" w:ascii="宋体" w:hAnsi="宋体" w:eastAsia="宋体" w:cs="宋体"/>
          <w:color w:val="auto"/>
          <w:sz w:val="21"/>
          <w:szCs w:val="21"/>
          <w:highlight w:val="none"/>
          <w:u w:val="single"/>
        </w:rPr>
        <w:t>由乙方负责</w:t>
      </w:r>
      <w:r>
        <w:rPr>
          <w:rFonts w:hint="eastAsia" w:ascii="宋体" w:hAnsi="宋体" w:eastAsia="宋体" w:cs="宋体"/>
          <w:color w:val="auto"/>
          <w:sz w:val="21"/>
          <w:szCs w:val="21"/>
          <w:highlight w:val="none"/>
        </w:rPr>
        <w:t>。</w:t>
      </w:r>
    </w:p>
    <w:p w14:paraId="034C860B">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6.乙方在货物发运手续办理完毕后二十四小时内或货到甲方四十八小时前通知甲方，以准备接货。</w:t>
      </w:r>
    </w:p>
    <w:p w14:paraId="33C41A2D">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7.乙方应将所提供货物的装箱清单、用户手册、原厂保修卡、随机资料、工具和备品、备件等一并交付给甲方，如有缺失应及时补齐，否则视为逾期交货。</w:t>
      </w:r>
    </w:p>
    <w:p w14:paraId="0FABE91B">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09" w:name="_Toc22751"/>
      <w:bookmarkStart w:id="110" w:name="_Toc10404"/>
      <w:bookmarkStart w:id="111" w:name="_Toc6945"/>
      <w:r>
        <w:rPr>
          <w:rFonts w:hint="eastAsia"/>
          <w:color w:val="auto"/>
          <w:sz w:val="21"/>
          <w:szCs w:val="21"/>
          <w:highlight w:val="none"/>
        </w:rPr>
        <w:t>第五条　安装和培训</w:t>
      </w:r>
      <w:bookmarkEnd w:id="109"/>
      <w:bookmarkEnd w:id="110"/>
      <w:bookmarkEnd w:id="111"/>
    </w:p>
    <w:p w14:paraId="3F5A67AE">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1.安装时间及地点：</w:t>
      </w:r>
      <w:r>
        <w:rPr>
          <w:rFonts w:hint="eastAsia" w:ascii="宋体" w:hAnsi="宋体" w:eastAsia="宋体" w:cs="宋体"/>
          <w:color w:val="auto"/>
          <w:sz w:val="21"/>
          <w:szCs w:val="21"/>
          <w:highlight w:val="none"/>
          <w:u w:val="single"/>
        </w:rPr>
        <w:t>甲方指定的时间和地点</w:t>
      </w:r>
      <w:r>
        <w:rPr>
          <w:rFonts w:hint="eastAsia" w:ascii="宋体" w:hAnsi="宋体" w:eastAsia="宋体" w:cs="宋体"/>
          <w:color w:val="auto"/>
          <w:sz w:val="21"/>
          <w:szCs w:val="21"/>
          <w:highlight w:val="none"/>
        </w:rPr>
        <w:t>。</w:t>
      </w:r>
    </w:p>
    <w:p w14:paraId="646BD538">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2.安装要求：</w:t>
      </w:r>
      <w:r>
        <w:rPr>
          <w:rFonts w:hint="eastAsia" w:ascii="宋体" w:hAnsi="宋体" w:eastAsia="宋体" w:cs="宋体"/>
          <w:color w:val="auto"/>
          <w:sz w:val="21"/>
          <w:szCs w:val="21"/>
          <w:highlight w:val="none"/>
          <w:u w:val="single"/>
        </w:rPr>
        <w:t>乙方应当按招标文件要求或甲方要求进行安装</w:t>
      </w:r>
      <w:r>
        <w:rPr>
          <w:rFonts w:hint="eastAsia" w:ascii="宋体" w:hAnsi="宋体" w:eastAsia="宋体" w:cs="宋体"/>
          <w:color w:val="auto"/>
          <w:sz w:val="21"/>
          <w:szCs w:val="21"/>
          <w:highlight w:val="none"/>
        </w:rPr>
        <w:t>。</w:t>
      </w:r>
    </w:p>
    <w:p w14:paraId="5E971064">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3.甲方应提供必要安装条件（如场地、电源、水源等）。</w:t>
      </w:r>
    </w:p>
    <w:p w14:paraId="5CF2EC57">
      <w:pPr>
        <w:pStyle w:val="21"/>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乙方应当按照投标文件的承诺负责对甲方有关人员进行培训，使甲方使用人员熟练掌握设备的全部功能，培训的相关费用包括在合同价款中，甲方不再另行支付。培训时间：货物安装调试合格完毕并交付使用后的</w:t>
      </w:r>
      <w:r>
        <w:rPr>
          <w:rFonts w:hint="eastAsia" w:ascii="宋体" w:hAnsi="宋体" w:eastAsia="宋体" w:cs="宋体"/>
          <w:color w:val="auto"/>
          <w:sz w:val="21"/>
          <w:szCs w:val="21"/>
          <w:highlight w:val="none"/>
          <w:u w:val="single"/>
          <w:lang w:val="en-US" w:eastAsia="zh-CN"/>
        </w:rPr>
        <w:t xml:space="preserve"> 1</w:t>
      </w:r>
      <w:r>
        <w:rPr>
          <w:rFonts w:hint="eastAsia" w:ascii="宋体" w:hAnsi="宋体" w:eastAsia="宋体" w:cs="宋体"/>
          <w:color w:val="auto"/>
          <w:sz w:val="21"/>
          <w:szCs w:val="21"/>
          <w:highlight w:val="none"/>
          <w:lang w:val="en-US" w:eastAsia="zh-CN"/>
        </w:rPr>
        <w:t>天内，具体时间由甲方指定；培训地点：</w:t>
      </w:r>
      <w:r>
        <w:rPr>
          <w:rFonts w:hint="eastAsia" w:ascii="宋体" w:hAnsi="宋体" w:eastAsia="宋体" w:cs="宋体"/>
          <w:color w:val="auto"/>
          <w:sz w:val="21"/>
          <w:szCs w:val="21"/>
          <w:highlight w:val="none"/>
          <w:u w:val="single"/>
          <w:lang w:val="en-US" w:eastAsia="zh-CN"/>
        </w:rPr>
        <w:t>广西桂林市内采购人指定地点</w:t>
      </w:r>
      <w:r>
        <w:rPr>
          <w:rFonts w:hint="eastAsia" w:ascii="宋体" w:hAnsi="宋体" w:eastAsia="宋体" w:cs="宋体"/>
          <w:color w:val="auto"/>
          <w:sz w:val="21"/>
          <w:szCs w:val="21"/>
          <w:highlight w:val="none"/>
          <w:lang w:val="en-US" w:eastAsia="zh-CN"/>
        </w:rPr>
        <w:t>。</w:t>
      </w:r>
    </w:p>
    <w:p w14:paraId="1417B576">
      <w:pPr>
        <w:pStyle w:val="21"/>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乙方在安装、调试以及培训期间，应采取严格安全保障措施，承担安全保障义务，安装调试以及培训期间发生的人身或财产损害事件，一切责任与法律后果均由乙方自行承担，给甲方造成损失的，乙方应当予以全部赔偿。</w:t>
      </w:r>
    </w:p>
    <w:p w14:paraId="2A87CF76">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12" w:name="_Toc19891"/>
      <w:bookmarkStart w:id="113" w:name="_Toc478"/>
      <w:bookmarkStart w:id="114" w:name="_Toc354"/>
      <w:r>
        <w:rPr>
          <w:rFonts w:hint="eastAsia"/>
          <w:color w:val="auto"/>
          <w:sz w:val="21"/>
          <w:szCs w:val="21"/>
          <w:highlight w:val="none"/>
        </w:rPr>
        <w:t>第六条　合同价款及支付</w:t>
      </w:r>
      <w:bookmarkEnd w:id="112"/>
      <w:bookmarkEnd w:id="113"/>
      <w:bookmarkEnd w:id="114"/>
    </w:p>
    <w:p w14:paraId="4D8C9B8E">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1.本合同以人民币付款。</w:t>
      </w:r>
    </w:p>
    <w:p w14:paraId="39C9BD4F">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2.合同价款 (人民币):（大写）：</w:t>
      </w:r>
      <w:r>
        <w:rPr>
          <w:rFonts w:hint="eastAsia" w:ascii="宋体" w:hAnsi="宋体" w:eastAsia="宋体" w:cs="宋体"/>
          <w:color w:val="auto"/>
          <w:sz w:val="21"/>
          <w:szCs w:val="21"/>
          <w:highlight w:val="none"/>
          <w:u w:val="single"/>
        </w:rPr>
        <w:t xml:space="preserve">      </w:t>
      </w:r>
      <w:r>
        <w:rPr>
          <w:rFonts w:hint="eastAsia"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（小写） ¥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7684E81">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3.资金性质：</w:t>
      </w:r>
      <w:r>
        <w:rPr>
          <w:rFonts w:hint="eastAsia" w:ascii="宋体" w:hAnsi="宋体" w:eastAsia="宋体" w:cs="宋体"/>
          <w:color w:val="auto"/>
          <w:sz w:val="21"/>
          <w:szCs w:val="21"/>
          <w:highlight w:val="none"/>
          <w:u w:val="single"/>
        </w:rPr>
        <w:t>财政性资金</w:t>
      </w:r>
      <w:r>
        <w:rPr>
          <w:rFonts w:hint="eastAsia" w:ascii="宋体" w:hAnsi="宋体" w:eastAsia="宋体" w:cs="宋体"/>
          <w:color w:val="auto"/>
          <w:sz w:val="21"/>
          <w:szCs w:val="21"/>
          <w:highlight w:val="none"/>
        </w:rPr>
        <w:t>。</w:t>
      </w:r>
    </w:p>
    <w:p w14:paraId="1241DEF8">
      <w:pPr>
        <w:pStyle w:val="21"/>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4.合同价款是履行合同的最终价格，包括所提供的货物（包括备品备件、专用工具等）的价格，</w:t>
      </w:r>
      <w:r>
        <w:rPr>
          <w:rFonts w:hint="eastAsia" w:ascii="宋体" w:hAnsi="宋体" w:eastAsia="宋体" w:cs="宋体"/>
          <w:color w:val="auto"/>
          <w:sz w:val="21"/>
          <w:szCs w:val="21"/>
          <w:highlight w:val="none"/>
          <w:lang w:val="en-US" w:eastAsia="zh-CN"/>
        </w:rPr>
        <w:t>以及</w:t>
      </w:r>
      <w:r>
        <w:rPr>
          <w:rFonts w:hint="eastAsia" w:ascii="宋体" w:hAnsi="宋体" w:eastAsia="宋体" w:cs="宋体"/>
          <w:color w:val="auto"/>
          <w:sz w:val="21"/>
          <w:szCs w:val="21"/>
          <w:highlight w:val="none"/>
        </w:rPr>
        <w:t>投标货物包装、运输、装卸、送货上门、安装、调试、检验、售后服务、技术服务、培训、保险、税金、招标文件要求提供的所有伴随服务、工程等费用和税费。</w:t>
      </w:r>
    </w:p>
    <w:p w14:paraId="71A14823">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w:t>
      </w:r>
      <w:r>
        <w:rPr>
          <w:rFonts w:hint="eastAsia" w:ascii="宋体" w:hAnsi="宋体" w:eastAsia="宋体" w:cs="宋体"/>
          <w:color w:val="auto"/>
          <w:sz w:val="21"/>
          <w:szCs w:val="21"/>
          <w:highlight w:val="none"/>
        </w:rPr>
        <w:t>付款进度安排:付款进度安排:签订合同后30个工作日内，支付合同价款的30%，设备安装验收合格正常使用后30个工作日内，支付合同价款的70%。乙方须在设备验收合格后及时向甲方提供符合国家规定及甲方要求的全额有效的税务发票，甲方未收到发票的，有权不予支付相应款项直至乙方提供合格发票，并不承担延迟付款责任。发票认证通过是付款的必要前提之一</w:t>
      </w:r>
      <w:r>
        <w:rPr>
          <w:rFonts w:hint="eastAsia" w:ascii="宋体" w:hAnsi="宋体" w:eastAsia="宋体" w:cs="宋体"/>
          <w:color w:val="auto"/>
          <w:spacing w:val="-6"/>
          <w:sz w:val="21"/>
          <w:szCs w:val="21"/>
          <w:highlight w:val="none"/>
        </w:rPr>
        <w:t>。</w:t>
      </w:r>
    </w:p>
    <w:p w14:paraId="338E4FA8">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6.资金支付方式：</w:t>
      </w:r>
      <w:r>
        <w:rPr>
          <w:rFonts w:hint="eastAsia" w:ascii="宋体" w:hAnsi="宋体" w:eastAsia="宋体" w:cs="宋体"/>
          <w:color w:val="auto"/>
          <w:sz w:val="21"/>
          <w:szCs w:val="21"/>
          <w:highlight w:val="none"/>
          <w:u w:val="single"/>
        </w:rPr>
        <w:t xml:space="preserve">    （银行转账）   </w:t>
      </w:r>
      <w:r>
        <w:rPr>
          <w:rFonts w:hint="eastAsia" w:ascii="宋体" w:hAnsi="宋体" w:eastAsia="宋体" w:cs="宋体"/>
          <w:color w:val="auto"/>
          <w:sz w:val="21"/>
          <w:szCs w:val="21"/>
          <w:highlight w:val="none"/>
        </w:rPr>
        <w:t xml:space="preserve">。 </w:t>
      </w:r>
    </w:p>
    <w:p w14:paraId="78D43B46">
      <w:pPr>
        <w:pStyle w:val="19"/>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银行账户</w:t>
      </w:r>
      <w:r>
        <w:rPr>
          <w:rFonts w:hint="eastAsia" w:ascii="宋体" w:hAnsi="宋体" w:eastAsia="宋体" w:cs="宋体"/>
          <w:color w:val="auto"/>
          <w:sz w:val="21"/>
          <w:szCs w:val="21"/>
          <w:highlight w:val="none"/>
          <w:lang w:val="en-US" w:eastAsia="zh-CN"/>
        </w:rPr>
        <w:t>信息：</w:t>
      </w:r>
    </w:p>
    <w:p w14:paraId="63B5682F">
      <w:pPr>
        <w:pStyle w:val="19"/>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开户银行：XX银行XX支行</w:t>
      </w:r>
    </w:p>
    <w:p w14:paraId="1ECF6019">
      <w:pPr>
        <w:pStyle w:val="19"/>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账号名称：XX</w:t>
      </w:r>
    </w:p>
    <w:p w14:paraId="131173A7">
      <w:pPr>
        <w:pStyle w:val="19"/>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账号：XX</w:t>
      </w:r>
    </w:p>
    <w:p w14:paraId="434BA0E7">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7.采购合同履行中，甲方需追加与合同标的相同的货物的，在不改变合同其他条款的前提下，可以与乙方协商签订补充合同，但所有补充合同的采购金额不得超过原合同采购金额的10%。</w:t>
      </w:r>
    </w:p>
    <w:p w14:paraId="086DCAC0">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15" w:name="_Toc12349"/>
      <w:bookmarkStart w:id="116" w:name="_Toc10541"/>
      <w:bookmarkStart w:id="117" w:name="_Toc19633"/>
      <w:r>
        <w:rPr>
          <w:rFonts w:hint="eastAsia"/>
          <w:color w:val="auto"/>
          <w:sz w:val="21"/>
          <w:szCs w:val="21"/>
          <w:highlight w:val="none"/>
        </w:rPr>
        <w:t xml:space="preserve">第七条 </w:t>
      </w:r>
      <w:r>
        <w:rPr>
          <w:rFonts w:hint="eastAsia"/>
          <w:color w:val="auto"/>
          <w:sz w:val="21"/>
          <w:szCs w:val="21"/>
          <w:highlight w:val="none"/>
          <w:lang w:val="en-US" w:eastAsia="zh-CN"/>
        </w:rPr>
        <w:t xml:space="preserve"> </w:t>
      </w:r>
      <w:r>
        <w:rPr>
          <w:rFonts w:hint="eastAsia"/>
          <w:color w:val="auto"/>
          <w:sz w:val="21"/>
          <w:szCs w:val="21"/>
          <w:highlight w:val="none"/>
        </w:rPr>
        <w:t>保险、税费</w:t>
      </w:r>
      <w:bookmarkEnd w:id="115"/>
      <w:bookmarkEnd w:id="116"/>
      <w:bookmarkEnd w:id="117"/>
    </w:p>
    <w:p w14:paraId="47E3DCB1">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rPr>
        <w:t>1.若乙方为本项目标的及标的涉及的相关材料、设备、人员、运输等购买保险的，相关费用由乙方自行承担。</w:t>
      </w:r>
    </w:p>
    <w:p w14:paraId="6C1EC2E1">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2.本合同执行中相关的一切税费均由乙方负担。</w:t>
      </w:r>
    </w:p>
    <w:p w14:paraId="1C6138CE">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18" w:name="_Toc28460"/>
      <w:bookmarkStart w:id="119" w:name="_Toc26057"/>
      <w:bookmarkStart w:id="120" w:name="_Toc30715"/>
      <w:r>
        <w:rPr>
          <w:rFonts w:hint="eastAsia"/>
          <w:color w:val="auto"/>
          <w:sz w:val="21"/>
          <w:szCs w:val="21"/>
          <w:highlight w:val="none"/>
        </w:rPr>
        <w:t>第八条　验收、交付标准和方法</w:t>
      </w:r>
      <w:bookmarkEnd w:id="118"/>
      <w:bookmarkEnd w:id="119"/>
      <w:bookmarkEnd w:id="120"/>
    </w:p>
    <w:p w14:paraId="250754C0">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1.履约验收时间：</w:t>
      </w:r>
    </w:p>
    <w:p w14:paraId="1F6902A3">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（1）初步验收：标的到达甲方指定地点之日起7个工作日内。</w:t>
      </w:r>
    </w:p>
    <w:p w14:paraId="579FBAF2">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（2）交付验收：标的安装调试完毕之日起7个工作日内。</w:t>
      </w:r>
    </w:p>
    <w:p w14:paraId="1C187140">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（3）最终验收：乙方履行完合同约定的应当由乙方履行的全部事项之日起7个工作日内。</w:t>
      </w:r>
    </w:p>
    <w:p w14:paraId="1A854FCC">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2.履约验收程序：</w:t>
      </w:r>
    </w:p>
    <w:p w14:paraId="0A7CEFE4">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到达甲方指定地点，甲方在规定的时间内进行初步验收；初步验收合格、标的安装调试完毕后，甲方在规定的时间内进行交付验收；交付验收合格，乙方履行完合同约定的应当由乙方履行的全部事项之日起7个工作日内进行最终验收。</w:t>
      </w:r>
    </w:p>
    <w:p w14:paraId="551D9C15">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3.履约验收内容：</w:t>
      </w:r>
    </w:p>
    <w:p w14:paraId="79852E45">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甲方依据招标文件相关要求、乙方的投标承诺以及国家有关质量标准，就乙方对标的每一项技术、商务要求等相关内容进行验收。</w:t>
      </w:r>
    </w:p>
    <w:p w14:paraId="3C14AFDA">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4.履约验收标准：</w:t>
      </w:r>
    </w:p>
    <w:p w14:paraId="5C31D21A">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（1）初步验收：</w:t>
      </w:r>
    </w:p>
    <w:p w14:paraId="07F5210C">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在规定的时间内到货，标的（含包装）完整、完好，与投标承诺的产品（制造商、品牌、规格型号等）一致，标的无明显瑕疵、无损坏，装箱清单、用户手册、原厂保修卡、安装操作使用和维护手册、随机资料等所有技术资料、工具和备品、备件齐全。全部满足以上情形的，视为初步验收合格，标的不符合上述情形的，甲方在初步验收后七个工作日内以书面形式向乙方提出，乙方应自收到甲方书面异议后七个工作日内及时予以解决，否则，视为初步验收不合格，不予进行交付验收。</w:t>
      </w:r>
    </w:p>
    <w:p w14:paraId="4FE3B646">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（2）交付验收：</w:t>
      </w:r>
    </w:p>
    <w:p w14:paraId="21BB93CE">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的技术指标与乙方的投标承诺一致或更高，且满足招标文件全部实质性要求，视为交付验收合格。标的不符合上述情形的，甲方在交付验收后七个工作日内以书面形式向乙方提出，乙方应自收到甲方书面异议后七个工作日内及时予以解决，否则，视为交付验收不合格。</w:t>
      </w:r>
    </w:p>
    <w:p w14:paraId="43228ADF">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（3）最终验收：</w:t>
      </w:r>
    </w:p>
    <w:p w14:paraId="116FD259">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标的交付验收合格投入使用后，乙方提供的售后服务与其投标承诺一致或更优，且乙方履行完合同约定的应当由乙方履行的全部事项之，视为最终验收合格。</w:t>
      </w:r>
    </w:p>
    <w:p w14:paraId="421972C1">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5.其他事项：</w:t>
      </w:r>
    </w:p>
    <w:p w14:paraId="55AE90D6">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（1）验收时，甲方与乙方双方应当派员在场，并对验收结果签署意见，否则视为其同意验收结果。</w:t>
      </w:r>
    </w:p>
    <w:p w14:paraId="534533EC">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由于乙方的原因造成甲方验收不合格、影响甲方正常使用的，由此造成的损失由乙方承担。初步验收或交付验收不合格的，甲方有权终止合同并全部退货，同时报相关监督管理部门处理，由此造成甲方经济损失的由乙方负责承担全部赔偿责任。</w:t>
      </w:r>
    </w:p>
    <w:p w14:paraId="5493C1CF">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（3）对技术复杂的货物，甲方可请国家认可的专业检测机构参与初步验收及交付验收，并由其出具质量检测报告，费用由乙方承担。</w:t>
      </w:r>
    </w:p>
    <w:p w14:paraId="1E5F7CFD">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（4）验收过程中所产生的一切费用均由乙方承担，乙方在投标报价时应综合考虑相关费用。</w:t>
      </w:r>
    </w:p>
    <w:p w14:paraId="7B64CD3F">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（5）甲方对产品的验收不免除乙方的质量保证责任。</w:t>
      </w:r>
    </w:p>
    <w:p w14:paraId="51771E0B">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.交付标准和方法</w:t>
      </w:r>
      <w:r>
        <w:rPr>
          <w:rFonts w:hint="eastAsia" w:ascii="宋体" w:hAnsi="宋体" w:eastAsia="宋体" w:cs="宋体"/>
          <w:color w:val="auto"/>
          <w:sz w:val="21"/>
          <w:szCs w:val="21"/>
          <w:highlight w:val="none"/>
          <w:lang w:eastAsia="zh-CN"/>
        </w:rPr>
        <w:t>：</w:t>
      </w:r>
    </w:p>
    <w:p w14:paraId="114C8690">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（1）除售后服务</w:t>
      </w:r>
      <w:r>
        <w:rPr>
          <w:rFonts w:hint="eastAsia" w:ascii="宋体" w:hAnsi="宋体" w:eastAsia="宋体" w:cs="宋体"/>
          <w:color w:val="auto"/>
          <w:spacing w:val="11"/>
          <w:sz w:val="21"/>
          <w:szCs w:val="21"/>
          <w:highlight w:val="none"/>
        </w:rPr>
        <w:t>验收外，验收结论合格的，乙方应自收到验收书</w:t>
      </w:r>
      <w:r>
        <w:rPr>
          <w:rFonts w:hint="eastAsia" w:ascii="宋体" w:hAnsi="宋体" w:eastAsia="宋体" w:cs="宋体"/>
          <w:color w:val="auto"/>
          <w:sz w:val="21"/>
          <w:szCs w:val="21"/>
          <w:highlight w:val="none"/>
        </w:rPr>
        <w:t>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日内向甲方交付使用。</w:t>
      </w:r>
    </w:p>
    <w:p w14:paraId="0AF4CB6C">
      <w:pPr>
        <w:pageBreakBefore w:val="0"/>
        <w:kinsoku/>
        <w:wordWrap/>
        <w:overflowPunct/>
        <w:topLinePunct w:val="0"/>
        <w:bidi w:val="0"/>
        <w:spacing w:line="288" w:lineRule="auto"/>
        <w:ind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（2）货物的所有权和风险自交付验收合格时起由乙方转移至甲方，货物交付甲方且经验收合格之前所有风险均由乙方承担。</w:t>
      </w:r>
    </w:p>
    <w:p w14:paraId="359D3BEF">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21" w:name="_Toc25675"/>
      <w:bookmarkStart w:id="122" w:name="_Toc2521"/>
      <w:bookmarkStart w:id="123" w:name="_Toc16819"/>
      <w:r>
        <w:rPr>
          <w:rFonts w:hint="eastAsia"/>
          <w:color w:val="auto"/>
          <w:sz w:val="21"/>
          <w:szCs w:val="21"/>
          <w:highlight w:val="none"/>
        </w:rPr>
        <w:t>第九条  售后服务</w:t>
      </w:r>
      <w:bookmarkEnd w:id="121"/>
      <w:bookmarkEnd w:id="122"/>
      <w:bookmarkEnd w:id="123"/>
    </w:p>
    <w:p w14:paraId="3B2FA837">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1.乙方应按照国家有关法律法规规定以及投标承诺，为甲方提供售后服务。</w:t>
      </w:r>
    </w:p>
    <w:p w14:paraId="7423ED44">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2.质量保修范围:</w:t>
      </w:r>
      <w:r>
        <w:rPr>
          <w:rFonts w:hint="eastAsia" w:ascii="宋体" w:hAnsi="宋体" w:eastAsia="宋体" w:cs="宋体"/>
          <w:color w:val="auto"/>
          <w:sz w:val="21"/>
          <w:szCs w:val="21"/>
          <w:highlight w:val="none"/>
          <w:u w:val="single"/>
        </w:rPr>
        <w:t xml:space="preserve"> 本项目采购范围内的所有设备</w:t>
      </w:r>
      <w:r>
        <w:rPr>
          <w:rFonts w:hint="eastAsia" w:ascii="宋体" w:hAnsi="宋体" w:eastAsia="宋体" w:cs="宋体"/>
          <w:color w:val="auto"/>
          <w:sz w:val="21"/>
          <w:szCs w:val="21"/>
          <w:highlight w:val="none"/>
        </w:rPr>
        <w:t>。免费保修期内上门维修（维修费和元器件费包含在投标报价中）、更换零部件，软件终身免费升级服务，设备生产厂家提供远程联机维护服务，能对设备进行软件升级及故障分析；保修期：按乙方投标承诺（且不低于甲方要求）执行。</w:t>
      </w:r>
    </w:p>
    <w:p w14:paraId="3D4A2B3B">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3.免费保修期：</w:t>
      </w:r>
      <w:r>
        <w:rPr>
          <w:rFonts w:hint="eastAsia" w:ascii="宋体" w:hAnsi="宋体" w:eastAsia="宋体" w:cs="宋体"/>
          <w:bCs/>
          <w:color w:val="auto"/>
          <w:sz w:val="21"/>
          <w:szCs w:val="21"/>
          <w:highlight w:val="none"/>
        </w:rPr>
        <w:t>按国家有关产品“三包”规定执行“三包”；免费保修期为</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年（免费保修期从设备验收合格之日起计算），免费保修期内上门维修不收取任何费用，</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备用机</w:t>
      </w:r>
      <w:r>
        <w:rPr>
          <w:rFonts w:hint="eastAsia" w:ascii="宋体" w:hAnsi="宋体" w:eastAsia="宋体" w:cs="宋体"/>
          <w:bCs/>
          <w:color w:val="auto"/>
          <w:sz w:val="21"/>
          <w:szCs w:val="21"/>
          <w:highlight w:val="none"/>
        </w:rPr>
        <w:t>。</w:t>
      </w:r>
    </w:p>
    <w:p w14:paraId="14014BC5">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4.在免费保修期内因货物本身的质量问题发生故障，乙方应负责免费修理和更换零部件。对达不到技术要求者，根据实际情况，甲方有权按以下办法处理：</w:t>
      </w:r>
    </w:p>
    <w:p w14:paraId="1C4F638C">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（1）更换：由乙方承担所发生的全部费用。</w:t>
      </w:r>
    </w:p>
    <w:p w14:paraId="6C2AE08F">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（2）贬值处理：由甲乙双方合议定价。</w:t>
      </w:r>
    </w:p>
    <w:p w14:paraId="15324F15">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（3）退货处理：乙方应退还甲方支付的合同款，同时应承担该货物的直接费用（运输、保险、检验、货款利息及银行手续费等）。</w:t>
      </w:r>
    </w:p>
    <w:p w14:paraId="7E57F596">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5.如在使用过程中发生质量问题，乙方在接到甲方通知后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小时内响应，</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小时内到达现场进行处理，到达现场后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小时内排除故障，恢复正常使用。乙方逾期响应、到达现场、排除故障或者无法排除故障的，甲方有权自行或寻找第三方机构获得维修、维护等售后服务，全部费用由乙方承担，且无需经过乙方同意、确认。</w:t>
      </w:r>
    </w:p>
    <w:p w14:paraId="79D733C1">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6.在免费保修期内，乙方应对货物出现的质量及安全问题负责处理解决并承担一切费用。</w:t>
      </w:r>
    </w:p>
    <w:p w14:paraId="55E4F3F6">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7.本项目采购范围内的货物因人为因素出现的故障不在免费保修范围内。超过免费保修期的机器设备，提供终生维修服务，乙方仅收取合理成本。</w:t>
      </w:r>
    </w:p>
    <w:p w14:paraId="5F06D2BD">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8.乙方提供的货物在免费保修期内，因设计、工艺或材料的缺陷和其它质量原因造成的问题，由乙方负责，费用从最后一笔支付的合同价款当中扣除，不足以扣除的，由乙方另行支付。</w:t>
      </w:r>
    </w:p>
    <w:p w14:paraId="7B3D1CCD">
      <w:pPr>
        <w:pageBreakBefore w:val="0"/>
        <w:kinsoku/>
        <w:wordWrap/>
        <w:overflowPunct/>
        <w:topLinePunct w:val="0"/>
        <w:bidi w:val="0"/>
        <w:spacing w:line="288"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9.乙方提供的服务承诺和售后服务及免费保修期责任等其它具体约定事项。（见合同附件）</w:t>
      </w:r>
    </w:p>
    <w:p w14:paraId="61D00AD2">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24" w:name="_Toc1703"/>
      <w:bookmarkStart w:id="125" w:name="_Toc24673"/>
      <w:bookmarkStart w:id="126" w:name="_Toc31485"/>
      <w:r>
        <w:rPr>
          <w:rFonts w:hint="eastAsia"/>
          <w:color w:val="auto"/>
          <w:sz w:val="21"/>
          <w:szCs w:val="21"/>
          <w:highlight w:val="none"/>
        </w:rPr>
        <w:t>第十条　履约保证金</w:t>
      </w:r>
      <w:bookmarkEnd w:id="124"/>
      <w:bookmarkEnd w:id="125"/>
      <w:bookmarkEnd w:id="126"/>
    </w:p>
    <w:p w14:paraId="55FA0206">
      <w:pPr>
        <w:pageBreakBefore w:val="0"/>
        <w:kinsoku/>
        <w:wordWrap/>
        <w:overflowPunct/>
        <w:topLinePunct w:val="0"/>
        <w:autoSpaceDE w:val="0"/>
        <w:autoSpaceDN w:val="0"/>
        <w:bidi w:val="0"/>
        <w:spacing w:line="288" w:lineRule="auto"/>
        <w:ind w:firstLine="424" w:firstLineChars="202"/>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1.履约保证金金额：本项目不收取履约保证金。</w:t>
      </w:r>
    </w:p>
    <w:p w14:paraId="7C6B7A54">
      <w:pPr>
        <w:pageBreakBefore w:val="0"/>
        <w:kinsoku/>
        <w:wordWrap/>
        <w:overflowPunct/>
        <w:topLinePunct w:val="0"/>
        <w:bidi w:val="0"/>
        <w:spacing w:line="288" w:lineRule="auto"/>
        <w:ind w:firstLine="420" w:firstLineChars="200"/>
        <w:rPr>
          <w:rFonts w:hint="eastAsia" w:ascii="宋体" w:hAnsi="宋体" w:eastAsia="宋体" w:cs="宋体"/>
          <w:sz w:val="21"/>
          <w:szCs w:val="21"/>
        </w:rPr>
      </w:pPr>
      <w:bookmarkStart w:id="127" w:name="_Toc738"/>
      <w:bookmarkStart w:id="128" w:name="_Toc27705"/>
      <w:r>
        <w:rPr>
          <w:rFonts w:hint="eastAsia" w:ascii="宋体" w:hAnsi="宋体" w:eastAsia="宋体" w:cs="宋体"/>
          <w:sz w:val="21"/>
          <w:szCs w:val="21"/>
        </w:rPr>
        <w:t>2.履约保证金的形式：银行转账、银行保函、电子保函等。</w:t>
      </w:r>
      <w:bookmarkEnd w:id="127"/>
    </w:p>
    <w:p w14:paraId="4A655211">
      <w:pPr>
        <w:pageBreakBefore w:val="0"/>
        <w:kinsoku/>
        <w:wordWrap/>
        <w:overflowPunct/>
        <w:topLinePunct w:val="0"/>
        <w:bidi w:val="0"/>
        <w:spacing w:line="288" w:lineRule="auto"/>
        <w:ind w:firstLine="420" w:firstLineChars="200"/>
        <w:rPr>
          <w:rFonts w:hint="eastAsia" w:ascii="宋体" w:hAnsi="宋体" w:eastAsia="宋体" w:cs="宋体"/>
          <w:sz w:val="21"/>
          <w:szCs w:val="21"/>
        </w:rPr>
      </w:pPr>
      <w:bookmarkStart w:id="129" w:name="_Toc27357"/>
      <w:r>
        <w:rPr>
          <w:rFonts w:hint="eastAsia" w:ascii="宋体" w:hAnsi="宋体" w:eastAsia="宋体" w:cs="宋体"/>
          <w:sz w:val="21"/>
          <w:szCs w:val="21"/>
        </w:rPr>
        <w:t>3.履约保证金的缴纳时间：乙方在收到中标通知书后正式签订合同前向甲方足额提交履约保证金，否则甲方可以取消其中标资格。</w:t>
      </w:r>
      <w:bookmarkEnd w:id="129"/>
    </w:p>
    <w:p w14:paraId="4F27C45B">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30" w:name="_Toc8983"/>
      <w:bookmarkStart w:id="131" w:name="_Toc1919"/>
      <w:r>
        <w:rPr>
          <w:rFonts w:hint="eastAsia"/>
          <w:color w:val="auto"/>
          <w:sz w:val="21"/>
          <w:szCs w:val="21"/>
          <w:highlight w:val="none"/>
        </w:rPr>
        <w:t>第十一条　违约责任</w:t>
      </w:r>
      <w:bookmarkEnd w:id="128"/>
      <w:bookmarkEnd w:id="130"/>
      <w:bookmarkEnd w:id="131"/>
    </w:p>
    <w:p w14:paraId="3BD47A07">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1.合同一方不履行合同义务、履行合同义务不符合约定或者违反合同项下所作保证的， 应向对方承担继续履行、采取修理、更换、退货等补救措施或者赔偿损失等违约责任。</w:t>
      </w:r>
    </w:p>
    <w:p w14:paraId="78B41726">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2.乙方延迟交付货物的，应向甲方支付延迟违约金。延迟违约金的计算方法如下：每延迟一天向对方偿付货款总额3‰违约金，超过30 天甲方有权解除合同，乙方承担因此给甲方造成的全部损失，并按照货款总额的15%向甲方支付违约金，且乙方应当退还甲方支付过的全部费用。如延迟交付必然导致合同货物安装、调试、验收等工作推迟的，相关工作应相应顺延。</w:t>
      </w:r>
    </w:p>
    <w:p w14:paraId="66B54275">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甲方未能按合同约定支付合同价款的，经乙方书面催告，甲方无正当理由在合理期限（不少于10个工作日）内仍未支付的，自合理期限届满之次日起，应向乙方支付延迟付款违约金。延迟付款违约金的计算方法如下：每延迟一天向乙方偿付当期应付未付金额0.3‰违约金，但违约金累计不得超过当期应付未付总额的5%。</w:t>
      </w:r>
    </w:p>
    <w:p w14:paraId="69ECD240">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乙方提供的产品不符合本合同约定或存在质量问题的，乙方应当按照本合同约定以及甲方要求进行退换，并承担由此产生的一切费用，因退换导致逾期交货的，乙方应当按照本合同第十一条第2点的内容承担逾期交货违约责任；乙方拒绝退换的，甲方有权解除合同，乙方应当自行取回货物，甲方不承担任何保管义务，并且乙方应当按照合同总金额的15%向甲方支付违约金。</w:t>
      </w:r>
    </w:p>
    <w:p w14:paraId="4CCCF78F">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5.乙方未按本合同和投标承诺提供售后服务的，经甲方书面催告1次仍不整改的，乙方应按本合同价款（报酬）的 5%向甲方支付违约金，同时甲方有权寻找第三方机构获得售后服务，全部费用由乙方承担，且无需经过乙方同意、确认。乙方经甲方书面催告3次仍不整改的，甲方有权解除合同，甲方解除合同的，无需向乙方支付任何设备使用费、折旧费以及其他补偿，乙方应当退还甲方支付过的费用，并自行取回货物，甲方不承担任何保管义务。</w:t>
      </w:r>
    </w:p>
    <w:p w14:paraId="1705C94C">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6.因某一方原因导致变更、中止或者终止政府采购合同的，该方应当对另一方受到的损失予以赔偿或者补偿。</w:t>
      </w:r>
    </w:p>
    <w:p w14:paraId="68B2FF58">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7.其它违约责任按《中华人民共和国民法典》处理。</w:t>
      </w:r>
    </w:p>
    <w:p w14:paraId="5516C9AA">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32" w:name="_Toc25778"/>
      <w:bookmarkStart w:id="133" w:name="_Toc31008"/>
      <w:bookmarkStart w:id="134" w:name="_Toc22356"/>
      <w:r>
        <w:rPr>
          <w:rFonts w:hint="eastAsia"/>
          <w:color w:val="auto"/>
          <w:sz w:val="21"/>
          <w:szCs w:val="21"/>
          <w:highlight w:val="none"/>
        </w:rPr>
        <w:t>第十二条  不可抗力事件处理</w:t>
      </w:r>
      <w:bookmarkEnd w:id="132"/>
      <w:bookmarkEnd w:id="133"/>
      <w:bookmarkEnd w:id="134"/>
    </w:p>
    <w:p w14:paraId="4310D73C">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1.在合同有效期内，任何一方因不可抗力事件导致不能履行合同，则合同履行期可延长，其延长期与不可抗力影响期相同。</w:t>
      </w:r>
    </w:p>
    <w:p w14:paraId="2F21DE89">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2.不可抗力事件发生后，应立即通知对方，并寄送有关权威机构出具的证明。</w:t>
      </w:r>
    </w:p>
    <w:p w14:paraId="46659703">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3.不可抗力事件延续一百二十天以上，双方应通过友好协商，确定是否继续履行合同。</w:t>
      </w:r>
    </w:p>
    <w:p w14:paraId="0E5675F0">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35" w:name="_Toc23440"/>
      <w:bookmarkStart w:id="136" w:name="_Toc21414"/>
      <w:bookmarkStart w:id="137" w:name="_Toc10084"/>
      <w:r>
        <w:rPr>
          <w:rFonts w:hint="eastAsia"/>
          <w:color w:val="auto"/>
          <w:sz w:val="21"/>
          <w:szCs w:val="21"/>
          <w:highlight w:val="none"/>
        </w:rPr>
        <w:t>第十三条  合同争议解决</w:t>
      </w:r>
      <w:bookmarkEnd w:id="135"/>
      <w:bookmarkEnd w:id="136"/>
      <w:bookmarkEnd w:id="137"/>
    </w:p>
    <w:p w14:paraId="5F365ED7">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因货物质量问题发生争议的，应邀请国家认可的质量检测机构对货物质量进行鉴定，鉴定工作由乙方负责，鉴定费用由乙方先行垫付。货物符合标准的，鉴定费由甲方承担；货物不符合标准的，鉴定费由乙方承担。</w:t>
      </w:r>
    </w:p>
    <w:p w14:paraId="2954E4BB">
      <w:pPr>
        <w:pageBreakBefore w:val="0"/>
        <w:kinsoku/>
        <w:wordWrap/>
        <w:overflowPunct/>
        <w:topLinePunct w:val="0"/>
        <w:autoSpaceDE w:val="0"/>
        <w:autoSpaceDN w:val="0"/>
        <w:bidi w:val="0"/>
        <w:spacing w:line="288" w:lineRule="auto"/>
        <w:ind w:left="100" w:right="42"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因履行本合同引起的或者与本合同有关的争议，甲乙双方应首先通过友好协商解决，如果协商不能解决，应向甲方所在地有管辖权的人民法院提起诉讼。守约方有权要求违约方支付因维护自身权益所支出的诉讼费、律师费、交通费、保险费、保全费、执行费等一切费用。</w:t>
      </w:r>
    </w:p>
    <w:p w14:paraId="23586A5C">
      <w:pPr>
        <w:pageBreakBefore w:val="0"/>
        <w:kinsoku/>
        <w:wordWrap/>
        <w:overflowPunct/>
        <w:topLinePunct w:val="0"/>
        <w:autoSpaceDE w:val="0"/>
        <w:autoSpaceDN w:val="0"/>
        <w:bidi w:val="0"/>
        <w:spacing w:line="288" w:lineRule="auto"/>
        <w:ind w:left="100" w:right="42"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合同所留单位地址为各方居住地址或者主要办事机构所在地址，本合同履行过程中发生任何纠纷，则前述地址视为法院邮寄法律文书及邮寄催收函、律师函、工作联系函等文件的法定送达地址。所留电话为文件邮寄的联系电话，邮件一旦邮寄，不管是否签收即视为送达，拒收或者退件，以拒收或者退件时间为送达时间。</w:t>
      </w:r>
    </w:p>
    <w:p w14:paraId="237E4AE5">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38" w:name="_Toc17686"/>
      <w:bookmarkStart w:id="139" w:name="_Toc6809"/>
      <w:bookmarkStart w:id="140" w:name="_Toc1269"/>
      <w:r>
        <w:rPr>
          <w:rFonts w:hint="eastAsia"/>
          <w:color w:val="auto"/>
          <w:sz w:val="21"/>
          <w:szCs w:val="21"/>
          <w:highlight w:val="none"/>
        </w:rPr>
        <w:t>第十四条　合同的变更、中止或者终止</w:t>
      </w:r>
      <w:bookmarkEnd w:id="138"/>
      <w:bookmarkEnd w:id="139"/>
      <w:bookmarkEnd w:id="140"/>
    </w:p>
    <w:p w14:paraId="1BE56C12">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1.除《中华人民共和国政府采购法》第五十条规定的情形外，本合同一经签订，甲乙双方不得擅自变更、中止或者终止合同。</w:t>
      </w:r>
    </w:p>
    <w:p w14:paraId="56B327D6">
      <w:pPr>
        <w:pStyle w:val="21"/>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2.采购合同继续履行将损害国家利益和社会公共利益的，双方当事人应当变更、中止或者终止合同。有过错的一方应当承担赔偿责任，双方都有过错的，各自承担相应的责任。</w:t>
      </w:r>
    </w:p>
    <w:p w14:paraId="3E069F4E">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41" w:name="_Toc23460"/>
      <w:bookmarkStart w:id="142" w:name="_Toc8107"/>
      <w:bookmarkStart w:id="143" w:name="_Toc28814"/>
      <w:r>
        <w:rPr>
          <w:rFonts w:hint="eastAsia"/>
          <w:color w:val="auto"/>
          <w:sz w:val="21"/>
          <w:szCs w:val="21"/>
          <w:highlight w:val="none"/>
        </w:rPr>
        <w:t>第十五条　知识产权、权利保证和保密要求</w:t>
      </w:r>
      <w:bookmarkEnd w:id="141"/>
      <w:bookmarkEnd w:id="142"/>
      <w:bookmarkEnd w:id="143"/>
    </w:p>
    <w:p w14:paraId="09795D0C">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1.甲方在履行合同过程中提供给乙方的全部图纸、文件和其他含有数据和信息的资料，其知识产权属于甲方。</w:t>
      </w:r>
    </w:p>
    <w:p w14:paraId="3ADDD5B4">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2.除招标采购需求另有约定外，甲方不因签署和履行合同而享有乙方在履行合同过程中提供给甲方的图纸、文件、配套软件、电子辅助程序和其他含有数据和信息的资料的知识产权。</w:t>
      </w:r>
    </w:p>
    <w:p w14:paraId="74F5843A">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乙方应保证所提供货物在使用时不会侵犯任何第三方的知识产权或者其他权利。如合同货物涉及知识产权，则乙方保证甲方在使用合同货物过程中免于受到第三方提出的有关知识产权侵权的主张、索赔或诉讼的伤害。</w:t>
      </w:r>
    </w:p>
    <w:p w14:paraId="4C5EBDE8">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4.如果甲方收到任何第三方有关知识产权或其他权利的主张、索赔或诉讼，乙方在收到甲方通知后， 应以甲方名义并在甲方的协助下，自负费用处理与第三方的索赔或诉讼，并赔偿甲方因此发生的费用和遭受的损失。如果乙方拒绝处理前述索赔或诉讼或在收到甲方通知后3日内未作表示，甲方可以自己的名义进行这些索赔或诉讼，因此发生的费用和遭受的损失均应由乙方承担，包括但不限于支付给第三方的赔偿金、补偿金、因消除负面影响或舆情产生的全部费用、因涉纠纷发生的律师费、诉讼费、保全费、保全担保保险费、差旅费等。</w:t>
      </w:r>
    </w:p>
    <w:p w14:paraId="721E51D5">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未经甲方书面同意，乙方不得将由甲方提供的有关合同或者任何合同条款、规格、计划、图纸、样品或者资料提供给与履行本合同无关的任何其他人。即使向履行本合同有关的其他人员提供，也应注意保密并限于履行合同的必需范围。</w:t>
      </w:r>
    </w:p>
    <w:p w14:paraId="27D75AB5">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6.乙方保证将要交付的货物的所有权完全属于乙方且无任何抵押、质押、查封等产权瑕疵。</w:t>
      </w:r>
    </w:p>
    <w:p w14:paraId="4601A105">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44" w:name="_Toc16241"/>
      <w:bookmarkStart w:id="145" w:name="_Toc11630"/>
      <w:bookmarkStart w:id="146" w:name="_Toc31652"/>
      <w:r>
        <w:rPr>
          <w:rFonts w:hint="eastAsia"/>
          <w:color w:val="auto"/>
          <w:sz w:val="21"/>
          <w:szCs w:val="21"/>
          <w:highlight w:val="none"/>
        </w:rPr>
        <w:t>第十六条  合同生效及其它</w:t>
      </w:r>
      <w:bookmarkEnd w:id="144"/>
      <w:bookmarkEnd w:id="145"/>
      <w:bookmarkEnd w:id="146"/>
    </w:p>
    <w:p w14:paraId="6E2474D8">
      <w:pPr>
        <w:pStyle w:val="30"/>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1.合同经双方法定代表人或者委托代理人签字并加盖单位公章后生效（委托代理人签字的需后附授权委托书，格式自拟）。</w:t>
      </w:r>
    </w:p>
    <w:p w14:paraId="12C93289">
      <w:pPr>
        <w:pStyle w:val="21"/>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2.合同执行中涉及采购资金和采购内容修改或者补充的，并签书面补充协议，方可作为主合同不可分割的一部分。</w:t>
      </w:r>
    </w:p>
    <w:p w14:paraId="47E2B205">
      <w:pPr>
        <w:pStyle w:val="21"/>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3.合同生效后，甲乙双方不得因姓名、名称的变更或者法定代表人、负责人、承办人的变动而不履行合同义务。</w:t>
      </w:r>
    </w:p>
    <w:p w14:paraId="259B188F">
      <w:pPr>
        <w:pStyle w:val="30"/>
        <w:pageBreakBefore w:val="0"/>
        <w:kinsoku/>
        <w:wordWrap/>
        <w:overflowPunct/>
        <w:topLinePunct w:val="0"/>
        <w:bidi w:val="0"/>
        <w:spacing w:line="288"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4.本合同未尽事宜，遵照《中华人民共和国民法典》有关条文执行。</w:t>
      </w:r>
    </w:p>
    <w:p w14:paraId="6D174290">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47" w:name="_Toc27920"/>
      <w:bookmarkStart w:id="148" w:name="_Toc31538"/>
      <w:bookmarkStart w:id="149" w:name="_Toc8302"/>
      <w:r>
        <w:rPr>
          <w:rFonts w:hint="eastAsia"/>
          <w:color w:val="auto"/>
          <w:sz w:val="21"/>
          <w:szCs w:val="21"/>
          <w:highlight w:val="none"/>
        </w:rPr>
        <w:t>第十七条　签订本合同依据</w:t>
      </w:r>
      <w:bookmarkEnd w:id="147"/>
      <w:bookmarkEnd w:id="148"/>
      <w:bookmarkEnd w:id="149"/>
    </w:p>
    <w:p w14:paraId="640D842E">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1.采购招标文件；</w:t>
      </w:r>
    </w:p>
    <w:p w14:paraId="46EBC9AD">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2.乙方提供的投标文件；</w:t>
      </w:r>
    </w:p>
    <w:p w14:paraId="095F3725">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3.中标通知书。</w:t>
      </w:r>
    </w:p>
    <w:p w14:paraId="343A1766">
      <w:pPr>
        <w:pStyle w:val="3"/>
        <w:pageBreakBefore w:val="0"/>
        <w:kinsoku/>
        <w:wordWrap/>
        <w:overflowPunct/>
        <w:topLinePunct w:val="0"/>
        <w:bidi w:val="0"/>
        <w:spacing w:before="0" w:after="0" w:line="288" w:lineRule="auto"/>
        <w:ind w:firstLine="422" w:firstLineChars="200"/>
        <w:rPr>
          <w:rFonts w:hint="eastAsia"/>
          <w:color w:val="auto"/>
          <w:sz w:val="21"/>
          <w:szCs w:val="21"/>
          <w:highlight w:val="none"/>
        </w:rPr>
      </w:pPr>
      <w:bookmarkStart w:id="150" w:name="_Toc30308"/>
      <w:bookmarkStart w:id="151" w:name="_Toc28440"/>
      <w:bookmarkStart w:id="152" w:name="_Toc22810"/>
      <w:r>
        <w:rPr>
          <w:rFonts w:hint="eastAsia"/>
          <w:color w:val="auto"/>
          <w:sz w:val="21"/>
          <w:szCs w:val="21"/>
          <w:highlight w:val="none"/>
        </w:rPr>
        <w:t>第十八条　廉洁承诺</w:t>
      </w:r>
      <w:bookmarkEnd w:id="150"/>
      <w:bookmarkEnd w:id="151"/>
      <w:bookmarkEnd w:id="152"/>
    </w:p>
    <w:p w14:paraId="464D4170">
      <w:pPr>
        <w:pStyle w:val="30"/>
        <w:pageBreakBefore w:val="0"/>
        <w:kinsoku/>
        <w:wordWrap/>
        <w:overflowPunct/>
        <w:topLinePunct w:val="0"/>
        <w:bidi w:val="0"/>
        <w:spacing w:line="288"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为保证医疗设备购销领域活动的廉洁性，防止各类违法违纪案件的发生，乙方供货公司和所属人员庄严承诺如下：</w:t>
      </w:r>
    </w:p>
    <w:p w14:paraId="706E7AD5">
      <w:pPr>
        <w:pStyle w:val="30"/>
        <w:pageBreakBefore w:val="0"/>
        <w:kinsoku/>
        <w:wordWrap/>
        <w:overflowPunct/>
        <w:topLinePunct w:val="0"/>
        <w:bidi w:val="0"/>
        <w:spacing w:line="288"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1.遵守国家的法律法规。依法处理医疗设备购销业务，保证不搞违法乱纪活动，自觉接受执法执纪部门的监督检查；</w:t>
      </w:r>
    </w:p>
    <w:p w14:paraId="0CD68A3E">
      <w:pPr>
        <w:pStyle w:val="30"/>
        <w:pageBreakBefore w:val="0"/>
        <w:kinsoku/>
        <w:wordWrap/>
        <w:overflowPunct/>
        <w:topLinePunct w:val="0"/>
        <w:bidi w:val="0"/>
        <w:spacing w:line="288"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2.在医疗设备购销领域中，保证不以任何形式给予医院工作人员回扣、好处费等；</w:t>
      </w:r>
    </w:p>
    <w:p w14:paraId="63911DB6">
      <w:pPr>
        <w:pStyle w:val="30"/>
        <w:pageBreakBefore w:val="0"/>
        <w:kinsoku/>
        <w:wordWrap/>
        <w:overflowPunct/>
        <w:topLinePunct w:val="0"/>
        <w:bidi w:val="0"/>
        <w:spacing w:line="288"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3.在正常业务交往中，保证不赠送各种礼金、有价证券和贵重物品，不给对方报销应由个人支付的费用；</w:t>
      </w:r>
    </w:p>
    <w:p w14:paraId="58766B9D">
      <w:pPr>
        <w:pStyle w:val="30"/>
        <w:pageBreakBefore w:val="0"/>
        <w:kinsoku/>
        <w:wordWrap/>
        <w:overflowPunct/>
        <w:topLinePunct w:val="0"/>
        <w:bidi w:val="0"/>
        <w:spacing w:line="288"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4.维护正常的医疗秩序，保证不以宴请、高消费娱乐、提供国（境）外学术活动等手段影响医生的用药选择权；</w:t>
      </w:r>
    </w:p>
    <w:p w14:paraId="0EC31D6B">
      <w:pPr>
        <w:pStyle w:val="30"/>
        <w:pageBreakBefore w:val="0"/>
        <w:kinsoku/>
        <w:wordWrap/>
        <w:overflowPunct/>
        <w:topLinePunct w:val="0"/>
        <w:bidi w:val="0"/>
        <w:spacing w:line="288"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5.乙方给医院的捐赠款物，保证严格按照《中华人民共和国公益事业捐赠法》和《卫生计生单位接受公益事业捐赠管理办法》（国卫财务发2015 77号）等法律法规执行；</w:t>
      </w:r>
    </w:p>
    <w:p w14:paraId="458433FB">
      <w:pPr>
        <w:pStyle w:val="30"/>
        <w:pageBreakBefore w:val="0"/>
        <w:kinsoku/>
        <w:wordWrap/>
        <w:overflowPunct/>
        <w:topLinePunct w:val="0"/>
        <w:bidi w:val="0"/>
        <w:spacing w:line="288"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6.严格对业务代表进行管理，不进入医院门诊、病区、科室向医护人员推销医疗产品，业务代表不得以任何理由让临床、设备、信息等有关人员统计医生处方和有关耗材的用量信息或要求相关人员为此提供便利；</w:t>
      </w:r>
    </w:p>
    <w:p w14:paraId="5984C9CC">
      <w:pPr>
        <w:pStyle w:val="30"/>
        <w:pageBreakBefore w:val="0"/>
        <w:kinsoku/>
        <w:wordWrap/>
        <w:overflowPunct/>
        <w:topLinePunct w:val="0"/>
        <w:bidi w:val="0"/>
        <w:spacing w:line="288"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以上承诺如有违反，乙方愿意按照《国家卫生计生委关于建立医药购销领域商业贿赂不良记录的规定》（国卫法制发〔2013〕50号）等相关规定处理。如果情节严重的移交司法机关处理。</w:t>
      </w:r>
    </w:p>
    <w:p w14:paraId="1D6DD5C0">
      <w:pPr>
        <w:pageBreakBefore w:val="0"/>
        <w:kinsoku/>
        <w:wordWrap/>
        <w:overflowPunct/>
        <w:topLinePunct w:val="0"/>
        <w:bidi w:val="0"/>
        <w:spacing w:line="288"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第十九条　</w:t>
      </w:r>
      <w:r>
        <w:rPr>
          <w:rFonts w:hint="eastAsia" w:ascii="宋体" w:hAnsi="宋体" w:eastAsia="宋体" w:cs="宋体"/>
          <w:color w:val="auto"/>
          <w:sz w:val="21"/>
          <w:szCs w:val="21"/>
          <w:highlight w:val="none"/>
        </w:rPr>
        <w:t>本合同一式陆份，具有同等法律效力。甲方肆份，乙方壹份，</w:t>
      </w:r>
      <w:r>
        <w:rPr>
          <w:rFonts w:hint="eastAsia" w:ascii="宋体" w:hAnsi="宋体" w:eastAsia="宋体" w:cs="宋体"/>
          <w:color w:val="auto"/>
          <w:spacing w:val="4"/>
          <w:sz w:val="21"/>
          <w:szCs w:val="21"/>
          <w:highlight w:val="none"/>
        </w:rPr>
        <w:t>采购代理机构</w:t>
      </w:r>
      <w:r>
        <w:rPr>
          <w:rFonts w:hint="eastAsia" w:ascii="宋体" w:hAnsi="宋体" w:eastAsia="宋体" w:cs="宋体"/>
          <w:color w:val="auto"/>
          <w:sz w:val="21"/>
          <w:szCs w:val="21"/>
          <w:highlight w:val="none"/>
        </w:rPr>
        <w:t>壹份。本合同经甲乙双方法定代表人或授权代表签字并加盖单位公章后生效。</w:t>
      </w:r>
    </w:p>
    <w:p w14:paraId="21FF10A9">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w:t>
      </w:r>
    </w:p>
    <w:p w14:paraId="35F50D01">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1.中标通知书；</w:t>
      </w:r>
    </w:p>
    <w:p w14:paraId="0169A1CB">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2.招标文件技术、商务要求；</w:t>
      </w:r>
    </w:p>
    <w:p w14:paraId="385742C1">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3.乙方的投标声明、开标一览表、技术要求偏离表、商务要求偏离表、设备性能配置清单及参数（如有）、售后服务方案（如有）、选配件、专用耗材、售后服务优惠表（如有）；</w:t>
      </w:r>
    </w:p>
    <w:p w14:paraId="7F18EA95">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4.乙方的营业执照等主体证明文件、医疗器械经营许可证（或医疗器械经营备案凭证）；</w:t>
      </w:r>
    </w:p>
    <w:p w14:paraId="75117CFC">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5.制造商授权书（如有）；</w:t>
      </w:r>
    </w:p>
    <w:p w14:paraId="5BA9E6A8">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6.制造商相关资质及合同标的对应的医疗器械注册证复印件等。</w:t>
      </w:r>
    </w:p>
    <w:p w14:paraId="3E270D28">
      <w:pPr>
        <w:pageBreakBefore w:val="0"/>
        <w:kinsoku/>
        <w:wordWrap/>
        <w:overflowPunct/>
        <w:topLinePunct w:val="0"/>
        <w:bidi w:val="0"/>
        <w:spacing w:line="288" w:lineRule="auto"/>
        <w:ind w:firstLine="420" w:firstLineChars="200"/>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（以下无正文，为签署页）</w:t>
      </w:r>
    </w:p>
    <w:tbl>
      <w:tblPr>
        <w:tblStyle w:val="54"/>
        <w:tblW w:w="92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8"/>
        <w:gridCol w:w="4650"/>
      </w:tblGrid>
      <w:tr w14:paraId="1604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4598" w:type="dxa"/>
            <w:tcBorders>
              <w:top w:val="single" w:color="auto" w:sz="4" w:space="0"/>
              <w:left w:val="single" w:color="auto" w:sz="4" w:space="0"/>
              <w:bottom w:val="single" w:color="auto" w:sz="4" w:space="0"/>
              <w:right w:val="single" w:color="auto" w:sz="4" w:space="0"/>
            </w:tcBorders>
            <w:noWrap w:val="0"/>
            <w:vAlign w:val="center"/>
          </w:tcPr>
          <w:p w14:paraId="00D653EB">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甲方（章）广西壮族自治区南溪山医院（广西壮族自治区第二人民医院）   </w:t>
            </w:r>
          </w:p>
        </w:tc>
        <w:tc>
          <w:tcPr>
            <w:tcW w:w="4650" w:type="dxa"/>
            <w:tcBorders>
              <w:top w:val="single" w:color="auto" w:sz="4" w:space="0"/>
              <w:left w:val="single" w:color="auto" w:sz="4" w:space="0"/>
              <w:bottom w:val="single" w:color="auto" w:sz="4" w:space="0"/>
              <w:right w:val="single" w:color="auto" w:sz="4" w:space="0"/>
            </w:tcBorders>
            <w:noWrap w:val="0"/>
            <w:vAlign w:val="center"/>
          </w:tcPr>
          <w:p w14:paraId="14E93D1F">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乙方（章）</w:t>
            </w:r>
          </w:p>
        </w:tc>
      </w:tr>
      <w:tr w14:paraId="16A6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598" w:type="dxa"/>
            <w:tcBorders>
              <w:top w:val="single" w:color="auto" w:sz="4" w:space="0"/>
              <w:left w:val="single" w:color="auto" w:sz="4" w:space="0"/>
              <w:bottom w:val="single" w:color="auto" w:sz="4" w:space="0"/>
              <w:right w:val="single" w:color="auto" w:sz="4" w:space="0"/>
            </w:tcBorders>
            <w:noWrap w:val="0"/>
            <w:vAlign w:val="center"/>
          </w:tcPr>
          <w:p w14:paraId="04207985">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单位地址：桂林市象山区崇信路46号</w:t>
            </w:r>
          </w:p>
        </w:tc>
        <w:tc>
          <w:tcPr>
            <w:tcW w:w="4650" w:type="dxa"/>
            <w:tcBorders>
              <w:top w:val="single" w:color="auto" w:sz="4" w:space="0"/>
              <w:left w:val="single" w:color="auto" w:sz="4" w:space="0"/>
              <w:bottom w:val="single" w:color="auto" w:sz="4" w:space="0"/>
              <w:right w:val="single" w:color="auto" w:sz="4" w:space="0"/>
            </w:tcBorders>
            <w:noWrap w:val="0"/>
            <w:vAlign w:val="center"/>
          </w:tcPr>
          <w:p w14:paraId="501E7B40">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单位地址： </w:t>
            </w:r>
          </w:p>
        </w:tc>
      </w:tr>
      <w:tr w14:paraId="57B1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4598" w:type="dxa"/>
            <w:tcBorders>
              <w:top w:val="single" w:color="auto" w:sz="4" w:space="0"/>
              <w:left w:val="single" w:color="auto" w:sz="4" w:space="0"/>
              <w:bottom w:val="single" w:color="auto" w:sz="4" w:space="0"/>
              <w:right w:val="single" w:color="auto" w:sz="4" w:space="0"/>
            </w:tcBorders>
            <w:noWrap w:val="0"/>
            <w:vAlign w:val="center"/>
          </w:tcPr>
          <w:p w14:paraId="15B3A71D">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tc>
        <w:tc>
          <w:tcPr>
            <w:tcW w:w="4650" w:type="dxa"/>
            <w:tcBorders>
              <w:top w:val="single" w:color="auto" w:sz="4" w:space="0"/>
              <w:left w:val="single" w:color="auto" w:sz="4" w:space="0"/>
              <w:bottom w:val="single" w:color="auto" w:sz="4" w:space="0"/>
              <w:right w:val="single" w:color="auto" w:sz="4" w:space="0"/>
            </w:tcBorders>
            <w:noWrap w:val="0"/>
            <w:vAlign w:val="center"/>
          </w:tcPr>
          <w:p w14:paraId="1B169989">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 </w:t>
            </w:r>
          </w:p>
        </w:tc>
      </w:tr>
      <w:tr w14:paraId="654B2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4598" w:type="dxa"/>
            <w:tcBorders>
              <w:top w:val="single" w:color="auto" w:sz="4" w:space="0"/>
              <w:left w:val="single" w:color="auto" w:sz="4" w:space="0"/>
              <w:bottom w:val="single" w:color="auto" w:sz="4" w:space="0"/>
              <w:right w:val="single" w:color="auto" w:sz="4" w:space="0"/>
            </w:tcBorders>
            <w:noWrap w:val="0"/>
            <w:vAlign w:val="center"/>
          </w:tcPr>
          <w:p w14:paraId="5F61DFF3">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w:t>
            </w:r>
          </w:p>
        </w:tc>
        <w:tc>
          <w:tcPr>
            <w:tcW w:w="4650" w:type="dxa"/>
            <w:tcBorders>
              <w:top w:val="single" w:color="auto" w:sz="4" w:space="0"/>
              <w:left w:val="single" w:color="auto" w:sz="4" w:space="0"/>
              <w:bottom w:val="single" w:color="auto" w:sz="4" w:space="0"/>
              <w:right w:val="single" w:color="auto" w:sz="4" w:space="0"/>
            </w:tcBorders>
            <w:noWrap w:val="0"/>
            <w:vAlign w:val="center"/>
          </w:tcPr>
          <w:p w14:paraId="53F0B229">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       手机号：</w:t>
            </w:r>
          </w:p>
        </w:tc>
      </w:tr>
      <w:tr w14:paraId="34EF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4598" w:type="dxa"/>
            <w:tcBorders>
              <w:top w:val="single" w:color="auto" w:sz="4" w:space="0"/>
              <w:left w:val="single" w:color="auto" w:sz="4" w:space="0"/>
              <w:bottom w:val="single" w:color="auto" w:sz="4" w:space="0"/>
              <w:right w:val="single" w:color="auto" w:sz="4" w:space="0"/>
            </w:tcBorders>
            <w:noWrap w:val="0"/>
            <w:vAlign w:val="center"/>
          </w:tcPr>
          <w:p w14:paraId="1DD61989">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电话：0773-3831227</w:t>
            </w:r>
          </w:p>
        </w:tc>
        <w:tc>
          <w:tcPr>
            <w:tcW w:w="4650" w:type="dxa"/>
            <w:tcBorders>
              <w:top w:val="single" w:color="auto" w:sz="4" w:space="0"/>
              <w:left w:val="single" w:color="auto" w:sz="4" w:space="0"/>
              <w:bottom w:val="single" w:color="auto" w:sz="4" w:space="0"/>
              <w:right w:val="single" w:color="auto" w:sz="4" w:space="0"/>
            </w:tcBorders>
            <w:noWrap w:val="0"/>
            <w:vAlign w:val="center"/>
          </w:tcPr>
          <w:p w14:paraId="6EE30E26">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tc>
      </w:tr>
      <w:tr w14:paraId="5580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jc w:val="center"/>
        </w:trPr>
        <w:tc>
          <w:tcPr>
            <w:tcW w:w="4598" w:type="dxa"/>
            <w:tcBorders>
              <w:top w:val="single" w:color="auto" w:sz="4" w:space="0"/>
              <w:left w:val="single" w:color="auto" w:sz="4" w:space="0"/>
              <w:bottom w:val="single" w:color="auto" w:sz="4" w:space="0"/>
              <w:right w:val="single" w:color="auto" w:sz="4" w:space="0"/>
            </w:tcBorders>
            <w:noWrap w:val="0"/>
            <w:vAlign w:val="center"/>
          </w:tcPr>
          <w:p w14:paraId="75B52D36">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电子邮箱：nysbk3831227@163.com</w:t>
            </w:r>
          </w:p>
        </w:tc>
        <w:tc>
          <w:tcPr>
            <w:tcW w:w="4650" w:type="dxa"/>
            <w:tcBorders>
              <w:top w:val="single" w:color="auto" w:sz="4" w:space="0"/>
              <w:left w:val="single" w:color="auto" w:sz="4" w:space="0"/>
              <w:bottom w:val="single" w:color="auto" w:sz="4" w:space="0"/>
              <w:right w:val="single" w:color="auto" w:sz="4" w:space="0"/>
            </w:tcBorders>
            <w:noWrap w:val="0"/>
            <w:vAlign w:val="center"/>
          </w:tcPr>
          <w:p w14:paraId="44A3B10E">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电子邮箱：</w:t>
            </w:r>
          </w:p>
        </w:tc>
      </w:tr>
      <w:tr w14:paraId="13AB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4598" w:type="dxa"/>
            <w:tcBorders>
              <w:top w:val="single" w:color="auto" w:sz="4" w:space="0"/>
              <w:left w:val="single" w:color="auto" w:sz="4" w:space="0"/>
              <w:bottom w:val="single" w:color="auto" w:sz="4" w:space="0"/>
              <w:right w:val="single" w:color="auto" w:sz="4" w:space="0"/>
            </w:tcBorders>
            <w:noWrap w:val="0"/>
            <w:vAlign w:val="center"/>
          </w:tcPr>
          <w:p w14:paraId="757E0D98">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税人识别号： 12450000498502373N</w:t>
            </w:r>
          </w:p>
        </w:tc>
        <w:tc>
          <w:tcPr>
            <w:tcW w:w="4650" w:type="dxa"/>
            <w:tcBorders>
              <w:top w:val="single" w:color="auto" w:sz="4" w:space="0"/>
              <w:left w:val="single" w:color="auto" w:sz="4" w:space="0"/>
              <w:bottom w:val="single" w:color="auto" w:sz="4" w:space="0"/>
              <w:right w:val="single" w:color="auto" w:sz="4" w:space="0"/>
            </w:tcBorders>
            <w:noWrap w:val="0"/>
            <w:vAlign w:val="center"/>
          </w:tcPr>
          <w:p w14:paraId="344BF6D9">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纳税人识别号：</w:t>
            </w:r>
          </w:p>
        </w:tc>
      </w:tr>
      <w:tr w14:paraId="0C1D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4598" w:type="dxa"/>
            <w:tcBorders>
              <w:top w:val="single" w:color="auto" w:sz="4" w:space="0"/>
              <w:left w:val="single" w:color="auto" w:sz="4" w:space="0"/>
              <w:bottom w:val="single" w:color="auto" w:sz="4" w:space="0"/>
              <w:right w:val="single" w:color="auto" w:sz="4" w:space="0"/>
            </w:tcBorders>
            <w:noWrap w:val="0"/>
            <w:vAlign w:val="center"/>
          </w:tcPr>
          <w:p w14:paraId="1E50D9AA">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开户银行：中国建设银行股份有限公司桂林城南支行</w:t>
            </w:r>
          </w:p>
        </w:tc>
        <w:tc>
          <w:tcPr>
            <w:tcW w:w="4650" w:type="dxa"/>
            <w:tcBorders>
              <w:top w:val="single" w:color="auto" w:sz="4" w:space="0"/>
              <w:left w:val="single" w:color="auto" w:sz="4" w:space="0"/>
              <w:bottom w:val="single" w:color="auto" w:sz="4" w:space="0"/>
              <w:right w:val="single" w:color="auto" w:sz="4" w:space="0"/>
            </w:tcBorders>
            <w:noWrap w:val="0"/>
            <w:vAlign w:val="center"/>
          </w:tcPr>
          <w:p w14:paraId="6BC3E8E8">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r>
      <w:tr w14:paraId="44B1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jc w:val="center"/>
        </w:trPr>
        <w:tc>
          <w:tcPr>
            <w:tcW w:w="4598" w:type="dxa"/>
            <w:tcBorders>
              <w:top w:val="single" w:color="auto" w:sz="4" w:space="0"/>
              <w:left w:val="single" w:color="auto" w:sz="4" w:space="0"/>
              <w:bottom w:val="single" w:color="auto" w:sz="4" w:space="0"/>
              <w:right w:val="single" w:color="auto" w:sz="4" w:space="0"/>
            </w:tcBorders>
            <w:noWrap w:val="0"/>
            <w:vAlign w:val="center"/>
          </w:tcPr>
          <w:p w14:paraId="7CF5C40A">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账号：45001635305059666666</w:t>
            </w:r>
          </w:p>
        </w:tc>
        <w:tc>
          <w:tcPr>
            <w:tcW w:w="4650" w:type="dxa"/>
            <w:tcBorders>
              <w:top w:val="single" w:color="auto" w:sz="4" w:space="0"/>
              <w:left w:val="single" w:color="auto" w:sz="4" w:space="0"/>
              <w:bottom w:val="single" w:color="auto" w:sz="4" w:space="0"/>
              <w:right w:val="single" w:color="auto" w:sz="4" w:space="0"/>
            </w:tcBorders>
            <w:noWrap w:val="0"/>
            <w:vAlign w:val="center"/>
          </w:tcPr>
          <w:p w14:paraId="34BAE2BE">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p>
        </w:tc>
      </w:tr>
      <w:tr w14:paraId="7F38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4598" w:type="dxa"/>
            <w:tcBorders>
              <w:top w:val="single" w:color="auto" w:sz="4" w:space="0"/>
              <w:left w:val="single" w:color="auto" w:sz="4" w:space="0"/>
              <w:bottom w:val="single" w:color="auto" w:sz="4" w:space="0"/>
              <w:right w:val="single" w:color="auto" w:sz="4" w:space="0"/>
            </w:tcBorders>
            <w:noWrap w:val="0"/>
            <w:vAlign w:val="center"/>
          </w:tcPr>
          <w:p w14:paraId="19D567FC">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邮政编码：541002</w:t>
            </w:r>
          </w:p>
        </w:tc>
        <w:tc>
          <w:tcPr>
            <w:tcW w:w="4650" w:type="dxa"/>
            <w:tcBorders>
              <w:top w:val="single" w:color="auto" w:sz="4" w:space="0"/>
              <w:left w:val="single" w:color="auto" w:sz="4" w:space="0"/>
              <w:bottom w:val="single" w:color="auto" w:sz="4" w:space="0"/>
              <w:right w:val="single" w:color="auto" w:sz="4" w:space="0"/>
            </w:tcBorders>
            <w:noWrap w:val="0"/>
            <w:vAlign w:val="center"/>
          </w:tcPr>
          <w:p w14:paraId="003FA731">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r>
      <w:tr w14:paraId="2F35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9248" w:type="dxa"/>
            <w:gridSpan w:val="2"/>
            <w:tcBorders>
              <w:top w:val="single" w:color="auto" w:sz="4" w:space="0"/>
              <w:left w:val="single" w:color="auto" w:sz="4" w:space="0"/>
              <w:bottom w:val="single" w:color="auto" w:sz="4" w:space="0"/>
              <w:right w:val="single" w:color="auto" w:sz="4" w:space="0"/>
            </w:tcBorders>
            <w:noWrap w:val="0"/>
            <w:vAlign w:val="top"/>
          </w:tcPr>
          <w:p w14:paraId="4760AAC8">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签订时间：</w:t>
            </w:r>
          </w:p>
          <w:p w14:paraId="1F60F864">
            <w:pPr>
              <w:pageBreakBefore w:val="0"/>
              <w:kinsoku/>
              <w:wordWrap/>
              <w:overflowPunct/>
              <w:topLinePunct w:val="0"/>
              <w:bidi w:val="0"/>
              <w:adjustRightInd w:val="0"/>
              <w:snapToGrid w:val="0"/>
              <w:spacing w:line="288" w:lineRule="auto"/>
              <w:ind w:firstLine="2520" w:firstLineChars="1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tc>
      </w:tr>
    </w:tbl>
    <w:p w14:paraId="14A3A962">
      <w:pPr>
        <w:pStyle w:val="69"/>
        <w:pageBreakBefore w:val="0"/>
        <w:kinsoku/>
        <w:wordWrap/>
        <w:overflowPunct/>
        <w:topLinePunct w:val="0"/>
        <w:bidi w:val="0"/>
        <w:spacing w:line="288" w:lineRule="auto"/>
        <w:ind w:left="0" w:leftChars="0" w:firstLine="420" w:firstLineChars="200"/>
        <w:rPr>
          <w:rFonts w:hint="eastAsia"/>
          <w:color w:val="auto"/>
          <w:sz w:val="21"/>
          <w:szCs w:val="21"/>
          <w:highlight w:val="none"/>
        </w:rPr>
      </w:pPr>
      <w:r>
        <w:rPr>
          <w:rFonts w:hint="eastAsia" w:ascii="宋体" w:hAnsi="宋体" w:eastAsia="宋体" w:cs="宋体"/>
          <w:color w:val="000000"/>
          <w:sz w:val="21"/>
          <w:szCs w:val="21"/>
        </w:rPr>
        <w:t>备注：乙方合同签订开户银行及银行账号与乙方开具付款发票开户银行及银行账号完全一致。每份附设备配置清单及参数，公司营业执照，公司经营许可证、设备注册证、委托代理人授权书，法人及代理人身份证复印件；金额大小写之间不能留空白。</w:t>
      </w:r>
    </w:p>
    <w:p w14:paraId="64153EA5">
      <w:pPr>
        <w:pStyle w:val="30"/>
        <w:adjustRightInd w:val="0"/>
        <w:snapToGrid w:val="0"/>
        <w:spacing w:line="360" w:lineRule="auto"/>
        <w:ind w:firstLine="420" w:firstLineChars="200"/>
        <w:rPr>
          <w:rFonts w:hint="eastAsia" w:ascii="宋体" w:hAnsi="宋体" w:eastAsia="宋体" w:cs="宋体"/>
          <w:color w:val="000000"/>
          <w:sz w:val="21"/>
          <w:szCs w:val="21"/>
          <w:highlight w:val="none"/>
          <w:lang w:val="en-US" w:eastAsia="zh-CN"/>
        </w:rPr>
      </w:pPr>
    </w:p>
    <w:p w14:paraId="35A720EB">
      <w:pPr>
        <w:snapToGrid w:val="0"/>
        <w:spacing w:line="360" w:lineRule="auto"/>
        <w:jc w:val="left"/>
        <w:rPr>
          <w:rFonts w:ascii="Arial" w:hAnsi="Arial" w:cs="Arial"/>
          <w:b/>
          <w:bCs/>
          <w:color w:val="000000" w:themeColor="text1"/>
          <w:szCs w:val="21"/>
          <w14:textFill>
            <w14:solidFill>
              <w14:schemeClr w14:val="tx1"/>
            </w14:solidFill>
          </w14:textFill>
        </w:rPr>
      </w:pPr>
      <w:bookmarkStart w:id="153" w:name="_Hlk77607667"/>
    </w:p>
    <w:bookmarkEnd w:id="153"/>
    <w:p w14:paraId="45A017CD">
      <w:pPr>
        <w:pStyle w:val="23"/>
        <w:ind w:firstLine="0" w:firstLineChars="0"/>
        <w:rPr>
          <w:rFonts w:ascii="Arial" w:hAnsi="Arial" w:eastAsia="宋体" w:cs="Arial"/>
          <w:color w:val="000000" w:themeColor="text1"/>
          <w14:textFill>
            <w14:solidFill>
              <w14:schemeClr w14:val="tx1"/>
            </w14:solidFill>
          </w14:textFill>
        </w:rPr>
      </w:pPr>
    </w:p>
    <w:p w14:paraId="48101BF9">
      <w:pPr>
        <w:rPr>
          <w:rFonts w:ascii="Arial" w:hAnsi="Arial" w:cs="Arial"/>
          <w:color w:val="000000" w:themeColor="text1"/>
          <w:sz w:val="32"/>
          <w:szCs w:val="32"/>
          <w14:textFill>
            <w14:solidFill>
              <w14:schemeClr w14:val="tx1"/>
            </w14:solidFill>
          </w14:textFill>
        </w:rPr>
      </w:pPr>
      <w:r>
        <w:rPr>
          <w:rFonts w:ascii="Arial" w:hAnsi="Arial" w:cs="Arial"/>
          <w:color w:val="000000" w:themeColor="text1"/>
          <w:sz w:val="32"/>
          <w:szCs w:val="32"/>
          <w14:textFill>
            <w14:solidFill>
              <w14:schemeClr w14:val="tx1"/>
            </w14:solidFill>
          </w14:textFill>
        </w:rPr>
        <w:br w:type="page"/>
      </w:r>
    </w:p>
    <w:p w14:paraId="3BEC8524">
      <w:pPr>
        <w:pStyle w:val="30"/>
        <w:snapToGrid w:val="0"/>
        <w:spacing w:before="120" w:after="120" w:line="320" w:lineRule="exact"/>
        <w:jc w:val="center"/>
        <w:outlineLvl w:val="0"/>
        <w:rPr>
          <w:rFonts w:ascii="Arial" w:hAnsi="Arial" w:cs="Arial"/>
          <w:color w:val="000000" w:themeColor="text1"/>
          <w:sz w:val="32"/>
          <w:szCs w:val="32"/>
          <w14:textFill>
            <w14:solidFill>
              <w14:schemeClr w14:val="tx1"/>
            </w14:solidFill>
          </w14:textFill>
        </w:rPr>
      </w:pPr>
      <w:bookmarkStart w:id="154" w:name="_Toc703"/>
      <w:r>
        <w:rPr>
          <w:rFonts w:ascii="Arial" w:hAnsi="Arial" w:cs="Arial"/>
          <w:color w:val="000000" w:themeColor="text1"/>
          <w:sz w:val="32"/>
          <w:szCs w:val="32"/>
          <w14:textFill>
            <w14:solidFill>
              <w14:schemeClr w14:val="tx1"/>
            </w14:solidFill>
          </w14:textFill>
        </w:rPr>
        <w:t>第六章  投标文件格式</w:t>
      </w:r>
      <w:bookmarkEnd w:id="154"/>
    </w:p>
    <w:p w14:paraId="486ADCF2">
      <w:pPr>
        <w:rPr>
          <w:rFonts w:ascii="Arial" w:hAnsi="Arial" w:cs="Arial"/>
          <w:color w:val="000000" w:themeColor="text1"/>
          <w:sz w:val="28"/>
          <w:szCs w:val="28"/>
          <w14:textFill>
            <w14:solidFill>
              <w14:schemeClr w14:val="tx1"/>
            </w14:solidFill>
          </w14:textFill>
        </w:rPr>
      </w:pPr>
    </w:p>
    <w:p w14:paraId="39E17061">
      <w:pPr>
        <w:rPr>
          <w:rFonts w:ascii="Arial" w:hAnsi="Arial" w:cs="Arial"/>
          <w:color w:val="000000" w:themeColor="text1"/>
          <w:sz w:val="28"/>
          <w:szCs w:val="28"/>
          <w14:textFill>
            <w14:solidFill>
              <w14:schemeClr w14:val="tx1"/>
            </w14:solidFill>
          </w14:textFill>
        </w:rPr>
      </w:pPr>
    </w:p>
    <w:p w14:paraId="2D6D35B8">
      <w:pPr>
        <w:spacing w:line="500" w:lineRule="exact"/>
        <w:ind w:firstLine="560" w:firstLineChars="200"/>
        <w:rPr>
          <w:rFonts w:ascii="Arial" w:hAnsi="Arial" w:cs="Arial"/>
          <w:color w:val="000000" w:themeColor="text1"/>
          <w:sz w:val="28"/>
          <w:szCs w:val="28"/>
          <w14:textFill>
            <w14:solidFill>
              <w14:schemeClr w14:val="tx1"/>
            </w14:solidFill>
          </w14:textFill>
        </w:rPr>
      </w:pPr>
      <w:bookmarkStart w:id="155" w:name="_Hlk19114175"/>
      <w:r>
        <w:rPr>
          <w:rFonts w:ascii="Arial" w:hAnsi="Arial" w:cs="Arial"/>
          <w:color w:val="000000" w:themeColor="text1"/>
          <w:sz w:val="28"/>
          <w:szCs w:val="28"/>
          <w14:textFill>
            <w14:solidFill>
              <w14:schemeClr w14:val="tx1"/>
            </w14:solidFill>
          </w14:textFill>
        </w:rPr>
        <w:t>注：本章标注“必须提供”的，应按要求必须提供；有签字、盖章要求的应按要求签字、盖章。未标注“必须提供”的，供应商可自行决定是否提供。</w:t>
      </w:r>
    </w:p>
    <w:bookmarkEnd w:id="155"/>
    <w:p w14:paraId="61CC4037">
      <w:pPr>
        <w:spacing w:line="500" w:lineRule="exact"/>
        <w:ind w:firstLine="480" w:firstLineChars="200"/>
        <w:rPr>
          <w:rFonts w:ascii="Arial" w:hAnsi="Arial" w:cs="Arial"/>
          <w:color w:val="000000" w:themeColor="text1"/>
          <w:sz w:val="24"/>
          <w14:textFill>
            <w14:solidFill>
              <w14:schemeClr w14:val="tx1"/>
            </w14:solidFill>
          </w14:textFill>
        </w:rPr>
      </w:pPr>
    </w:p>
    <w:p w14:paraId="40B8BBB8">
      <w:pPr>
        <w:spacing w:line="500" w:lineRule="exact"/>
        <w:ind w:firstLine="480" w:firstLineChars="200"/>
        <w:rPr>
          <w:rFonts w:ascii="Arial" w:hAnsi="Arial" w:cs="Arial"/>
          <w:bCs/>
          <w:color w:val="000000" w:themeColor="text1"/>
          <w:sz w:val="24"/>
          <w14:textFill>
            <w14:solidFill>
              <w14:schemeClr w14:val="tx1"/>
            </w14:solidFill>
          </w14:textFill>
        </w:rPr>
      </w:pPr>
      <w:r>
        <w:rPr>
          <w:rFonts w:ascii="Arial" w:hAnsi="Arial" w:cs="Arial"/>
          <w:color w:val="000000" w:themeColor="text1"/>
          <w:sz w:val="24"/>
          <w14:textFill>
            <w14:solidFill>
              <w14:schemeClr w14:val="tx1"/>
            </w14:solidFill>
          </w14:textFill>
        </w:rPr>
        <w:br w:type="page"/>
      </w:r>
      <w:bookmarkEnd w:id="0"/>
      <w:bookmarkEnd w:id="1"/>
      <w:r>
        <w:rPr>
          <w:rFonts w:ascii="Arial" w:hAnsi="Arial" w:cs="Arial"/>
          <w:bCs/>
          <w:color w:val="000000" w:themeColor="text1"/>
          <w:sz w:val="24"/>
          <w14:textFill>
            <w14:solidFill>
              <w14:schemeClr w14:val="tx1"/>
            </w14:solidFill>
          </w14:textFill>
        </w:rPr>
        <w:t>一、投标文件第1个密封袋的包装封面参考格式：</w:t>
      </w:r>
    </w:p>
    <w:p w14:paraId="017671E2">
      <w:pPr>
        <w:rPr>
          <w:rFonts w:ascii="Arial" w:hAnsi="Arial" w:cs="Arial"/>
          <w:color w:val="000000" w:themeColor="text1"/>
          <w14:textFill>
            <w14:solidFill>
              <w14:schemeClr w14:val="tx1"/>
            </w14:solidFill>
          </w14:textFill>
        </w:rPr>
      </w:pPr>
    </w:p>
    <w:p w14:paraId="3EA256AE">
      <w:pPr>
        <w:snapToGrid w:val="0"/>
        <w:spacing w:before="120" w:beforeLines="50" w:after="50" w:line="440" w:lineRule="exact"/>
        <w:jc w:val="center"/>
        <w:rPr>
          <w:rFonts w:ascii="Arial" w:hAnsi="Arial" w:cs="Arial"/>
          <w:bCs/>
          <w:color w:val="000000" w:themeColor="text1"/>
          <w:sz w:val="24"/>
          <w14:textFill>
            <w14:solidFill>
              <w14:schemeClr w14:val="tx1"/>
            </w14:solidFill>
          </w14:textFill>
        </w:rPr>
      </w:pPr>
    </w:p>
    <w:p w14:paraId="07813D51">
      <w:pPr>
        <w:snapToGrid w:val="0"/>
        <w:spacing w:before="120" w:beforeLines="50" w:after="50" w:line="440" w:lineRule="exact"/>
        <w:jc w:val="center"/>
        <w:rPr>
          <w:rFonts w:ascii="Arial" w:hAnsi="Arial" w:cs="Arial"/>
          <w:b/>
          <w:bCs/>
          <w:color w:val="000000" w:themeColor="text1"/>
          <w:sz w:val="44"/>
          <w:szCs w:val="44"/>
          <w14:textFill>
            <w14:solidFill>
              <w14:schemeClr w14:val="tx1"/>
            </w14:solidFill>
          </w14:textFill>
        </w:rPr>
      </w:pPr>
      <w:r>
        <w:rPr>
          <w:rFonts w:ascii="Arial" w:hAnsi="Arial" w:cs="Arial"/>
          <w:b/>
          <w:bCs/>
          <w:color w:val="000000" w:themeColor="text1"/>
          <w:sz w:val="44"/>
          <w:szCs w:val="44"/>
          <w14:textFill>
            <w14:solidFill>
              <w14:schemeClr w14:val="tx1"/>
            </w14:solidFill>
          </w14:textFill>
        </w:rPr>
        <w:t>投 标 文 件</w:t>
      </w:r>
    </w:p>
    <w:p w14:paraId="0C8237C3">
      <w:pPr>
        <w:snapToGrid w:val="0"/>
        <w:spacing w:before="120" w:beforeLines="50" w:after="50" w:line="440" w:lineRule="exact"/>
        <w:rPr>
          <w:rFonts w:ascii="Arial" w:hAnsi="Arial" w:cs="Arial"/>
          <w:bCs/>
          <w:color w:val="000000" w:themeColor="text1"/>
          <w:sz w:val="24"/>
          <w14:textFill>
            <w14:solidFill>
              <w14:schemeClr w14:val="tx1"/>
            </w14:solidFill>
          </w14:textFill>
        </w:rPr>
      </w:pPr>
    </w:p>
    <w:p w14:paraId="0B260174">
      <w:pPr>
        <w:snapToGrid w:val="0"/>
        <w:spacing w:before="120" w:beforeLines="50" w:after="50" w:line="440" w:lineRule="exact"/>
        <w:ind w:firstLine="720" w:firstLineChars="300"/>
        <w:rPr>
          <w:rFonts w:ascii="Arial" w:hAnsi="Arial" w:cs="Arial"/>
          <w:bCs/>
          <w:color w:val="000000" w:themeColor="text1"/>
          <w:sz w:val="24"/>
          <w14:textFill>
            <w14:solidFill>
              <w14:schemeClr w14:val="tx1"/>
            </w14:solidFill>
          </w14:textFill>
        </w:rPr>
      </w:pPr>
      <w:r>
        <w:rPr>
          <w:rFonts w:ascii="Arial" w:hAnsi="Arial" w:cs="Arial"/>
          <w:bCs/>
          <w:color w:val="000000" w:themeColor="text1"/>
          <w:sz w:val="24"/>
          <w14:textFill>
            <w14:solidFill>
              <w14:schemeClr w14:val="tx1"/>
            </w14:solidFill>
          </w14:textFill>
        </w:rPr>
        <w:t xml:space="preserve">项目名称： </w:t>
      </w:r>
    </w:p>
    <w:p w14:paraId="0C372C63">
      <w:pPr>
        <w:snapToGrid w:val="0"/>
        <w:spacing w:before="120" w:beforeLines="50" w:after="50" w:line="440" w:lineRule="exact"/>
        <w:ind w:firstLine="720" w:firstLineChars="300"/>
        <w:rPr>
          <w:rFonts w:ascii="Arial" w:hAnsi="Arial" w:cs="Arial"/>
          <w:bCs/>
          <w:color w:val="000000" w:themeColor="text1"/>
          <w:sz w:val="24"/>
          <w14:textFill>
            <w14:solidFill>
              <w14:schemeClr w14:val="tx1"/>
            </w14:solidFill>
          </w14:textFill>
        </w:rPr>
      </w:pPr>
      <w:r>
        <w:rPr>
          <w:rFonts w:ascii="Arial" w:hAnsi="Arial" w:cs="Arial"/>
          <w:bCs/>
          <w:color w:val="000000" w:themeColor="text1"/>
          <w:sz w:val="24"/>
          <w14:textFill>
            <w14:solidFill>
              <w14:schemeClr w14:val="tx1"/>
            </w14:solidFill>
          </w14:textFill>
        </w:rPr>
        <w:t xml:space="preserve">项目编号： </w:t>
      </w:r>
    </w:p>
    <w:p w14:paraId="2F7D6482">
      <w:pPr>
        <w:snapToGrid w:val="0"/>
        <w:spacing w:before="120" w:beforeLines="50" w:after="50" w:line="440" w:lineRule="exact"/>
        <w:ind w:firstLine="720" w:firstLineChars="300"/>
        <w:rPr>
          <w:rFonts w:ascii="Arial" w:hAnsi="Arial" w:cs="Arial"/>
          <w:bCs/>
          <w:color w:val="000000" w:themeColor="text1"/>
          <w:sz w:val="24"/>
          <w14:textFill>
            <w14:solidFill>
              <w14:schemeClr w14:val="tx1"/>
            </w14:solidFill>
          </w14:textFill>
        </w:rPr>
      </w:pPr>
      <w:r>
        <w:rPr>
          <w:rFonts w:ascii="Arial" w:hAnsi="Arial" w:cs="Arial"/>
          <w:bCs/>
          <w:color w:val="000000" w:themeColor="text1"/>
          <w:sz w:val="24"/>
          <w14:textFill>
            <w14:solidFill>
              <w14:schemeClr w14:val="tx1"/>
            </w14:solidFill>
          </w14:textFill>
        </w:rPr>
        <w:t>分标号：（若无留空或写“/”）</w:t>
      </w:r>
    </w:p>
    <w:p w14:paraId="1FFAE1D4">
      <w:pPr>
        <w:pStyle w:val="7"/>
        <w:snapToGrid w:val="0"/>
        <w:spacing w:before="50" w:after="50" w:line="440" w:lineRule="exact"/>
        <w:ind w:left="718" w:leftChars="342" w:firstLine="0"/>
        <w:rPr>
          <w:rFonts w:ascii="Arial" w:hAnsi="Arial" w:cs="Arial"/>
          <w:bCs/>
          <w:color w:val="000000" w:themeColor="text1"/>
          <w:sz w:val="24"/>
          <w14:textFill>
            <w14:solidFill>
              <w14:schemeClr w14:val="tx1"/>
            </w14:solidFill>
          </w14:textFill>
        </w:rPr>
      </w:pPr>
      <w:r>
        <w:rPr>
          <w:rFonts w:ascii="Arial" w:hAnsi="Arial" w:cs="Arial"/>
          <w:bCs/>
          <w:color w:val="000000" w:themeColor="text1"/>
          <w:sz w:val="24"/>
          <w:szCs w:val="24"/>
          <w14:textFill>
            <w14:solidFill>
              <w14:schemeClr w14:val="tx1"/>
            </w14:solidFill>
          </w14:textFill>
        </w:rPr>
        <w:t>投标文件名称：第一册</w:t>
      </w:r>
      <w:r>
        <w:rPr>
          <w:rFonts w:ascii="Arial" w:hAnsi="Arial" w:cs="Arial"/>
          <w:bCs/>
          <w:color w:val="000000" w:themeColor="text1"/>
          <w:sz w:val="24"/>
          <w14:textFill>
            <w14:solidFill>
              <w14:schemeClr w14:val="tx1"/>
            </w14:solidFill>
          </w14:textFill>
        </w:rPr>
        <w:t>资格审查文件、第二册</w:t>
      </w:r>
      <w:r>
        <w:rPr>
          <w:rFonts w:ascii="Arial" w:hAnsi="Arial" w:cs="Arial"/>
          <w:bCs/>
          <w:color w:val="000000" w:themeColor="text1"/>
          <w:sz w:val="24"/>
          <w:szCs w:val="24"/>
          <w14:textFill>
            <w14:solidFill>
              <w14:schemeClr w14:val="tx1"/>
            </w14:solidFill>
          </w14:textFill>
        </w:rPr>
        <w:t>商务技术报价文件</w:t>
      </w:r>
    </w:p>
    <w:p w14:paraId="238C82A0">
      <w:pPr>
        <w:pStyle w:val="23"/>
        <w:ind w:left="559" w:leftChars="133" w:hanging="280" w:hangingChars="100"/>
        <w:rPr>
          <w:rFonts w:ascii="Arial" w:hAnsi="Arial" w:eastAsia="宋体" w:cs="Arial"/>
          <w:bCs/>
          <w:color w:val="000000" w:themeColor="text1"/>
          <w:sz w:val="28"/>
          <w:szCs w:val="28"/>
          <w14:textFill>
            <w14:solidFill>
              <w14:schemeClr w14:val="tx1"/>
            </w14:solidFill>
          </w14:textFill>
        </w:rPr>
      </w:pPr>
      <w:bookmarkStart w:id="156" w:name="_Toc20319_WPSOffice_Level2"/>
      <w:bookmarkStart w:id="157" w:name="_Toc4932_WPSOffice_Level2"/>
    </w:p>
    <w:p w14:paraId="0BCEC1F2">
      <w:pPr>
        <w:pStyle w:val="23"/>
        <w:ind w:left="559" w:leftChars="133" w:hanging="280" w:hangingChars="100"/>
        <w:rPr>
          <w:rFonts w:ascii="Arial" w:hAnsi="Arial" w:eastAsia="宋体" w:cs="Arial"/>
          <w:bCs/>
          <w:color w:val="000000" w:themeColor="text1"/>
          <w:sz w:val="28"/>
          <w:szCs w:val="28"/>
          <w14:textFill>
            <w14:solidFill>
              <w14:schemeClr w14:val="tx1"/>
            </w14:solidFill>
          </w14:textFill>
        </w:rPr>
      </w:pPr>
    </w:p>
    <w:p w14:paraId="1A34FC79">
      <w:pPr>
        <w:pStyle w:val="23"/>
        <w:ind w:left="559" w:leftChars="133" w:hanging="280" w:hangingChars="100"/>
        <w:rPr>
          <w:rFonts w:ascii="Arial" w:hAnsi="Arial" w:eastAsia="宋体" w:cs="Arial"/>
          <w:bCs/>
          <w:color w:val="000000" w:themeColor="text1"/>
          <w:sz w:val="28"/>
          <w:szCs w:val="28"/>
          <w14:textFill>
            <w14:solidFill>
              <w14:schemeClr w14:val="tx1"/>
            </w14:solidFill>
          </w14:textFill>
        </w:rPr>
      </w:pPr>
    </w:p>
    <w:bookmarkEnd w:id="156"/>
    <w:bookmarkEnd w:id="157"/>
    <w:p w14:paraId="1511E64A">
      <w:pPr>
        <w:pStyle w:val="23"/>
        <w:spacing w:line="360" w:lineRule="auto"/>
        <w:ind w:firstLine="480" w:firstLineChars="200"/>
        <w:rPr>
          <w:rFonts w:ascii="Arial" w:hAnsi="Arial" w:eastAsia="宋体" w:cs="Arial"/>
          <w:bCs/>
          <w:color w:val="000000" w:themeColor="text1"/>
          <w:sz w:val="28"/>
          <w:szCs w:val="28"/>
          <w14:textFill>
            <w14:solidFill>
              <w14:schemeClr w14:val="tx1"/>
            </w14:solidFill>
          </w14:textFill>
        </w:rPr>
      </w:pPr>
      <w:r>
        <w:rPr>
          <w:rFonts w:ascii="Arial" w:hAnsi="Arial" w:eastAsia="宋体" w:cs="Arial"/>
          <w:bCs/>
          <w:color w:val="000000" w:themeColor="text1"/>
          <w:sz w:val="24"/>
          <w:szCs w:val="24"/>
          <w14:textFill>
            <w14:solidFill>
              <w14:schemeClr w14:val="tx1"/>
            </w14:solidFill>
          </w14:textFill>
        </w:rPr>
        <w:t>供应商[公章(CA签章)]</w:t>
      </w:r>
      <w:r>
        <w:rPr>
          <w:rFonts w:ascii="Arial" w:hAnsi="Arial" w:eastAsia="宋体" w:cs="Arial"/>
          <w:bCs/>
          <w:color w:val="000000" w:themeColor="text1"/>
          <w:sz w:val="28"/>
          <w:szCs w:val="28"/>
          <w14:textFill>
            <w14:solidFill>
              <w14:schemeClr w14:val="tx1"/>
            </w14:solidFill>
          </w14:textFill>
        </w:rPr>
        <w:t>：</w:t>
      </w:r>
      <w:r>
        <w:rPr>
          <w:rFonts w:ascii="Arial" w:hAnsi="Arial" w:eastAsia="宋体" w:cs="Arial"/>
          <w:bCs/>
          <w:color w:val="000000" w:themeColor="text1"/>
          <w:sz w:val="28"/>
          <w:szCs w:val="28"/>
          <w:u w:val="single"/>
          <w14:textFill>
            <w14:solidFill>
              <w14:schemeClr w14:val="tx1"/>
            </w14:solidFill>
          </w14:textFill>
        </w:rPr>
        <w:t xml:space="preserve">                              </w:t>
      </w:r>
    </w:p>
    <w:p w14:paraId="70395099">
      <w:pPr>
        <w:pStyle w:val="23"/>
        <w:spacing w:line="360" w:lineRule="auto"/>
        <w:ind w:left="519" w:leftChars="247" w:firstLine="0" w:firstLineChars="0"/>
        <w:rPr>
          <w:rFonts w:ascii="Arial" w:hAnsi="Arial" w:eastAsia="宋体" w:cs="Arial"/>
          <w:color w:val="000000" w:themeColor="text1"/>
          <w:sz w:val="28"/>
          <w:szCs w:val="28"/>
          <w:u w:val="single"/>
          <w14:textFill>
            <w14:solidFill>
              <w14:schemeClr w14:val="tx1"/>
            </w14:solidFill>
          </w14:textFill>
        </w:rPr>
      </w:pPr>
      <w:r>
        <w:rPr>
          <w:rFonts w:ascii="Arial" w:hAnsi="Arial" w:eastAsia="宋体" w:cs="Arial"/>
          <w:bCs/>
          <w:color w:val="000000" w:themeColor="text1"/>
          <w:sz w:val="24"/>
          <w:szCs w:val="24"/>
          <w14:textFill>
            <w14:solidFill>
              <w14:schemeClr w14:val="tx1"/>
            </w14:solidFill>
          </w14:textFill>
        </w:rPr>
        <w:t>法定代表人或相应的委托代理人签字[或盖章(CA签章)]</w:t>
      </w:r>
      <w:r>
        <w:rPr>
          <w:rFonts w:ascii="Arial" w:hAnsi="Arial" w:eastAsia="宋体" w:cs="Arial"/>
          <w:color w:val="000000" w:themeColor="text1"/>
          <w:sz w:val="28"/>
          <w:szCs w:val="28"/>
          <w14:textFill>
            <w14:solidFill>
              <w14:schemeClr w14:val="tx1"/>
            </w14:solidFill>
          </w14:textFill>
        </w:rPr>
        <w:t>：</w:t>
      </w:r>
      <w:r>
        <w:rPr>
          <w:rFonts w:ascii="Arial" w:hAnsi="Arial" w:eastAsia="宋体" w:cs="Arial"/>
          <w:color w:val="000000" w:themeColor="text1"/>
          <w:sz w:val="28"/>
          <w:szCs w:val="28"/>
          <w:u w:val="single"/>
          <w14:textFill>
            <w14:solidFill>
              <w14:schemeClr w14:val="tx1"/>
            </w14:solidFill>
          </w14:textFill>
        </w:rPr>
        <w:t xml:space="preserve">              </w:t>
      </w:r>
    </w:p>
    <w:p w14:paraId="4E9BFC86">
      <w:pPr>
        <w:pStyle w:val="23"/>
        <w:spacing w:line="360" w:lineRule="auto"/>
        <w:ind w:left="479" w:leftChars="228" w:firstLine="0" w:firstLineChars="0"/>
        <w:rPr>
          <w:rFonts w:ascii="Arial" w:hAnsi="Arial" w:eastAsia="宋体" w:cs="Arial"/>
          <w:bCs/>
          <w:color w:val="000000" w:themeColor="text1"/>
          <w:sz w:val="28"/>
          <w:szCs w:val="28"/>
          <w:u w:val="single"/>
          <w14:textFill>
            <w14:solidFill>
              <w14:schemeClr w14:val="tx1"/>
            </w14:solidFill>
          </w14:textFill>
        </w:rPr>
      </w:pPr>
      <w:r>
        <w:rPr>
          <w:rFonts w:ascii="Arial" w:hAnsi="Arial" w:eastAsia="宋体" w:cs="Arial"/>
          <w:bCs/>
          <w:color w:val="000000" w:themeColor="text1"/>
          <w:sz w:val="24"/>
          <w:szCs w:val="24"/>
          <w14:textFill>
            <w14:solidFill>
              <w14:schemeClr w14:val="tx1"/>
            </w14:solidFill>
          </w14:textFill>
        </w:rPr>
        <w:t>联系电话</w:t>
      </w:r>
      <w:r>
        <w:rPr>
          <w:rFonts w:ascii="Arial" w:hAnsi="Arial" w:eastAsia="宋体" w:cs="Arial"/>
          <w:bCs/>
          <w:color w:val="000000" w:themeColor="text1"/>
          <w:sz w:val="28"/>
          <w:szCs w:val="28"/>
          <w14:textFill>
            <w14:solidFill>
              <w14:schemeClr w14:val="tx1"/>
            </w14:solidFill>
          </w14:textFill>
        </w:rPr>
        <w:t>：</w:t>
      </w:r>
      <w:r>
        <w:rPr>
          <w:rFonts w:ascii="Arial" w:hAnsi="Arial" w:eastAsia="宋体" w:cs="Arial"/>
          <w:bCs/>
          <w:color w:val="000000" w:themeColor="text1"/>
          <w:sz w:val="28"/>
          <w:szCs w:val="28"/>
          <w:u w:val="single"/>
          <w14:textFill>
            <w14:solidFill>
              <w14:schemeClr w14:val="tx1"/>
            </w14:solidFill>
          </w14:textFill>
        </w:rPr>
        <w:t xml:space="preserve">                                                </w:t>
      </w:r>
    </w:p>
    <w:p w14:paraId="7596B559">
      <w:pPr>
        <w:pStyle w:val="23"/>
        <w:spacing w:line="360" w:lineRule="auto"/>
        <w:ind w:left="479" w:leftChars="228" w:firstLine="0" w:firstLineChars="0"/>
        <w:rPr>
          <w:rFonts w:ascii="Arial" w:hAnsi="Arial" w:eastAsia="宋体" w:cs="Arial"/>
          <w:bCs/>
          <w:color w:val="000000" w:themeColor="text1"/>
          <w:sz w:val="24"/>
          <w:szCs w:val="24"/>
          <w14:textFill>
            <w14:solidFill>
              <w14:schemeClr w14:val="tx1"/>
            </w14:solidFill>
          </w14:textFill>
        </w:rPr>
      </w:pPr>
      <w:bookmarkStart w:id="158" w:name="_Toc15933_WPSOffice_Level2"/>
      <w:bookmarkStart w:id="159" w:name="_Toc26465_WPSOffice_Level2"/>
      <w:r>
        <w:rPr>
          <w:rFonts w:ascii="Arial" w:hAnsi="Arial" w:eastAsia="宋体" w:cs="Arial"/>
          <w:bCs/>
          <w:color w:val="000000" w:themeColor="text1"/>
          <w:sz w:val="24"/>
          <w:szCs w:val="24"/>
          <w14:textFill>
            <w14:solidFill>
              <w14:schemeClr w14:val="tx1"/>
            </w14:solidFill>
          </w14:textFill>
        </w:rPr>
        <w:t>日期：</w:t>
      </w:r>
      <w:r>
        <w:rPr>
          <w:rFonts w:ascii="Arial" w:hAnsi="Arial" w:eastAsia="宋体" w:cs="Arial"/>
          <w:bCs/>
          <w:color w:val="000000" w:themeColor="text1"/>
          <w:sz w:val="28"/>
          <w:szCs w:val="28"/>
          <w:u w:val="single"/>
          <w14:textFill>
            <w14:solidFill>
              <w14:schemeClr w14:val="tx1"/>
            </w14:solidFill>
          </w14:textFill>
        </w:rPr>
        <w:t xml:space="preserve">      </w:t>
      </w:r>
      <w:r>
        <w:rPr>
          <w:rFonts w:ascii="Arial" w:hAnsi="Arial" w:eastAsia="宋体" w:cs="Arial"/>
          <w:bCs/>
          <w:color w:val="000000" w:themeColor="text1"/>
          <w:sz w:val="24"/>
          <w:szCs w:val="24"/>
          <w14:textFill>
            <w14:solidFill>
              <w14:schemeClr w14:val="tx1"/>
            </w14:solidFill>
          </w14:textFill>
        </w:rPr>
        <w:t>年</w:t>
      </w:r>
      <w:r>
        <w:rPr>
          <w:rFonts w:ascii="Arial" w:hAnsi="Arial" w:eastAsia="宋体" w:cs="Arial"/>
          <w:bCs/>
          <w:color w:val="000000" w:themeColor="text1"/>
          <w:sz w:val="28"/>
          <w:szCs w:val="28"/>
          <w:u w:val="single"/>
          <w14:textFill>
            <w14:solidFill>
              <w14:schemeClr w14:val="tx1"/>
            </w14:solidFill>
          </w14:textFill>
        </w:rPr>
        <w:t xml:space="preserve">      </w:t>
      </w:r>
      <w:r>
        <w:rPr>
          <w:rFonts w:ascii="Arial" w:hAnsi="Arial" w:eastAsia="宋体" w:cs="Arial"/>
          <w:bCs/>
          <w:color w:val="000000" w:themeColor="text1"/>
          <w:sz w:val="24"/>
          <w:szCs w:val="24"/>
          <w14:textFill>
            <w14:solidFill>
              <w14:schemeClr w14:val="tx1"/>
            </w14:solidFill>
          </w14:textFill>
        </w:rPr>
        <w:t>月</w:t>
      </w:r>
      <w:r>
        <w:rPr>
          <w:rFonts w:ascii="Arial" w:hAnsi="Arial" w:eastAsia="宋体" w:cs="Arial"/>
          <w:bCs/>
          <w:color w:val="000000" w:themeColor="text1"/>
          <w:sz w:val="28"/>
          <w:szCs w:val="28"/>
          <w:u w:val="single"/>
          <w14:textFill>
            <w14:solidFill>
              <w14:schemeClr w14:val="tx1"/>
            </w14:solidFill>
          </w14:textFill>
        </w:rPr>
        <w:t xml:space="preserve">      </w:t>
      </w:r>
      <w:r>
        <w:rPr>
          <w:rFonts w:ascii="Arial" w:hAnsi="Arial" w:eastAsia="宋体" w:cs="Arial"/>
          <w:bCs/>
          <w:color w:val="000000" w:themeColor="text1"/>
          <w:sz w:val="24"/>
          <w:szCs w:val="24"/>
          <w14:textFill>
            <w14:solidFill>
              <w14:schemeClr w14:val="tx1"/>
            </w14:solidFill>
          </w14:textFill>
        </w:rPr>
        <w:t>日</w:t>
      </w:r>
      <w:bookmarkEnd w:id="158"/>
      <w:bookmarkEnd w:id="159"/>
    </w:p>
    <w:p w14:paraId="262511F4">
      <w:pPr>
        <w:pStyle w:val="7"/>
        <w:snapToGrid w:val="0"/>
        <w:spacing w:before="50" w:after="50" w:line="360" w:lineRule="auto"/>
        <w:ind w:left="718" w:leftChars="342" w:firstLine="0"/>
        <w:rPr>
          <w:rFonts w:ascii="Arial" w:hAnsi="Arial" w:cs="Arial"/>
          <w:bCs/>
          <w:color w:val="000000" w:themeColor="text1"/>
          <w:sz w:val="24"/>
          <w14:textFill>
            <w14:solidFill>
              <w14:schemeClr w14:val="tx1"/>
            </w14:solidFill>
          </w14:textFill>
        </w:rPr>
      </w:pPr>
    </w:p>
    <w:p w14:paraId="619A9244">
      <w:pPr>
        <w:snapToGrid w:val="0"/>
        <w:spacing w:before="120" w:beforeLines="50" w:after="50" w:line="440" w:lineRule="exact"/>
        <w:jc w:val="left"/>
        <w:outlineLvl w:val="1"/>
        <w:rPr>
          <w:rFonts w:ascii="Arial" w:hAnsi="Arial" w:cs="Arial"/>
          <w:bCs/>
          <w:color w:val="000000" w:themeColor="text1"/>
          <w:sz w:val="24"/>
          <w14:textFill>
            <w14:solidFill>
              <w14:schemeClr w14:val="tx1"/>
            </w14:solidFill>
          </w14:textFill>
        </w:rPr>
      </w:pPr>
      <w:r>
        <w:rPr>
          <w:rFonts w:ascii="Arial" w:hAnsi="Arial" w:cs="Arial"/>
          <w:color w:val="000000" w:themeColor="text1"/>
          <w:sz w:val="24"/>
          <w14:textFill>
            <w14:solidFill>
              <w14:schemeClr w14:val="tx1"/>
            </w14:solidFill>
          </w14:textFill>
        </w:rPr>
        <w:br w:type="page"/>
      </w:r>
      <w:r>
        <w:rPr>
          <w:rFonts w:ascii="Arial" w:hAnsi="Arial" w:cs="Arial"/>
          <w:bCs/>
          <w:color w:val="000000" w:themeColor="text1"/>
          <w:sz w:val="24"/>
          <w14:textFill>
            <w14:solidFill>
              <w14:schemeClr w14:val="tx1"/>
            </w14:solidFill>
          </w14:textFill>
        </w:rPr>
        <w:t xml:space="preserve">1．投标文件第一册封面参考格式： </w:t>
      </w:r>
    </w:p>
    <w:p w14:paraId="75B912F7">
      <w:pPr>
        <w:snapToGrid w:val="0"/>
        <w:spacing w:before="120" w:beforeLines="50" w:after="50" w:line="360" w:lineRule="exact"/>
        <w:rPr>
          <w:rFonts w:ascii="Arial" w:hAnsi="Arial" w:cs="Arial"/>
          <w:color w:val="000000" w:themeColor="text1"/>
          <w:sz w:val="24"/>
          <w14:textFill>
            <w14:solidFill>
              <w14:schemeClr w14:val="tx1"/>
            </w14:solidFill>
          </w14:textFill>
        </w:rPr>
      </w:pPr>
    </w:p>
    <w:p w14:paraId="7C03DEE8">
      <w:pPr>
        <w:snapToGrid w:val="0"/>
        <w:spacing w:before="120" w:beforeLines="50" w:after="50" w:line="360" w:lineRule="exact"/>
        <w:jc w:val="center"/>
        <w:rPr>
          <w:rFonts w:ascii="Arial" w:hAnsi="Arial" w:cs="Arial"/>
          <w:bCs/>
          <w:color w:val="000000" w:themeColor="text1"/>
          <w:sz w:val="24"/>
          <w14:textFill>
            <w14:solidFill>
              <w14:schemeClr w14:val="tx1"/>
            </w14:solidFill>
          </w14:textFill>
        </w:rPr>
      </w:pPr>
    </w:p>
    <w:p w14:paraId="14261D0A">
      <w:pPr>
        <w:pStyle w:val="30"/>
        <w:rPr>
          <w:rFonts w:ascii="Arial" w:hAnsi="Arial" w:cs="Arial"/>
          <w:color w:val="000000" w:themeColor="text1"/>
          <w14:textFill>
            <w14:solidFill>
              <w14:schemeClr w14:val="tx1"/>
            </w14:solidFill>
          </w14:textFill>
        </w:rPr>
      </w:pPr>
    </w:p>
    <w:p w14:paraId="5AE30E9D">
      <w:pPr>
        <w:snapToGrid w:val="0"/>
        <w:spacing w:before="120" w:beforeLines="50" w:after="50" w:line="360" w:lineRule="exact"/>
        <w:jc w:val="center"/>
        <w:rPr>
          <w:rFonts w:ascii="Arial" w:hAnsi="Arial" w:cs="Arial"/>
          <w:b/>
          <w:bCs/>
          <w:color w:val="000000" w:themeColor="text1"/>
          <w:sz w:val="44"/>
          <w:szCs w:val="44"/>
          <w14:textFill>
            <w14:solidFill>
              <w14:schemeClr w14:val="tx1"/>
            </w14:solidFill>
          </w14:textFill>
        </w:rPr>
      </w:pPr>
      <w:r>
        <w:rPr>
          <w:rFonts w:ascii="Arial" w:hAnsi="Arial" w:cs="Arial"/>
          <w:b/>
          <w:bCs/>
          <w:color w:val="000000" w:themeColor="text1"/>
          <w:sz w:val="44"/>
          <w:szCs w:val="44"/>
          <w14:textFill>
            <w14:solidFill>
              <w14:schemeClr w14:val="tx1"/>
            </w14:solidFill>
          </w14:textFill>
        </w:rPr>
        <w:t>投标文件</w:t>
      </w:r>
    </w:p>
    <w:p w14:paraId="521B5ACE">
      <w:pPr>
        <w:snapToGrid w:val="0"/>
        <w:spacing w:before="120" w:beforeLines="50" w:after="50" w:line="360" w:lineRule="exact"/>
        <w:jc w:val="center"/>
        <w:rPr>
          <w:rFonts w:ascii="Arial" w:hAnsi="Arial" w:cs="Arial"/>
          <w:b/>
          <w:bCs/>
          <w:color w:val="000000" w:themeColor="text1"/>
          <w:sz w:val="44"/>
          <w:szCs w:val="44"/>
          <w14:textFill>
            <w14:solidFill>
              <w14:schemeClr w14:val="tx1"/>
            </w14:solidFill>
          </w14:textFill>
        </w:rPr>
      </w:pPr>
    </w:p>
    <w:p w14:paraId="2FC69A98">
      <w:pPr>
        <w:snapToGrid w:val="0"/>
        <w:spacing w:before="120" w:beforeLines="50" w:after="50" w:line="360" w:lineRule="exact"/>
        <w:jc w:val="center"/>
        <w:rPr>
          <w:rFonts w:ascii="Arial" w:hAnsi="Arial" w:cs="Arial"/>
          <w:b/>
          <w:bCs/>
          <w:color w:val="000000" w:themeColor="text1"/>
          <w:sz w:val="44"/>
          <w:szCs w:val="44"/>
          <w14:textFill>
            <w14:solidFill>
              <w14:schemeClr w14:val="tx1"/>
            </w14:solidFill>
          </w14:textFill>
        </w:rPr>
      </w:pPr>
    </w:p>
    <w:p w14:paraId="21DA1951">
      <w:pPr>
        <w:snapToGrid w:val="0"/>
        <w:spacing w:before="120" w:beforeLines="50" w:after="50" w:line="360" w:lineRule="exact"/>
        <w:jc w:val="center"/>
        <w:rPr>
          <w:rFonts w:ascii="Arial" w:hAnsi="Arial" w:cs="Arial"/>
          <w:b/>
          <w:bCs/>
          <w:color w:val="000000" w:themeColor="text1"/>
          <w:sz w:val="44"/>
          <w:szCs w:val="44"/>
          <w14:textFill>
            <w14:solidFill>
              <w14:schemeClr w14:val="tx1"/>
            </w14:solidFill>
          </w14:textFill>
        </w:rPr>
      </w:pPr>
      <w:r>
        <w:rPr>
          <w:rFonts w:ascii="Arial" w:hAnsi="Arial" w:cs="Arial"/>
          <w:b/>
          <w:bCs/>
          <w:color w:val="000000" w:themeColor="text1"/>
          <w:sz w:val="44"/>
          <w:szCs w:val="44"/>
          <w14:textFill>
            <w14:solidFill>
              <w14:schemeClr w14:val="tx1"/>
            </w14:solidFill>
          </w14:textFill>
        </w:rPr>
        <w:t>第一册  资格审查文件</w:t>
      </w:r>
    </w:p>
    <w:p w14:paraId="42747369">
      <w:pPr>
        <w:snapToGrid w:val="0"/>
        <w:spacing w:before="120" w:beforeLines="50" w:after="50" w:line="360" w:lineRule="exact"/>
        <w:rPr>
          <w:rFonts w:ascii="Arial" w:hAnsi="Arial" w:cs="Arial"/>
          <w:bCs/>
          <w:color w:val="000000" w:themeColor="text1"/>
          <w:sz w:val="24"/>
          <w14:textFill>
            <w14:solidFill>
              <w14:schemeClr w14:val="tx1"/>
            </w14:solidFill>
          </w14:textFill>
        </w:rPr>
      </w:pPr>
    </w:p>
    <w:p w14:paraId="5E09E420">
      <w:pPr>
        <w:snapToGrid w:val="0"/>
        <w:spacing w:before="120" w:beforeLines="50" w:after="50" w:line="360" w:lineRule="exact"/>
        <w:rPr>
          <w:rFonts w:ascii="Arial" w:hAnsi="Arial" w:cs="Arial"/>
          <w:bCs/>
          <w:color w:val="000000" w:themeColor="text1"/>
          <w:sz w:val="24"/>
          <w14:textFill>
            <w14:solidFill>
              <w14:schemeClr w14:val="tx1"/>
            </w14:solidFill>
          </w14:textFill>
        </w:rPr>
      </w:pPr>
    </w:p>
    <w:p w14:paraId="23ADCF76">
      <w:pPr>
        <w:snapToGrid w:val="0"/>
        <w:spacing w:before="120" w:beforeLines="50" w:after="50" w:line="360" w:lineRule="exact"/>
        <w:rPr>
          <w:rFonts w:ascii="Arial" w:hAnsi="Arial" w:cs="Arial"/>
          <w:bCs/>
          <w:color w:val="000000" w:themeColor="text1"/>
          <w:sz w:val="24"/>
          <w14:textFill>
            <w14:solidFill>
              <w14:schemeClr w14:val="tx1"/>
            </w14:solidFill>
          </w14:textFill>
        </w:rPr>
      </w:pPr>
    </w:p>
    <w:p w14:paraId="494E7717">
      <w:pPr>
        <w:snapToGrid w:val="0"/>
        <w:spacing w:before="120" w:beforeLines="50" w:after="50" w:line="360" w:lineRule="exact"/>
        <w:ind w:firstLine="720" w:firstLineChars="300"/>
        <w:rPr>
          <w:rFonts w:ascii="Arial" w:hAnsi="Arial" w:cs="Arial"/>
          <w:bCs/>
          <w:color w:val="000000" w:themeColor="text1"/>
          <w:sz w:val="24"/>
          <w14:textFill>
            <w14:solidFill>
              <w14:schemeClr w14:val="tx1"/>
            </w14:solidFill>
          </w14:textFill>
        </w:rPr>
      </w:pPr>
      <w:r>
        <w:rPr>
          <w:rFonts w:ascii="Arial" w:hAnsi="Arial" w:cs="Arial"/>
          <w:bCs/>
          <w:color w:val="000000" w:themeColor="text1"/>
          <w:sz w:val="24"/>
          <w14:textFill>
            <w14:solidFill>
              <w14:schemeClr w14:val="tx1"/>
            </w14:solidFill>
          </w14:textFill>
        </w:rPr>
        <w:t xml:space="preserve">项目名称： </w:t>
      </w:r>
    </w:p>
    <w:p w14:paraId="6B2B4DBE">
      <w:pPr>
        <w:snapToGrid w:val="0"/>
        <w:spacing w:before="120" w:beforeLines="50" w:after="50" w:line="360" w:lineRule="exact"/>
        <w:ind w:firstLine="720" w:firstLineChars="300"/>
        <w:rPr>
          <w:rFonts w:ascii="Arial" w:hAnsi="Arial" w:cs="Arial"/>
          <w:bCs/>
          <w:color w:val="000000" w:themeColor="text1"/>
          <w:sz w:val="24"/>
          <w14:textFill>
            <w14:solidFill>
              <w14:schemeClr w14:val="tx1"/>
            </w14:solidFill>
          </w14:textFill>
        </w:rPr>
      </w:pPr>
      <w:r>
        <w:rPr>
          <w:rFonts w:ascii="Arial" w:hAnsi="Arial" w:cs="Arial"/>
          <w:bCs/>
          <w:color w:val="000000" w:themeColor="text1"/>
          <w:sz w:val="24"/>
          <w14:textFill>
            <w14:solidFill>
              <w14:schemeClr w14:val="tx1"/>
            </w14:solidFill>
          </w14:textFill>
        </w:rPr>
        <w:t>项目编号：</w:t>
      </w:r>
    </w:p>
    <w:p w14:paraId="12FDDC6E">
      <w:pPr>
        <w:snapToGrid w:val="0"/>
        <w:spacing w:before="120" w:beforeLines="50" w:after="50" w:line="360" w:lineRule="exact"/>
        <w:ind w:firstLine="720" w:firstLineChars="300"/>
        <w:rPr>
          <w:rFonts w:ascii="Arial" w:hAnsi="Arial" w:cs="Arial"/>
          <w:bCs/>
          <w:color w:val="000000" w:themeColor="text1"/>
          <w:sz w:val="24"/>
          <w14:textFill>
            <w14:solidFill>
              <w14:schemeClr w14:val="tx1"/>
            </w14:solidFill>
          </w14:textFill>
        </w:rPr>
      </w:pPr>
      <w:r>
        <w:rPr>
          <w:rFonts w:ascii="Arial" w:hAnsi="Arial" w:cs="Arial"/>
          <w:bCs/>
          <w:color w:val="000000" w:themeColor="text1"/>
          <w:sz w:val="24"/>
          <w14:textFill>
            <w14:solidFill>
              <w14:schemeClr w14:val="tx1"/>
            </w14:solidFill>
          </w14:textFill>
        </w:rPr>
        <w:t>分标号：（若无留空或写“/”）</w:t>
      </w:r>
    </w:p>
    <w:p w14:paraId="6005D1FB">
      <w:pPr>
        <w:pStyle w:val="23"/>
        <w:spacing w:line="360" w:lineRule="auto"/>
        <w:ind w:firstLine="0" w:firstLineChars="0"/>
        <w:rPr>
          <w:rFonts w:ascii="Arial" w:hAnsi="Arial" w:eastAsia="宋体" w:cs="Arial"/>
          <w:bCs/>
          <w:color w:val="000000" w:themeColor="text1"/>
          <w:sz w:val="24"/>
          <w:szCs w:val="24"/>
          <w14:textFill>
            <w14:solidFill>
              <w14:schemeClr w14:val="tx1"/>
            </w14:solidFill>
          </w14:textFill>
        </w:rPr>
      </w:pPr>
    </w:p>
    <w:p w14:paraId="57537C4E">
      <w:pPr>
        <w:pStyle w:val="23"/>
        <w:spacing w:line="360" w:lineRule="auto"/>
        <w:ind w:firstLine="480" w:firstLineChars="200"/>
        <w:rPr>
          <w:rFonts w:ascii="Arial" w:hAnsi="Arial" w:eastAsia="宋体" w:cs="Arial"/>
          <w:bCs/>
          <w:color w:val="000000" w:themeColor="text1"/>
          <w:sz w:val="28"/>
          <w:szCs w:val="28"/>
          <w14:textFill>
            <w14:solidFill>
              <w14:schemeClr w14:val="tx1"/>
            </w14:solidFill>
          </w14:textFill>
        </w:rPr>
      </w:pPr>
      <w:r>
        <w:rPr>
          <w:rFonts w:ascii="Arial" w:hAnsi="Arial" w:eastAsia="宋体" w:cs="Arial"/>
          <w:bCs/>
          <w:color w:val="000000" w:themeColor="text1"/>
          <w:sz w:val="24"/>
          <w:szCs w:val="24"/>
          <w14:textFill>
            <w14:solidFill>
              <w14:schemeClr w14:val="tx1"/>
            </w14:solidFill>
          </w14:textFill>
        </w:rPr>
        <w:t>供应商[公章(CA签章)]</w:t>
      </w:r>
      <w:r>
        <w:rPr>
          <w:rFonts w:ascii="Arial" w:hAnsi="Arial" w:eastAsia="宋体" w:cs="Arial"/>
          <w:bCs/>
          <w:color w:val="000000" w:themeColor="text1"/>
          <w:sz w:val="28"/>
          <w:szCs w:val="28"/>
          <w14:textFill>
            <w14:solidFill>
              <w14:schemeClr w14:val="tx1"/>
            </w14:solidFill>
          </w14:textFill>
        </w:rPr>
        <w:t>：</w:t>
      </w:r>
      <w:r>
        <w:rPr>
          <w:rFonts w:ascii="Arial" w:hAnsi="Arial" w:eastAsia="宋体" w:cs="Arial"/>
          <w:bCs/>
          <w:color w:val="000000" w:themeColor="text1"/>
          <w:sz w:val="28"/>
          <w:szCs w:val="28"/>
          <w:u w:val="single"/>
          <w14:textFill>
            <w14:solidFill>
              <w14:schemeClr w14:val="tx1"/>
            </w14:solidFill>
          </w14:textFill>
        </w:rPr>
        <w:t xml:space="preserve">                              </w:t>
      </w:r>
    </w:p>
    <w:p w14:paraId="29296BE8">
      <w:pPr>
        <w:pStyle w:val="23"/>
        <w:spacing w:line="360" w:lineRule="auto"/>
        <w:ind w:left="519" w:leftChars="247" w:firstLine="0" w:firstLineChars="0"/>
        <w:rPr>
          <w:rFonts w:ascii="Arial" w:hAnsi="Arial" w:eastAsia="宋体" w:cs="Arial"/>
          <w:color w:val="000000" w:themeColor="text1"/>
          <w:sz w:val="28"/>
          <w:szCs w:val="28"/>
          <w:u w:val="single"/>
          <w14:textFill>
            <w14:solidFill>
              <w14:schemeClr w14:val="tx1"/>
            </w14:solidFill>
          </w14:textFill>
        </w:rPr>
      </w:pPr>
      <w:r>
        <w:rPr>
          <w:rFonts w:ascii="Arial" w:hAnsi="Arial" w:eastAsia="宋体" w:cs="Arial"/>
          <w:bCs/>
          <w:color w:val="000000" w:themeColor="text1"/>
          <w:sz w:val="24"/>
          <w:szCs w:val="24"/>
          <w14:textFill>
            <w14:solidFill>
              <w14:schemeClr w14:val="tx1"/>
            </w14:solidFill>
          </w14:textFill>
        </w:rPr>
        <w:t>法定代表人或相应的委托代理人签字[或盖章(CA签章)]</w:t>
      </w:r>
      <w:r>
        <w:rPr>
          <w:rFonts w:ascii="Arial" w:hAnsi="Arial" w:eastAsia="宋体" w:cs="Arial"/>
          <w:color w:val="000000" w:themeColor="text1"/>
          <w:sz w:val="28"/>
          <w:szCs w:val="28"/>
          <w14:textFill>
            <w14:solidFill>
              <w14:schemeClr w14:val="tx1"/>
            </w14:solidFill>
          </w14:textFill>
        </w:rPr>
        <w:t>：</w:t>
      </w:r>
      <w:r>
        <w:rPr>
          <w:rFonts w:ascii="Arial" w:hAnsi="Arial" w:eastAsia="宋体" w:cs="Arial"/>
          <w:color w:val="000000" w:themeColor="text1"/>
          <w:sz w:val="28"/>
          <w:szCs w:val="28"/>
          <w:u w:val="single"/>
          <w14:textFill>
            <w14:solidFill>
              <w14:schemeClr w14:val="tx1"/>
            </w14:solidFill>
          </w14:textFill>
        </w:rPr>
        <w:t xml:space="preserve">              </w:t>
      </w:r>
    </w:p>
    <w:p w14:paraId="502A8009">
      <w:pPr>
        <w:pStyle w:val="23"/>
        <w:spacing w:line="360" w:lineRule="auto"/>
        <w:ind w:left="479" w:leftChars="228" w:firstLine="0" w:firstLineChars="0"/>
        <w:rPr>
          <w:rFonts w:ascii="Arial" w:hAnsi="Arial" w:eastAsia="宋体" w:cs="Arial"/>
          <w:bCs/>
          <w:color w:val="000000" w:themeColor="text1"/>
          <w:sz w:val="28"/>
          <w:szCs w:val="28"/>
          <w:u w:val="single"/>
          <w14:textFill>
            <w14:solidFill>
              <w14:schemeClr w14:val="tx1"/>
            </w14:solidFill>
          </w14:textFill>
        </w:rPr>
      </w:pPr>
      <w:r>
        <w:rPr>
          <w:rFonts w:ascii="Arial" w:hAnsi="Arial" w:eastAsia="宋体" w:cs="Arial"/>
          <w:bCs/>
          <w:color w:val="000000" w:themeColor="text1"/>
          <w:sz w:val="24"/>
          <w:szCs w:val="24"/>
          <w14:textFill>
            <w14:solidFill>
              <w14:schemeClr w14:val="tx1"/>
            </w14:solidFill>
          </w14:textFill>
        </w:rPr>
        <w:t>联系电话</w:t>
      </w:r>
      <w:r>
        <w:rPr>
          <w:rFonts w:ascii="Arial" w:hAnsi="Arial" w:eastAsia="宋体" w:cs="Arial"/>
          <w:bCs/>
          <w:color w:val="000000" w:themeColor="text1"/>
          <w:sz w:val="28"/>
          <w:szCs w:val="28"/>
          <w14:textFill>
            <w14:solidFill>
              <w14:schemeClr w14:val="tx1"/>
            </w14:solidFill>
          </w14:textFill>
        </w:rPr>
        <w:t>：</w:t>
      </w:r>
      <w:r>
        <w:rPr>
          <w:rFonts w:ascii="Arial" w:hAnsi="Arial" w:eastAsia="宋体" w:cs="Arial"/>
          <w:bCs/>
          <w:color w:val="000000" w:themeColor="text1"/>
          <w:sz w:val="28"/>
          <w:szCs w:val="28"/>
          <w:u w:val="single"/>
          <w14:textFill>
            <w14:solidFill>
              <w14:schemeClr w14:val="tx1"/>
            </w14:solidFill>
          </w14:textFill>
        </w:rPr>
        <w:t xml:space="preserve">                                                </w:t>
      </w:r>
    </w:p>
    <w:p w14:paraId="477DB862">
      <w:pPr>
        <w:snapToGrid w:val="0"/>
        <w:spacing w:before="120" w:beforeLines="50" w:after="50" w:line="360" w:lineRule="exact"/>
        <w:jc w:val="center"/>
        <w:rPr>
          <w:rFonts w:ascii="Arial" w:hAnsi="Arial" w:cs="Arial"/>
          <w:color w:val="000000" w:themeColor="text1"/>
          <w:sz w:val="24"/>
          <w14:textFill>
            <w14:solidFill>
              <w14:schemeClr w14:val="tx1"/>
            </w14:solidFill>
          </w14:textFill>
        </w:rPr>
      </w:pPr>
      <w:r>
        <w:rPr>
          <w:rFonts w:ascii="Arial" w:hAnsi="Arial" w:cs="Arial"/>
          <w:bCs/>
          <w:color w:val="000000" w:themeColor="text1"/>
          <w:sz w:val="24"/>
          <w14:textFill>
            <w14:solidFill>
              <w14:schemeClr w14:val="tx1"/>
            </w14:solidFill>
          </w14:textFill>
        </w:rPr>
        <w:t>日期：</w:t>
      </w:r>
      <w:r>
        <w:rPr>
          <w:rFonts w:ascii="Arial" w:hAnsi="Arial" w:cs="Arial"/>
          <w:bCs/>
          <w:color w:val="000000" w:themeColor="text1"/>
          <w:sz w:val="28"/>
          <w:szCs w:val="28"/>
          <w:u w:val="single"/>
          <w14:textFill>
            <w14:solidFill>
              <w14:schemeClr w14:val="tx1"/>
            </w14:solidFill>
          </w14:textFill>
        </w:rPr>
        <w:t xml:space="preserve">      </w:t>
      </w:r>
      <w:r>
        <w:rPr>
          <w:rFonts w:ascii="Arial" w:hAnsi="Arial" w:cs="Arial"/>
          <w:bCs/>
          <w:color w:val="000000" w:themeColor="text1"/>
          <w:sz w:val="24"/>
          <w14:textFill>
            <w14:solidFill>
              <w14:schemeClr w14:val="tx1"/>
            </w14:solidFill>
          </w14:textFill>
        </w:rPr>
        <w:t>年</w:t>
      </w:r>
      <w:r>
        <w:rPr>
          <w:rFonts w:ascii="Arial" w:hAnsi="Arial" w:cs="Arial"/>
          <w:bCs/>
          <w:color w:val="000000" w:themeColor="text1"/>
          <w:sz w:val="28"/>
          <w:szCs w:val="28"/>
          <w:u w:val="single"/>
          <w14:textFill>
            <w14:solidFill>
              <w14:schemeClr w14:val="tx1"/>
            </w14:solidFill>
          </w14:textFill>
        </w:rPr>
        <w:t xml:space="preserve">      </w:t>
      </w:r>
      <w:r>
        <w:rPr>
          <w:rFonts w:ascii="Arial" w:hAnsi="Arial" w:cs="Arial"/>
          <w:bCs/>
          <w:color w:val="000000" w:themeColor="text1"/>
          <w:sz w:val="24"/>
          <w14:textFill>
            <w14:solidFill>
              <w14:schemeClr w14:val="tx1"/>
            </w14:solidFill>
          </w14:textFill>
        </w:rPr>
        <w:t>月</w:t>
      </w:r>
      <w:r>
        <w:rPr>
          <w:rFonts w:ascii="Arial" w:hAnsi="Arial" w:cs="Arial"/>
          <w:bCs/>
          <w:color w:val="000000" w:themeColor="text1"/>
          <w:sz w:val="28"/>
          <w:szCs w:val="28"/>
          <w:u w:val="single"/>
          <w14:textFill>
            <w14:solidFill>
              <w14:schemeClr w14:val="tx1"/>
            </w14:solidFill>
          </w14:textFill>
        </w:rPr>
        <w:t xml:space="preserve">      </w:t>
      </w:r>
      <w:r>
        <w:rPr>
          <w:rFonts w:ascii="Arial" w:hAnsi="Arial" w:cs="Arial"/>
          <w:bCs/>
          <w:color w:val="000000" w:themeColor="text1"/>
          <w:sz w:val="24"/>
          <w14:textFill>
            <w14:solidFill>
              <w14:schemeClr w14:val="tx1"/>
            </w14:solidFill>
          </w14:textFill>
        </w:rPr>
        <w:t>日</w:t>
      </w:r>
    </w:p>
    <w:p w14:paraId="35B98817">
      <w:pPr>
        <w:rPr>
          <w:rFonts w:ascii="Arial" w:hAnsi="Arial" w:cs="Arial"/>
          <w:color w:val="000000" w:themeColor="text1"/>
          <w14:textFill>
            <w14:solidFill>
              <w14:schemeClr w14:val="tx1"/>
            </w14:solidFill>
          </w14:textFill>
        </w:rPr>
      </w:pPr>
      <w:bookmarkStart w:id="160" w:name="_Toc254970557"/>
      <w:bookmarkStart w:id="161" w:name="_Toc254970698"/>
      <w:r>
        <w:rPr>
          <w:rFonts w:ascii="Arial" w:hAnsi="Arial" w:cs="Arial"/>
          <w:color w:val="000000" w:themeColor="text1"/>
          <w14:textFill>
            <w14:solidFill>
              <w14:schemeClr w14:val="tx1"/>
            </w14:solidFill>
          </w14:textFill>
        </w:rPr>
        <w:br w:type="page"/>
      </w:r>
      <w:bookmarkEnd w:id="160"/>
      <w:bookmarkEnd w:id="161"/>
      <w:r>
        <w:rPr>
          <w:rFonts w:ascii="Arial" w:hAnsi="Arial" w:cs="Arial"/>
          <w:b/>
          <w:bCs/>
          <w:color w:val="000000" w:themeColor="text1"/>
          <w14:textFill>
            <w14:solidFill>
              <w14:schemeClr w14:val="tx1"/>
            </w14:solidFill>
          </w14:textFill>
        </w:rPr>
        <w:t xml:space="preserve"> </w:t>
      </w:r>
    </w:p>
    <w:p w14:paraId="720A7C26">
      <w:pPr>
        <w:snapToGrid w:val="0"/>
        <w:spacing w:before="50" w:after="50" w:line="440" w:lineRule="exact"/>
        <w:ind w:firstLine="138" w:firstLineChars="49"/>
        <w:jc w:val="center"/>
        <w:rPr>
          <w:rFonts w:ascii="Arial" w:hAnsi="Arial" w:cs="Arial"/>
          <w:b/>
          <w:color w:val="000000" w:themeColor="text1"/>
          <w:sz w:val="28"/>
          <w:szCs w:val="28"/>
          <w14:textFill>
            <w14:solidFill>
              <w14:schemeClr w14:val="tx1"/>
            </w14:solidFill>
          </w14:textFill>
        </w:rPr>
      </w:pPr>
      <w:r>
        <w:rPr>
          <w:rFonts w:ascii="Arial" w:hAnsi="Arial" w:cs="Arial"/>
          <w:b/>
          <w:color w:val="000000" w:themeColor="text1"/>
          <w:sz w:val="28"/>
          <w:szCs w:val="28"/>
          <w14:textFill>
            <w14:solidFill>
              <w14:schemeClr w14:val="tx1"/>
            </w14:solidFill>
          </w14:textFill>
        </w:rPr>
        <w:t>目录</w:t>
      </w:r>
    </w:p>
    <w:p w14:paraId="19B9776A">
      <w:pPr>
        <w:snapToGrid w:val="0"/>
        <w:spacing w:before="50" w:after="50" w:line="440" w:lineRule="exact"/>
        <w:ind w:firstLine="118" w:firstLineChars="49"/>
        <w:jc w:val="center"/>
        <w:rPr>
          <w:rFonts w:ascii="Arial" w:hAnsi="Arial" w:cs="Arial"/>
          <w:b/>
          <w:color w:val="000000" w:themeColor="text1"/>
          <w:sz w:val="24"/>
          <w14:textFill>
            <w14:solidFill>
              <w14:schemeClr w14:val="tx1"/>
            </w14:solidFill>
          </w14:textFill>
        </w:rPr>
      </w:pPr>
      <w:r>
        <w:rPr>
          <w:rFonts w:ascii="Arial" w:hAnsi="Arial" w:cs="Arial"/>
          <w:b/>
          <w:color w:val="000000" w:themeColor="text1"/>
          <w:sz w:val="24"/>
          <w14:textFill>
            <w14:solidFill>
              <w14:schemeClr w14:val="tx1"/>
            </w14:solidFill>
          </w14:textFill>
        </w:rPr>
        <w:t>（应有页码）</w:t>
      </w:r>
    </w:p>
    <w:p w14:paraId="6737176C">
      <w:pPr>
        <w:snapToGrid w:val="0"/>
        <w:spacing w:before="50" w:after="50" w:line="440" w:lineRule="exact"/>
        <w:ind w:firstLine="118" w:firstLineChars="49"/>
        <w:jc w:val="center"/>
        <w:rPr>
          <w:rFonts w:ascii="Arial" w:hAnsi="Arial" w:cs="Arial"/>
          <w:b/>
          <w:color w:val="000000" w:themeColor="text1"/>
          <w:sz w:val="24"/>
          <w14:textFill>
            <w14:solidFill>
              <w14:schemeClr w14:val="tx1"/>
            </w14:solidFill>
          </w14:textFill>
        </w:rPr>
      </w:pPr>
      <w:r>
        <w:rPr>
          <w:rFonts w:ascii="Arial" w:hAnsi="Arial" w:cs="Arial"/>
          <w:b/>
          <w:color w:val="000000" w:themeColor="text1"/>
          <w:sz w:val="24"/>
          <w14:textFill>
            <w14:solidFill>
              <w14:schemeClr w14:val="tx1"/>
            </w14:solidFill>
          </w14:textFill>
        </w:rPr>
        <w:br w:type="page"/>
      </w:r>
    </w:p>
    <w:p w14:paraId="5F15F1F8">
      <w:pPr>
        <w:snapToGrid w:val="0"/>
        <w:spacing w:before="50" w:after="50" w:line="440" w:lineRule="exact"/>
        <w:jc w:val="left"/>
        <w:rPr>
          <w:rFonts w:ascii="Arial" w:hAnsi="Arial" w:cs="Arial"/>
          <w:b/>
          <w:color w:val="000000" w:themeColor="text1"/>
          <w:szCs w:val="21"/>
          <w14:textFill>
            <w14:solidFill>
              <w14:schemeClr w14:val="tx1"/>
            </w14:solidFill>
          </w14:textFill>
        </w:rPr>
      </w:pPr>
      <w:bookmarkStart w:id="162" w:name="_Hlk19114217"/>
      <w:r>
        <w:rPr>
          <w:rFonts w:ascii="Arial" w:hAnsi="Arial" w:cs="Arial"/>
          <w:b/>
          <w:color w:val="000000" w:themeColor="text1"/>
          <w:szCs w:val="21"/>
          <w14:textFill>
            <w14:solidFill>
              <w14:schemeClr w14:val="tx1"/>
            </w14:solidFill>
          </w14:textFill>
        </w:rPr>
        <w:t>1．投标声明书格式（必须提供）：</w:t>
      </w:r>
    </w:p>
    <w:p w14:paraId="6D19975B">
      <w:pPr>
        <w:snapToGrid w:val="0"/>
        <w:spacing w:before="120" w:beforeLines="50" w:after="50" w:line="360" w:lineRule="exact"/>
        <w:jc w:val="center"/>
        <w:rPr>
          <w:rFonts w:ascii="Arial" w:hAnsi="Arial" w:cs="Arial"/>
          <w:b/>
          <w:color w:val="000000" w:themeColor="text1"/>
          <w:szCs w:val="21"/>
          <w14:textFill>
            <w14:solidFill>
              <w14:schemeClr w14:val="tx1"/>
            </w14:solidFill>
          </w14:textFill>
        </w:rPr>
      </w:pPr>
    </w:p>
    <w:p w14:paraId="428BA516">
      <w:pPr>
        <w:snapToGrid w:val="0"/>
        <w:spacing w:before="120" w:beforeLines="50" w:after="50" w:line="36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投标声明书</w:t>
      </w:r>
    </w:p>
    <w:p w14:paraId="237B8966">
      <w:pPr>
        <w:snapToGrid w:val="0"/>
        <w:spacing w:before="120" w:beforeLines="50" w:after="50" w:line="360" w:lineRule="exact"/>
        <w:jc w:val="center"/>
        <w:rPr>
          <w:rFonts w:ascii="Arial" w:hAnsi="Arial" w:cs="Arial"/>
          <w:color w:val="000000" w:themeColor="text1"/>
          <w:szCs w:val="21"/>
          <w14:textFill>
            <w14:solidFill>
              <w14:schemeClr w14:val="tx1"/>
            </w14:solidFill>
          </w14:textFill>
        </w:rPr>
      </w:pPr>
    </w:p>
    <w:p w14:paraId="6517A623">
      <w:pPr>
        <w:snapToGrid w:val="0"/>
        <w:spacing w:before="120" w:beforeLines="50" w:after="50" w:line="360" w:lineRule="exac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致：</w:t>
      </w:r>
      <w:r>
        <w:rPr>
          <w:rFonts w:ascii="Arial" w:hAnsi="Arial" w:cs="Arial"/>
          <w:i/>
          <w:iCs/>
          <w:color w:val="000000" w:themeColor="text1"/>
          <w:szCs w:val="21"/>
          <w:u w:val="single"/>
          <w14:textFill>
            <w14:solidFill>
              <w14:schemeClr w14:val="tx1"/>
            </w14:solidFill>
          </w14:textFill>
        </w:rPr>
        <w:t>（采购人名称）</w:t>
      </w:r>
      <w:r>
        <w:rPr>
          <w:rFonts w:ascii="Arial" w:hAnsi="Arial" w:cs="Arial"/>
          <w:color w:val="000000" w:themeColor="text1"/>
          <w:szCs w:val="21"/>
          <w14:textFill>
            <w14:solidFill>
              <w14:schemeClr w14:val="tx1"/>
            </w14:solidFill>
          </w14:textFill>
        </w:rPr>
        <w:t>：</w:t>
      </w:r>
    </w:p>
    <w:p w14:paraId="69BDFAE4">
      <w:pPr>
        <w:snapToGrid w:val="0"/>
        <w:spacing w:before="120" w:beforeLines="50" w:after="50" w:line="360" w:lineRule="exact"/>
        <w:ind w:firstLine="630" w:firstLineChars="300"/>
        <w:rPr>
          <w:rFonts w:ascii="Arial" w:hAnsi="Arial" w:cs="Arial"/>
          <w:color w:val="000000" w:themeColor="text1"/>
          <w:szCs w:val="21"/>
          <w14:textFill>
            <w14:solidFill>
              <w14:schemeClr w14:val="tx1"/>
            </w14:solidFill>
          </w14:textFill>
        </w:rPr>
      </w:pPr>
      <w:r>
        <w:rPr>
          <w:rFonts w:ascii="Arial" w:hAnsi="Arial" w:cs="Arial"/>
          <w:i/>
          <w:iCs/>
          <w:color w:val="000000" w:themeColor="text1"/>
          <w:szCs w:val="21"/>
          <w:u w:val="single"/>
          <w14:textFill>
            <w14:solidFill>
              <w14:schemeClr w14:val="tx1"/>
            </w14:solidFill>
          </w14:textFill>
        </w:rPr>
        <w:t>（供应商名称）</w:t>
      </w:r>
      <w:r>
        <w:rPr>
          <w:rFonts w:ascii="Arial" w:hAnsi="Arial" w:cs="Arial"/>
          <w:color w:val="000000" w:themeColor="text1"/>
          <w:szCs w:val="21"/>
          <w14:textFill>
            <w14:solidFill>
              <w14:schemeClr w14:val="tx1"/>
            </w14:solidFill>
          </w14:textFill>
        </w:rPr>
        <w:t>系中华人民共和国合法企业，</w:t>
      </w:r>
      <w:r>
        <w:rPr>
          <w:rFonts w:ascii="Arial" w:hAnsi="Arial" w:cs="Arial"/>
          <w:color w:val="000000" w:themeColor="text1"/>
          <w:szCs w:val="21"/>
          <w:u w:val="single"/>
          <w14:textFill>
            <w14:solidFill>
              <w14:schemeClr w14:val="tx1"/>
            </w14:solidFill>
          </w14:textFill>
        </w:rPr>
        <w:t xml:space="preserve"> </w:t>
      </w:r>
      <w:r>
        <w:rPr>
          <w:rFonts w:ascii="Arial" w:hAnsi="Arial" w:cs="Arial"/>
          <w:i/>
          <w:iCs/>
          <w:color w:val="000000" w:themeColor="text1"/>
          <w:szCs w:val="21"/>
          <w:u w:val="single"/>
          <w14:textFill>
            <w14:solidFill>
              <w14:schemeClr w14:val="tx1"/>
            </w14:solidFill>
          </w14:textFill>
        </w:rPr>
        <w:t xml:space="preserve"> （经营地址）</w:t>
      </w:r>
      <w:r>
        <w:rPr>
          <w:rFonts w:ascii="Arial" w:hAnsi="Arial" w:cs="Arial"/>
          <w:color w:val="000000" w:themeColor="text1"/>
          <w:szCs w:val="21"/>
          <w14:textFill>
            <w14:solidFill>
              <w14:schemeClr w14:val="tx1"/>
            </w14:solidFill>
          </w14:textFill>
        </w:rPr>
        <w:t>。</w:t>
      </w:r>
    </w:p>
    <w:p w14:paraId="15E624A4">
      <w:pPr>
        <w:snapToGrid w:val="0"/>
        <w:spacing w:before="120" w:beforeLines="50" w:after="50" w:line="360" w:lineRule="exact"/>
        <w:ind w:firstLine="645"/>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我</w:t>
      </w:r>
      <w:r>
        <w:rPr>
          <w:rFonts w:ascii="Arial" w:hAnsi="Arial" w:cs="Arial"/>
          <w:i/>
          <w:iCs/>
          <w:color w:val="000000" w:themeColor="text1"/>
          <w:szCs w:val="21"/>
          <w:u w:val="single"/>
          <w14:textFill>
            <w14:solidFill>
              <w14:schemeClr w14:val="tx1"/>
            </w14:solidFill>
          </w14:textFill>
        </w:rPr>
        <w:t xml:space="preserve">（姓名） </w:t>
      </w:r>
      <w:r>
        <w:rPr>
          <w:rFonts w:ascii="Arial" w:hAnsi="Arial" w:cs="Arial"/>
          <w:color w:val="000000" w:themeColor="text1"/>
          <w:szCs w:val="21"/>
          <w14:textFill>
            <w14:solidFill>
              <w14:schemeClr w14:val="tx1"/>
            </w14:solidFill>
          </w14:textFill>
        </w:rPr>
        <w:t>系</w:t>
      </w:r>
      <w:r>
        <w:rPr>
          <w:rFonts w:ascii="Arial" w:hAnsi="Arial" w:cs="Arial"/>
          <w:i/>
          <w:iCs/>
          <w:color w:val="000000" w:themeColor="text1"/>
          <w:szCs w:val="21"/>
          <w:u w:val="single"/>
          <w14:textFill>
            <w14:solidFill>
              <w14:schemeClr w14:val="tx1"/>
            </w14:solidFill>
          </w14:textFill>
        </w:rPr>
        <w:t>（供应商名称）</w:t>
      </w:r>
      <w:r>
        <w:rPr>
          <w:rFonts w:ascii="Arial" w:hAnsi="Arial" w:cs="Arial"/>
          <w:color w:val="000000" w:themeColor="text1"/>
          <w:szCs w:val="21"/>
          <w14:textFill>
            <w14:solidFill>
              <w14:schemeClr w14:val="tx1"/>
            </w14:solidFill>
          </w14:textFill>
        </w:rPr>
        <w:t xml:space="preserve">的法定代表人，我方愿意参加贵方组织的 </w:t>
      </w:r>
      <w:r>
        <w:rPr>
          <w:rFonts w:ascii="Arial" w:hAnsi="Arial" w:cs="Arial"/>
          <w:i/>
          <w:iCs/>
          <w:color w:val="000000" w:themeColor="text1"/>
          <w:szCs w:val="21"/>
          <w:u w:val="single"/>
          <w14:textFill>
            <w14:solidFill>
              <w14:schemeClr w14:val="tx1"/>
            </w14:solidFill>
          </w14:textFill>
        </w:rPr>
        <w:t xml:space="preserve">（项目名称） </w:t>
      </w:r>
      <w:r>
        <w:rPr>
          <w:rFonts w:ascii="Arial" w:hAnsi="Arial" w:cs="Arial"/>
          <w:color w:val="000000" w:themeColor="text1"/>
          <w:szCs w:val="21"/>
          <w14:textFill>
            <w14:solidFill>
              <w14:schemeClr w14:val="tx1"/>
            </w14:solidFill>
          </w14:textFill>
        </w:rPr>
        <w:t>项目的投标，为便于贵方公正、择优地确定中标供应商及其投标产品和服务，我方就本次投标有关事项郑重声明如下：</w:t>
      </w:r>
    </w:p>
    <w:p w14:paraId="790DDDEF">
      <w:pPr>
        <w:snapToGrid w:val="0"/>
        <w:spacing w:before="120" w:beforeLines="50" w:line="360" w:lineRule="exac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（1）我方向贵方提交的所有投标文件、资料都是准确的和真实的。</w:t>
      </w:r>
    </w:p>
    <w:p w14:paraId="690A5AEE">
      <w:pPr>
        <w:snapToGrid w:val="0"/>
        <w:spacing w:before="120" w:beforeLines="50" w:line="360" w:lineRule="exac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（2）我方不是采购人的附属机构；也不是为本项目提供整体设计、规范编制或者项目管理、监理、检测等服务的供应商或其附属机构。</w:t>
      </w:r>
    </w:p>
    <w:p w14:paraId="23063627">
      <w:pPr>
        <w:snapToGrid w:val="0"/>
        <w:spacing w:before="120" w:beforeLines="50" w:line="360" w:lineRule="exac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（3）我方承诺在参加本政府采购项目活动前，没有被纳入政府部门或银行认定的失信名单，我方具有良好的商业信誉。</w:t>
      </w:r>
    </w:p>
    <w:p w14:paraId="466A6E5F">
      <w:pPr>
        <w:snapToGrid w:val="0"/>
        <w:spacing w:before="120" w:beforeLines="50" w:line="360" w:lineRule="exac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我方及本人承诺在参加本政府采购项目活动前三年内，在经营活动中没有重大违法记录及不良信用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1F1707B3">
      <w:pPr>
        <w:snapToGrid w:val="0"/>
        <w:spacing w:before="120" w:beforeLines="50" w:line="360" w:lineRule="exac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（5）我方承诺具有履行本项目合同所必需的设备和专业技术能力。</w:t>
      </w:r>
    </w:p>
    <w:p w14:paraId="451CA6F9">
      <w:pPr>
        <w:snapToGrid w:val="0"/>
        <w:spacing w:before="120" w:beforeLines="50" w:line="360" w:lineRule="exac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我方承诺未被列入失信被执行人、重大税收违法失信主体、政府采购严重违法失信行为记录名单，如我方提供的声明不实，则接受本次投标作为否决投标的处理，并根据财库〔2016〕125号《财政部关于在政府采购活动中查询及使用信用记录有关问题的通知》规定接受失信联合惩戒。</w:t>
      </w:r>
    </w:p>
    <w:p w14:paraId="1D0AC3FC">
      <w:pPr>
        <w:snapToGrid w:val="0"/>
        <w:spacing w:before="120" w:beforeLines="50" w:line="360" w:lineRule="exac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（7）我方承诺中标后按规定缴纳代理服务费。</w:t>
      </w:r>
    </w:p>
    <w:p w14:paraId="3CF031B6">
      <w:pPr>
        <w:snapToGrid w:val="0"/>
        <w:spacing w:before="120" w:beforeLines="50" w:line="360" w:lineRule="exac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我方对以上声明负全部法律责任。如有虚假或隐瞒，我方愿意承担一切后果，并不再寻求任何旨在减轻或免除法律责任的辩解。</w:t>
      </w:r>
    </w:p>
    <w:bookmarkEnd w:id="162"/>
    <w:p w14:paraId="210E70FE">
      <w:pPr>
        <w:snapToGrid w:val="0"/>
        <w:spacing w:before="120" w:beforeLines="50" w:line="360" w:lineRule="exact"/>
        <w:ind w:firstLine="420" w:firstLineChars="200"/>
        <w:rPr>
          <w:rFonts w:ascii="Arial" w:hAnsi="Arial" w:cs="Arial"/>
          <w:color w:val="000000" w:themeColor="text1"/>
          <w:szCs w:val="21"/>
          <w14:textFill>
            <w14:solidFill>
              <w14:schemeClr w14:val="tx1"/>
            </w14:solidFill>
          </w14:textFill>
        </w:rPr>
      </w:pPr>
    </w:p>
    <w:p w14:paraId="48F185F2">
      <w:pPr>
        <w:snapToGrid w:val="0"/>
        <w:spacing w:before="120" w:beforeLines="50" w:line="360" w:lineRule="exact"/>
        <w:ind w:firstLine="3509" w:firstLineChars="1671"/>
        <w:rPr>
          <w:rFonts w:ascii="Arial" w:hAnsi="Arial" w:cs="Arial"/>
          <w:color w:val="000000" w:themeColor="text1"/>
          <w:szCs w:val="21"/>
          <w:u w:val="single"/>
          <w14:textFill>
            <w14:solidFill>
              <w14:schemeClr w14:val="tx1"/>
            </w14:solidFill>
          </w14:textFill>
        </w:rPr>
      </w:pPr>
      <w:r>
        <w:rPr>
          <w:rFonts w:ascii="Arial" w:hAnsi="Arial" w:cs="Arial"/>
          <w:color w:val="000000" w:themeColor="text1"/>
          <w:szCs w:val="21"/>
          <w14:textFill>
            <w14:solidFill>
              <w14:schemeClr w14:val="tx1"/>
            </w14:solidFill>
          </w14:textFill>
        </w:rPr>
        <w:t>法定代表人签字或个人CA签章：</w:t>
      </w:r>
    </w:p>
    <w:p w14:paraId="758C4224">
      <w:pPr>
        <w:snapToGrid w:val="0"/>
        <w:spacing w:before="120" w:beforeLines="50" w:after="50" w:line="360" w:lineRule="exact"/>
        <w:ind w:firstLine="3570" w:firstLineChars="1700"/>
        <w:rPr>
          <w:rFonts w:ascii="Arial" w:hAnsi="Arial" w:cs="Arial"/>
          <w:color w:val="000000" w:themeColor="text1"/>
          <w:szCs w:val="21"/>
          <w:u w:val="single"/>
          <w14:textFill>
            <w14:solidFill>
              <w14:schemeClr w14:val="tx1"/>
            </w14:solidFill>
          </w14:textFill>
        </w:rPr>
      </w:pPr>
      <w:r>
        <w:rPr>
          <w:rFonts w:ascii="Arial" w:hAnsi="Arial" w:cs="Arial"/>
          <w:color w:val="000000" w:themeColor="text1"/>
          <w:szCs w:val="21"/>
          <w14:textFill>
            <w14:solidFill>
              <w14:schemeClr w14:val="tx1"/>
            </w14:solidFill>
          </w14:textFill>
        </w:rPr>
        <w:t>供应商公章（CA签章）：</w:t>
      </w:r>
      <w:r>
        <w:rPr>
          <w:rFonts w:ascii="Arial" w:hAnsi="Arial" w:cs="Arial"/>
          <w:color w:val="000000" w:themeColor="text1"/>
          <w:szCs w:val="21"/>
          <w:u w:val="single"/>
          <w14:textFill>
            <w14:solidFill>
              <w14:schemeClr w14:val="tx1"/>
            </w14:solidFill>
          </w14:textFill>
        </w:rPr>
        <w:t xml:space="preserve">       </w:t>
      </w:r>
    </w:p>
    <w:p w14:paraId="0BC788F2">
      <w:pPr>
        <w:snapToGrid w:val="0"/>
        <w:spacing w:before="120" w:beforeLines="50" w:after="50" w:line="360" w:lineRule="exact"/>
        <w:ind w:firstLine="3990" w:firstLineChars="19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  年月日</w:t>
      </w:r>
    </w:p>
    <w:p w14:paraId="77E02F37">
      <w:pPr>
        <w:snapToGrid w:val="0"/>
        <w:spacing w:before="120" w:beforeLines="50" w:after="50" w:line="288"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br w:type="page"/>
      </w:r>
      <w:r>
        <w:rPr>
          <w:rFonts w:ascii="Arial" w:hAnsi="Arial" w:cs="Arial"/>
          <w:color w:val="000000" w:themeColor="text1"/>
          <w:szCs w:val="21"/>
          <w14:textFill>
            <w14:solidFill>
              <w14:schemeClr w14:val="tx1"/>
            </w14:solidFill>
          </w14:textFill>
        </w:rPr>
        <w:t>2．供应商有效的“营业执照”或“事业单位法人证书”或“自然人的身份证明”副本复印件（加盖供应商CA签章）。供应商是企业则审查营业执照（副本）复印件；供应商是事业单位，则审查事业单位法人证书（副本）复印件；供应商是非企业专业服务机构的，则审查执业许可证等证明文件复印件；供应商是个体工商户，则审查个体工商户营业执照复印件；供应商是自然人，则审查自然人身份证明复印件；如供应商不是以上所列的法人、组织、自然人的，则提供国家规定的相关证明材料。</w:t>
      </w:r>
      <w:r>
        <w:rPr>
          <w:rFonts w:ascii="Arial" w:hAnsi="Arial" w:cs="Arial"/>
          <w:b/>
          <w:color w:val="000000" w:themeColor="text1"/>
          <w:szCs w:val="21"/>
          <w14:textFill>
            <w14:solidFill>
              <w14:schemeClr w14:val="tx1"/>
            </w14:solidFill>
          </w14:textFill>
        </w:rPr>
        <w:t>（必须提供）</w:t>
      </w:r>
    </w:p>
    <w:p w14:paraId="30DE7199">
      <w:pPr>
        <w:snapToGrid w:val="0"/>
        <w:spacing w:before="120" w:beforeLines="50" w:after="50" w:line="288" w:lineRule="auto"/>
        <w:rPr>
          <w:rFonts w:ascii="Arial" w:hAnsi="Arial" w:cs="Arial"/>
          <w:color w:val="000000" w:themeColor="text1"/>
          <w:sz w:val="18"/>
          <w:szCs w:val="18"/>
          <w14:textFill>
            <w14:solidFill>
              <w14:schemeClr w14:val="tx1"/>
            </w14:solidFill>
          </w14:textFill>
        </w:rPr>
      </w:pPr>
    </w:p>
    <w:p w14:paraId="40220B24">
      <w:pPr>
        <w:snapToGrid w:val="0"/>
        <w:spacing w:before="120" w:beforeLines="50" w:after="50" w:line="288" w:lineRule="auto"/>
        <w:rPr>
          <w:rFonts w:hint="default" w:ascii="Arial" w:hAnsi="Arial" w:cs="Arial"/>
          <w:color w:val="000000" w:themeColor="text1"/>
          <w:szCs w:val="21"/>
          <w:lang w:val="en-US" w:eastAsia="zh-CN"/>
          <w14:textFill>
            <w14:solidFill>
              <w14:schemeClr w14:val="tx1"/>
            </w14:solidFill>
          </w14:textFill>
        </w:rPr>
      </w:pPr>
      <w:r>
        <w:rPr>
          <w:rFonts w:hint="eastAsia" w:ascii="Arial" w:hAnsi="Arial" w:cs="Arial"/>
          <w:color w:val="000000" w:themeColor="text1"/>
          <w:szCs w:val="21"/>
          <w:lang w:val="en-US" w:eastAsia="zh-CN"/>
          <w14:textFill>
            <w14:solidFill>
              <w14:schemeClr w14:val="tx1"/>
            </w14:solidFill>
          </w14:textFill>
        </w:rPr>
        <w:t>3</w:t>
      </w:r>
      <w:r>
        <w:rPr>
          <w:rFonts w:ascii="Arial" w:hAnsi="Arial" w:cs="Arial"/>
          <w:color w:val="000000" w:themeColor="text1"/>
          <w:szCs w:val="21"/>
          <w14:textFill>
            <w14:solidFill>
              <w14:schemeClr w14:val="tx1"/>
            </w14:solidFill>
          </w14:textFill>
        </w:rPr>
        <w:t>．</w:t>
      </w:r>
      <w:r>
        <w:rPr>
          <w:rFonts w:hint="eastAsia" w:ascii="Arial" w:hAnsi="Arial" w:cs="Arial"/>
          <w:color w:val="000000" w:themeColor="text1"/>
          <w:szCs w:val="21"/>
          <w:lang w:val="en-US" w:eastAsia="zh-CN"/>
          <w14:textFill>
            <w14:solidFill>
              <w14:schemeClr w14:val="tx1"/>
            </w14:solidFill>
          </w14:textFill>
        </w:rPr>
        <w:t>供应商具有药品监督管理的部门颁发有效的医疗器械经营许可或者备案（按《医疗器械监督管理条例》免于经营备案和无需办理医疗器械经营许可或者备案的情形除外），提供证明材料复印件。</w:t>
      </w:r>
    </w:p>
    <w:p w14:paraId="6EC0E0B7">
      <w:pPr>
        <w:pStyle w:val="21"/>
        <w:rPr>
          <w:rFonts w:ascii="Arial" w:hAnsi="Arial" w:cs="Arial"/>
          <w:color w:val="000000" w:themeColor="text1"/>
          <w:sz w:val="18"/>
          <w:szCs w:val="18"/>
          <w14:textFill>
            <w14:solidFill>
              <w14:schemeClr w14:val="tx1"/>
            </w14:solidFill>
          </w14:textFill>
        </w:rPr>
      </w:pPr>
    </w:p>
    <w:p w14:paraId="5B04F492">
      <w:pPr>
        <w:snapToGrid w:val="0"/>
        <w:spacing w:before="120" w:beforeLines="50" w:after="50" w:line="288" w:lineRule="auto"/>
        <w:rPr>
          <w:rFonts w:ascii="Arial" w:hAnsi="Arial" w:cs="Arial"/>
          <w:b/>
          <w:color w:val="000000" w:themeColor="text1"/>
          <w:szCs w:val="21"/>
          <w14:textFill>
            <w14:solidFill>
              <w14:schemeClr w14:val="tx1"/>
            </w14:solidFill>
          </w14:textFill>
        </w:rPr>
      </w:pPr>
      <w:r>
        <w:rPr>
          <w:rFonts w:hint="eastAsia" w:ascii="Arial" w:hAnsi="Arial" w:cs="Arial"/>
          <w:color w:val="000000" w:themeColor="text1"/>
          <w:szCs w:val="21"/>
          <w:lang w:val="en-US" w:eastAsia="zh-CN"/>
          <w14:textFill>
            <w14:solidFill>
              <w14:schemeClr w14:val="tx1"/>
            </w14:solidFill>
          </w14:textFill>
        </w:rPr>
        <w:t>4</w:t>
      </w:r>
      <w:r>
        <w:rPr>
          <w:rFonts w:ascii="Arial" w:hAnsi="Arial" w:cs="Arial"/>
          <w:color w:val="000000" w:themeColor="text1"/>
          <w:szCs w:val="21"/>
          <w14:textFill>
            <w14:solidFill>
              <w14:schemeClr w14:val="tx1"/>
            </w14:solidFill>
          </w14:textFill>
        </w:rPr>
        <w:t>．财务状况报告（表）复印件或银行出具的资信证明复印件。</w:t>
      </w:r>
      <w:r>
        <w:rPr>
          <w:rFonts w:ascii="Arial" w:hAnsi="Arial" w:cs="Arial"/>
          <w:color w:val="000000" w:themeColor="text1"/>
          <w14:textFill>
            <w14:solidFill>
              <w14:schemeClr w14:val="tx1"/>
            </w14:solidFill>
          </w14:textFill>
        </w:rPr>
        <w:t>对于从取得营业执照时间起到截标时间为止不足1年的供应商，只需提交</w:t>
      </w:r>
      <w:r>
        <w:rPr>
          <w:rFonts w:ascii="Arial" w:hAnsi="Arial" w:cs="Arial"/>
          <w:color w:val="000000" w:themeColor="text1"/>
          <w:szCs w:val="21"/>
          <w14:textFill>
            <w14:solidFill>
              <w14:schemeClr w14:val="tx1"/>
            </w14:solidFill>
          </w14:textFill>
        </w:rPr>
        <w:t>截标时间前一个月的财务状况报告（表）复印件。（按“评标方法及评标标准” “资格审查表”规定提供）。（加盖供应商CA签章）。</w:t>
      </w:r>
      <w:r>
        <w:rPr>
          <w:rFonts w:ascii="Arial" w:hAnsi="Arial" w:cs="Arial"/>
          <w:b/>
          <w:color w:val="000000" w:themeColor="text1"/>
          <w:szCs w:val="21"/>
          <w14:textFill>
            <w14:solidFill>
              <w14:schemeClr w14:val="tx1"/>
            </w14:solidFill>
          </w14:textFill>
        </w:rPr>
        <w:t>（必须提供）</w:t>
      </w:r>
    </w:p>
    <w:p w14:paraId="6342F802">
      <w:pPr>
        <w:snapToGrid w:val="0"/>
        <w:spacing w:before="120" w:beforeLines="50" w:after="50" w:line="288" w:lineRule="auto"/>
        <w:rPr>
          <w:rFonts w:ascii="Arial" w:hAnsi="Arial" w:cs="Arial"/>
          <w:color w:val="000000" w:themeColor="text1"/>
          <w:szCs w:val="21"/>
          <w14:textFill>
            <w14:solidFill>
              <w14:schemeClr w14:val="tx1"/>
            </w14:solidFill>
          </w14:textFill>
        </w:rPr>
      </w:pPr>
    </w:p>
    <w:p w14:paraId="6955F870">
      <w:pPr>
        <w:snapToGrid w:val="0"/>
        <w:spacing w:before="120" w:beforeLines="50" w:after="50" w:line="288" w:lineRule="auto"/>
        <w:rPr>
          <w:rFonts w:ascii="Arial" w:hAnsi="Arial" w:cs="Arial"/>
          <w:color w:val="000000" w:themeColor="text1"/>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5</w:t>
      </w:r>
      <w:r>
        <w:rPr>
          <w:rFonts w:ascii="Arial" w:hAnsi="Arial" w:cs="Arial"/>
          <w:color w:val="000000" w:themeColor="text1"/>
          <w14:textFill>
            <w14:solidFill>
              <w14:schemeClr w14:val="tx1"/>
            </w14:solidFill>
          </w14:textFill>
        </w:rPr>
        <w:t>．依法缴纳税费证明和社会保险缴纳证明材料。供应商成立不足1个月的，无须提供缴纳税费证明及社保缴费证明。依法免税或不需要缴纳社会保障资金的供应商，须提供相应文件证明其依法免税或不需要缴纳社会保障资金。</w:t>
      </w:r>
      <w:r>
        <w:rPr>
          <w:rFonts w:ascii="Arial" w:hAnsi="Arial" w:cs="Arial"/>
          <w:color w:val="000000" w:themeColor="text1"/>
          <w:szCs w:val="21"/>
          <w14:textFill>
            <w14:solidFill>
              <w14:schemeClr w14:val="tx1"/>
            </w14:solidFill>
          </w14:textFill>
        </w:rPr>
        <w:t>（按“评标方法及评标标准” “资格审查表”规定提供）（加盖供应商CA签章）。</w:t>
      </w:r>
      <w:r>
        <w:rPr>
          <w:rFonts w:ascii="Arial" w:hAnsi="Arial" w:cs="Arial"/>
          <w:b/>
          <w:color w:val="000000" w:themeColor="text1"/>
          <w:szCs w:val="21"/>
          <w14:textFill>
            <w14:solidFill>
              <w14:schemeClr w14:val="tx1"/>
            </w14:solidFill>
          </w14:textFill>
        </w:rPr>
        <w:t>（必须提供）</w:t>
      </w:r>
    </w:p>
    <w:p w14:paraId="64E508B9">
      <w:pPr>
        <w:snapToGrid w:val="0"/>
        <w:spacing w:before="120" w:beforeLines="50" w:after="50" w:line="288" w:lineRule="auto"/>
        <w:rPr>
          <w:rFonts w:ascii="Arial" w:hAnsi="Arial" w:cs="Arial"/>
          <w:color w:val="000000" w:themeColor="text1"/>
          <w:szCs w:val="21"/>
          <w14:textFill>
            <w14:solidFill>
              <w14:schemeClr w14:val="tx1"/>
            </w14:solidFill>
          </w14:textFill>
        </w:rPr>
      </w:pPr>
    </w:p>
    <w:p w14:paraId="3506754A">
      <w:pPr>
        <w:snapToGrid w:val="0"/>
        <w:spacing w:before="50" w:after="120" w:afterLines="50" w:line="288" w:lineRule="auto"/>
        <w:jc w:val="left"/>
        <w:rPr>
          <w:rFonts w:ascii="Arial" w:hAnsi="Arial" w:cs="Arial"/>
          <w:b/>
          <w:color w:val="000000" w:themeColor="text1"/>
          <w:szCs w:val="21"/>
          <w14:textFill>
            <w14:solidFill>
              <w14:schemeClr w14:val="tx1"/>
            </w14:solidFill>
          </w14:textFill>
        </w:rPr>
      </w:pPr>
      <w:r>
        <w:rPr>
          <w:rFonts w:hint="eastAsia" w:ascii="Arial" w:hAnsi="Arial" w:cs="Arial"/>
          <w:color w:val="000000" w:themeColor="text1"/>
          <w:szCs w:val="21"/>
          <w:lang w:val="en-US" w:eastAsia="zh-CN"/>
          <w14:textFill>
            <w14:solidFill>
              <w14:schemeClr w14:val="tx1"/>
            </w14:solidFill>
          </w14:textFill>
        </w:rPr>
        <w:t>6</w:t>
      </w:r>
      <w:r>
        <w:rPr>
          <w:rFonts w:ascii="Arial" w:hAnsi="Arial" w:cs="Arial"/>
          <w:color w:val="000000" w:themeColor="text1"/>
          <w:szCs w:val="21"/>
          <w14:textFill>
            <w14:solidFill>
              <w14:schemeClr w14:val="tx1"/>
            </w14:solidFill>
          </w14:textFill>
        </w:rPr>
        <w:t>．具备法律、行政法规规定的其他要求的证明材料</w:t>
      </w:r>
      <w:r>
        <w:rPr>
          <w:rFonts w:ascii="Arial" w:hAnsi="Arial" w:cs="Arial"/>
          <w:color w:val="000000" w:themeColor="text1"/>
          <w14:textFill>
            <w14:solidFill>
              <w14:schemeClr w14:val="tx1"/>
            </w14:solidFill>
          </w14:textFill>
        </w:rPr>
        <w:t>（</w:t>
      </w:r>
      <w:r>
        <w:rPr>
          <w:rFonts w:ascii="Arial" w:hAnsi="Arial" w:cs="Arial"/>
          <w:color w:val="000000" w:themeColor="text1"/>
          <w:szCs w:val="21"/>
          <w14:textFill>
            <w14:solidFill>
              <w14:schemeClr w14:val="tx1"/>
            </w14:solidFill>
          </w14:textFill>
        </w:rPr>
        <w:t>按“评标方法及评标标准” “资格性检查表”规定提供</w:t>
      </w:r>
      <w:r>
        <w:rPr>
          <w:rFonts w:ascii="Arial" w:hAnsi="Arial" w:cs="Arial"/>
          <w:color w:val="000000" w:themeColor="text1"/>
          <w14:textFill>
            <w14:solidFill>
              <w14:schemeClr w14:val="tx1"/>
            </w14:solidFill>
          </w14:textFill>
        </w:rPr>
        <w:t>）。</w:t>
      </w:r>
      <w:r>
        <w:rPr>
          <w:rFonts w:ascii="Arial" w:hAnsi="Arial" w:cs="Arial"/>
          <w:b/>
          <w:color w:val="000000" w:themeColor="text1"/>
          <w:szCs w:val="21"/>
          <w14:textFill>
            <w14:solidFill>
              <w14:schemeClr w14:val="tx1"/>
            </w14:solidFill>
          </w14:textFill>
        </w:rPr>
        <w:t>（如招标文件有要求，则必须提供）</w:t>
      </w:r>
    </w:p>
    <w:p w14:paraId="17E34B00">
      <w:pPr>
        <w:snapToGrid w:val="0"/>
        <w:spacing w:before="50" w:after="120" w:afterLines="50" w:line="288" w:lineRule="auto"/>
        <w:jc w:val="left"/>
        <w:rPr>
          <w:rFonts w:ascii="Arial" w:hAnsi="Arial" w:cs="Arial"/>
          <w:color w:val="000000" w:themeColor="text1"/>
          <w14:textFill>
            <w14:solidFill>
              <w14:schemeClr w14:val="tx1"/>
            </w14:solidFill>
          </w14:textFill>
        </w:rPr>
      </w:pPr>
    </w:p>
    <w:p w14:paraId="34BAF7C9">
      <w:pPr>
        <w:snapToGrid w:val="0"/>
        <w:spacing w:before="50" w:after="120" w:afterLines="50" w:line="288" w:lineRule="auto"/>
        <w:jc w:val="left"/>
        <w:rPr>
          <w:rFonts w:ascii="Arial" w:hAnsi="Arial" w:cs="Arial"/>
          <w:color w:val="000000" w:themeColor="text1"/>
          <w:szCs w:val="21"/>
          <w14:textFill>
            <w14:solidFill>
              <w14:schemeClr w14:val="tx1"/>
            </w14:solidFill>
          </w14:textFill>
        </w:rPr>
      </w:pPr>
    </w:p>
    <w:p w14:paraId="74FF6A6F">
      <w:pPr>
        <w:snapToGrid w:val="0"/>
        <w:spacing w:before="50" w:after="120" w:afterLines="50" w:line="440" w:lineRule="exact"/>
        <w:jc w:val="left"/>
        <w:rPr>
          <w:rFonts w:ascii="Arial" w:hAnsi="Arial" w:cs="Arial"/>
          <w:b/>
          <w:bCs/>
          <w:color w:val="000000" w:themeColor="text1"/>
          <w:szCs w:val="21"/>
          <w14:textFill>
            <w14:solidFill>
              <w14:schemeClr w14:val="tx1"/>
            </w14:solidFill>
          </w14:textFill>
        </w:rPr>
      </w:pPr>
      <w:bookmarkStart w:id="163" w:name="_Hlk19115874"/>
      <w:bookmarkStart w:id="164" w:name="_Hlk132792497"/>
      <w:r>
        <w:rPr>
          <w:rFonts w:hint="eastAsia" w:ascii="Arial" w:hAnsi="Arial" w:cs="Arial"/>
          <w:color w:val="000000" w:themeColor="text1"/>
          <w:szCs w:val="21"/>
          <w:lang w:val="en-US" w:eastAsia="zh-CN"/>
          <w14:textFill>
            <w14:solidFill>
              <w14:schemeClr w14:val="tx1"/>
            </w14:solidFill>
          </w14:textFill>
        </w:rPr>
        <w:t>7</w:t>
      </w:r>
      <w:r>
        <w:rPr>
          <w:rFonts w:ascii="Arial" w:hAnsi="Arial" w:cs="Arial"/>
          <w:color w:val="000000" w:themeColor="text1"/>
          <w:szCs w:val="21"/>
          <w14:textFill>
            <w14:solidFill>
              <w14:schemeClr w14:val="tx1"/>
            </w14:solidFill>
          </w14:textFill>
        </w:rPr>
        <w:t>．满足供应商特定资格条件的其他证明材料加盖供应商CA签章（按“评标方法及评标标准” “资格性检查表”“ 供应商应符合的特定资格条件”规定提供）。</w:t>
      </w:r>
      <w:r>
        <w:rPr>
          <w:rFonts w:ascii="Arial" w:hAnsi="Arial" w:cs="Arial"/>
          <w:b/>
          <w:bCs/>
          <w:color w:val="000000" w:themeColor="text1"/>
          <w:szCs w:val="21"/>
          <w14:textFill>
            <w14:solidFill>
              <w14:schemeClr w14:val="tx1"/>
            </w14:solidFill>
          </w14:textFill>
        </w:rPr>
        <w:t>（如招标文件有要求，则必须提供）</w:t>
      </w:r>
    </w:p>
    <w:bookmarkEnd w:id="163"/>
    <w:bookmarkEnd w:id="164"/>
    <w:p w14:paraId="512662CD">
      <w:pPr>
        <w:snapToGrid w:val="0"/>
        <w:spacing w:before="50" w:after="120" w:afterLines="50" w:line="288" w:lineRule="auto"/>
        <w:jc w:val="left"/>
        <w:rPr>
          <w:rFonts w:ascii="Arial" w:hAnsi="Arial" w:cs="Arial"/>
          <w:b/>
          <w:bCs/>
          <w:color w:val="000000" w:themeColor="text1"/>
          <w:szCs w:val="21"/>
          <w14:textFill>
            <w14:solidFill>
              <w14:schemeClr w14:val="tx1"/>
            </w14:solidFill>
          </w14:textFill>
        </w:rPr>
      </w:pPr>
    </w:p>
    <w:p w14:paraId="1F233432">
      <w:pPr>
        <w:snapToGrid w:val="0"/>
        <w:spacing w:before="50" w:after="120" w:afterLines="50" w:line="288" w:lineRule="auto"/>
        <w:jc w:val="left"/>
        <w:rPr>
          <w:rFonts w:ascii="Arial" w:hAnsi="Arial" w:cs="Arial"/>
          <w:color w:val="000000" w:themeColor="text1"/>
          <w:szCs w:val="21"/>
          <w14:textFill>
            <w14:solidFill>
              <w14:schemeClr w14:val="tx1"/>
            </w14:solidFill>
          </w14:textFill>
        </w:rPr>
      </w:pPr>
    </w:p>
    <w:p w14:paraId="54B0B02D">
      <w:pPr>
        <w:snapToGrid w:val="0"/>
        <w:spacing w:before="50" w:after="120" w:afterLines="50" w:line="288" w:lineRule="auto"/>
        <w:jc w:val="left"/>
        <w:rPr>
          <w:rFonts w:ascii="Arial" w:hAnsi="Arial" w:cs="Arial"/>
          <w:color w:val="000000" w:themeColor="text1"/>
          <w:szCs w:val="21"/>
          <w14:textFill>
            <w14:solidFill>
              <w14:schemeClr w14:val="tx1"/>
            </w14:solidFill>
          </w14:textFill>
        </w:rPr>
      </w:pPr>
    </w:p>
    <w:p w14:paraId="0919FC47">
      <w:pPr>
        <w:snapToGrid w:val="0"/>
        <w:spacing w:before="50" w:after="120" w:afterLines="50" w:line="288" w:lineRule="auto"/>
        <w:jc w:val="left"/>
        <w:rPr>
          <w:rFonts w:ascii="Arial" w:hAnsi="Arial" w:cs="Arial"/>
          <w:b/>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br w:type="page"/>
      </w:r>
      <w:r>
        <w:rPr>
          <w:rFonts w:hint="eastAsia" w:ascii="Arial" w:hAnsi="Arial" w:cs="Arial"/>
          <w:color w:val="000000" w:themeColor="text1"/>
          <w:szCs w:val="21"/>
          <w:lang w:val="en-US" w:eastAsia="zh-CN"/>
          <w14:textFill>
            <w14:solidFill>
              <w14:schemeClr w14:val="tx1"/>
            </w14:solidFill>
          </w14:textFill>
        </w:rPr>
        <w:t>8</w:t>
      </w:r>
      <w:r>
        <w:rPr>
          <w:rFonts w:ascii="Arial" w:hAnsi="Arial" w:cs="Arial"/>
          <w:color w:val="000000" w:themeColor="text1"/>
          <w:szCs w:val="21"/>
          <w14:textFill>
            <w14:solidFill>
              <w14:schemeClr w14:val="tx1"/>
            </w14:solidFill>
          </w14:textFill>
        </w:rPr>
        <w:t>．</w:t>
      </w:r>
      <w:r>
        <w:rPr>
          <w:rFonts w:ascii="Arial" w:hAnsi="Arial" w:cs="Arial"/>
          <w:color w:val="000000" w:themeColor="text1"/>
          <w14:textFill>
            <w14:solidFill>
              <w14:schemeClr w14:val="tx1"/>
            </w14:solidFill>
          </w14:textFill>
        </w:rPr>
        <w:t>满足供应商特定资格条件的其他证明材料</w:t>
      </w:r>
      <w:r>
        <w:rPr>
          <w:rFonts w:ascii="Arial" w:hAnsi="Arial" w:cs="Arial"/>
          <w:color w:val="000000" w:themeColor="text1"/>
          <w:szCs w:val="21"/>
          <w14:textFill>
            <w14:solidFill>
              <w14:schemeClr w14:val="tx1"/>
            </w14:solidFill>
          </w14:textFill>
        </w:rPr>
        <w:t>加盖供应商CA签章</w:t>
      </w:r>
      <w:r>
        <w:rPr>
          <w:rFonts w:ascii="Arial" w:hAnsi="Arial" w:cs="Arial"/>
          <w:color w:val="000000" w:themeColor="text1"/>
          <w14:textFill>
            <w14:solidFill>
              <w14:schemeClr w14:val="tx1"/>
            </w14:solidFill>
          </w14:textFill>
        </w:rPr>
        <w:t>（</w:t>
      </w:r>
      <w:r>
        <w:rPr>
          <w:rFonts w:ascii="Arial" w:hAnsi="Arial" w:cs="Arial"/>
          <w:color w:val="000000" w:themeColor="text1"/>
          <w:szCs w:val="21"/>
          <w14:textFill>
            <w14:solidFill>
              <w14:schemeClr w14:val="tx1"/>
            </w14:solidFill>
          </w14:textFill>
        </w:rPr>
        <w:t>按“评标方法及评标标准” “资格性检查表”“</w:t>
      </w:r>
      <w:r>
        <w:rPr>
          <w:rFonts w:ascii="Arial" w:hAnsi="Arial" w:cs="Arial"/>
          <w:color w:val="000000" w:themeColor="text1"/>
          <w:szCs w:val="21"/>
          <w:lang w:val="zh-CN"/>
          <w14:textFill>
            <w14:solidFill>
              <w14:schemeClr w14:val="tx1"/>
            </w14:solidFill>
          </w14:textFill>
        </w:rPr>
        <w:t xml:space="preserve"> 供应商应符合的</w:t>
      </w:r>
      <w:r>
        <w:rPr>
          <w:rFonts w:ascii="Arial" w:hAnsi="Arial" w:cs="Arial"/>
          <w:color w:val="000000" w:themeColor="text1"/>
          <w:szCs w:val="21"/>
          <w14:textFill>
            <w14:solidFill>
              <w14:schemeClr w14:val="tx1"/>
            </w14:solidFill>
          </w14:textFill>
        </w:rPr>
        <w:t>特定资格条件”规定提供</w:t>
      </w:r>
      <w:r>
        <w:rPr>
          <w:rFonts w:ascii="Arial" w:hAnsi="Arial" w:cs="Arial"/>
          <w:color w:val="000000" w:themeColor="text1"/>
          <w14:textFill>
            <w14:solidFill>
              <w14:schemeClr w14:val="tx1"/>
            </w14:solidFill>
          </w14:textFill>
        </w:rPr>
        <w:t>）。</w:t>
      </w:r>
      <w:r>
        <w:rPr>
          <w:rFonts w:ascii="Arial" w:hAnsi="Arial" w:cs="Arial"/>
          <w:b/>
          <w:color w:val="000000" w:themeColor="text1"/>
          <w:szCs w:val="21"/>
          <w14:textFill>
            <w14:solidFill>
              <w14:schemeClr w14:val="tx1"/>
            </w14:solidFill>
          </w14:textFill>
        </w:rPr>
        <w:t>（如招标文件有要求，则必须提供）</w:t>
      </w:r>
    </w:p>
    <w:p w14:paraId="740FAEE5">
      <w:pPr>
        <w:snapToGrid w:val="0"/>
        <w:spacing w:before="50" w:after="120" w:afterLines="50" w:line="360" w:lineRule="auto"/>
        <w:jc w:val="left"/>
        <w:rPr>
          <w:rFonts w:ascii="Arial" w:hAnsi="Arial" w:cs="Arial"/>
          <w:color w:val="000000" w:themeColor="text1"/>
          <w:szCs w:val="21"/>
          <w14:textFill>
            <w14:solidFill>
              <w14:schemeClr w14:val="tx1"/>
            </w14:solidFill>
          </w14:textFill>
        </w:rPr>
      </w:pPr>
      <w:r>
        <w:rPr>
          <w:rFonts w:hint="eastAsia" w:ascii="Arial" w:hAnsi="Arial" w:cs="Arial"/>
          <w:color w:val="000000" w:themeColor="text1"/>
          <w:szCs w:val="21"/>
          <w:lang w:val="en-US" w:eastAsia="zh-CN"/>
          <w14:textFill>
            <w14:solidFill>
              <w14:schemeClr w14:val="tx1"/>
            </w14:solidFill>
          </w14:textFill>
        </w:rPr>
        <w:t>8</w:t>
      </w:r>
      <w:r>
        <w:rPr>
          <w:rFonts w:ascii="Arial" w:hAnsi="Arial" w:cs="Arial"/>
          <w:color w:val="000000" w:themeColor="text1"/>
          <w:szCs w:val="21"/>
          <w14:textFill>
            <w14:solidFill>
              <w14:schemeClr w14:val="tx1"/>
            </w14:solidFill>
          </w14:textFill>
        </w:rPr>
        <w:t>.1投标人直接控股股东信息表</w:t>
      </w:r>
    </w:p>
    <w:tbl>
      <w:tblPr>
        <w:tblStyle w:val="54"/>
        <w:tblW w:w="9476" w:type="dxa"/>
        <w:tblInd w:w="0" w:type="dxa"/>
        <w:tblLayout w:type="fixed"/>
        <w:tblCellMar>
          <w:top w:w="0" w:type="dxa"/>
          <w:left w:w="0" w:type="dxa"/>
          <w:bottom w:w="0" w:type="dxa"/>
          <w:right w:w="0" w:type="dxa"/>
        </w:tblCellMar>
      </w:tblPr>
      <w:tblGrid>
        <w:gridCol w:w="828"/>
        <w:gridCol w:w="2269"/>
        <w:gridCol w:w="1239"/>
        <w:gridCol w:w="3722"/>
        <w:gridCol w:w="1418"/>
      </w:tblGrid>
      <w:tr w14:paraId="24A6A520">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ECC7A0A">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序号</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44C1301">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直接控股股东名称</w:t>
            </w: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1DAFE86">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出资比例</w:t>
            </w: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1DA3112">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3C391C8">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备注</w:t>
            </w:r>
          </w:p>
        </w:tc>
      </w:tr>
      <w:tr w14:paraId="1F26205B">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A73C736">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9CCAB05">
            <w:pPr>
              <w:spacing w:line="360" w:lineRule="auto"/>
              <w:jc w:val="center"/>
              <w:rPr>
                <w:rFonts w:ascii="Arial" w:hAnsi="Arial" w:cs="Arial"/>
                <w:color w:val="000000" w:themeColor="text1"/>
                <w:szCs w:val="21"/>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325ACF3">
            <w:pPr>
              <w:spacing w:line="360" w:lineRule="auto"/>
              <w:jc w:val="center"/>
              <w:rPr>
                <w:rFonts w:ascii="Arial" w:hAnsi="Arial" w:cs="Arial"/>
                <w:color w:val="000000" w:themeColor="text1"/>
                <w:szCs w:val="21"/>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5ACE894">
            <w:pPr>
              <w:spacing w:line="360" w:lineRule="auto"/>
              <w:jc w:val="center"/>
              <w:rPr>
                <w:rFonts w:ascii="Arial" w:hAnsi="Arial" w:cs="Arial"/>
                <w:color w:val="000000" w:themeColor="text1"/>
                <w:szCs w:val="21"/>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6756C53">
            <w:pPr>
              <w:spacing w:line="360" w:lineRule="auto"/>
              <w:jc w:val="center"/>
              <w:rPr>
                <w:rFonts w:ascii="Arial" w:hAnsi="Arial" w:cs="Arial"/>
                <w:color w:val="000000" w:themeColor="text1"/>
                <w:szCs w:val="21"/>
                <w14:textFill>
                  <w14:solidFill>
                    <w14:schemeClr w14:val="tx1"/>
                  </w14:solidFill>
                </w14:textFill>
              </w:rPr>
            </w:pPr>
          </w:p>
        </w:tc>
      </w:tr>
      <w:tr w14:paraId="1C2202A5">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AE01BF3">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80DA3C5">
            <w:pPr>
              <w:spacing w:line="360" w:lineRule="auto"/>
              <w:jc w:val="center"/>
              <w:rPr>
                <w:rFonts w:ascii="Arial" w:hAnsi="Arial" w:cs="Arial"/>
                <w:color w:val="000000" w:themeColor="text1"/>
                <w:szCs w:val="21"/>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01405CF">
            <w:pPr>
              <w:spacing w:line="360" w:lineRule="auto"/>
              <w:jc w:val="center"/>
              <w:rPr>
                <w:rFonts w:ascii="Arial" w:hAnsi="Arial" w:cs="Arial"/>
                <w:color w:val="000000" w:themeColor="text1"/>
                <w:szCs w:val="21"/>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3D2687B">
            <w:pPr>
              <w:spacing w:line="360" w:lineRule="auto"/>
              <w:jc w:val="center"/>
              <w:rPr>
                <w:rFonts w:ascii="Arial" w:hAnsi="Arial" w:cs="Arial"/>
                <w:color w:val="000000" w:themeColor="text1"/>
                <w:szCs w:val="21"/>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FFF104B">
            <w:pPr>
              <w:spacing w:line="360" w:lineRule="auto"/>
              <w:jc w:val="center"/>
              <w:rPr>
                <w:rFonts w:ascii="Arial" w:hAnsi="Arial" w:cs="Arial"/>
                <w:color w:val="000000" w:themeColor="text1"/>
                <w:szCs w:val="21"/>
                <w14:textFill>
                  <w14:solidFill>
                    <w14:schemeClr w14:val="tx1"/>
                  </w14:solidFill>
                </w14:textFill>
              </w:rPr>
            </w:pPr>
          </w:p>
        </w:tc>
      </w:tr>
      <w:tr w14:paraId="1C8DCBD2">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282967D">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20A16DF">
            <w:pPr>
              <w:spacing w:line="360" w:lineRule="auto"/>
              <w:jc w:val="center"/>
              <w:rPr>
                <w:rFonts w:ascii="Arial" w:hAnsi="Arial" w:cs="Arial"/>
                <w:color w:val="000000" w:themeColor="text1"/>
                <w:szCs w:val="21"/>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D4F97FB">
            <w:pPr>
              <w:spacing w:line="360" w:lineRule="auto"/>
              <w:jc w:val="center"/>
              <w:rPr>
                <w:rFonts w:ascii="Arial" w:hAnsi="Arial" w:cs="Arial"/>
                <w:color w:val="000000" w:themeColor="text1"/>
                <w:szCs w:val="21"/>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499650D">
            <w:pPr>
              <w:spacing w:line="360" w:lineRule="auto"/>
              <w:jc w:val="center"/>
              <w:rPr>
                <w:rFonts w:ascii="Arial" w:hAnsi="Arial" w:cs="Arial"/>
                <w:color w:val="000000" w:themeColor="text1"/>
                <w:szCs w:val="21"/>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768637D">
            <w:pPr>
              <w:spacing w:line="360" w:lineRule="auto"/>
              <w:jc w:val="center"/>
              <w:rPr>
                <w:rFonts w:ascii="Arial" w:hAnsi="Arial" w:cs="Arial"/>
                <w:color w:val="000000" w:themeColor="text1"/>
                <w:szCs w:val="21"/>
                <w14:textFill>
                  <w14:solidFill>
                    <w14:schemeClr w14:val="tx1"/>
                  </w14:solidFill>
                </w14:textFill>
              </w:rPr>
            </w:pPr>
          </w:p>
        </w:tc>
      </w:tr>
      <w:tr w14:paraId="55CD5F27">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97E27DF">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DE15258">
            <w:pPr>
              <w:spacing w:line="360" w:lineRule="auto"/>
              <w:jc w:val="center"/>
              <w:rPr>
                <w:rFonts w:ascii="Arial" w:hAnsi="Arial" w:cs="Arial"/>
                <w:color w:val="000000" w:themeColor="text1"/>
                <w:szCs w:val="21"/>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5817770">
            <w:pPr>
              <w:spacing w:line="360" w:lineRule="auto"/>
              <w:jc w:val="center"/>
              <w:rPr>
                <w:rFonts w:ascii="Arial" w:hAnsi="Arial" w:cs="Arial"/>
                <w:color w:val="000000" w:themeColor="text1"/>
                <w:szCs w:val="21"/>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9AA81F4">
            <w:pPr>
              <w:spacing w:line="360" w:lineRule="auto"/>
              <w:jc w:val="center"/>
              <w:rPr>
                <w:rFonts w:ascii="Arial" w:hAnsi="Arial" w:cs="Arial"/>
                <w:color w:val="000000" w:themeColor="text1"/>
                <w:szCs w:val="21"/>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1F0AA3C">
            <w:pPr>
              <w:spacing w:line="360" w:lineRule="auto"/>
              <w:jc w:val="center"/>
              <w:rPr>
                <w:rFonts w:ascii="Arial" w:hAnsi="Arial" w:cs="Arial"/>
                <w:color w:val="000000" w:themeColor="text1"/>
                <w:szCs w:val="21"/>
                <w14:textFill>
                  <w14:solidFill>
                    <w14:schemeClr w14:val="tx1"/>
                  </w14:solidFill>
                </w14:textFill>
              </w:rPr>
            </w:pPr>
          </w:p>
        </w:tc>
      </w:tr>
    </w:tbl>
    <w:p w14:paraId="250D22FE">
      <w:pPr>
        <w:snapToGrid w:val="0"/>
        <w:spacing w:line="360" w:lineRule="auto"/>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注：</w:t>
      </w:r>
    </w:p>
    <w:p w14:paraId="1037D938">
      <w:pPr>
        <w:snapToGrid w:val="0"/>
        <w:spacing w:line="360" w:lineRule="auto"/>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5CC8BEA">
      <w:pPr>
        <w:snapToGrid w:val="0"/>
        <w:spacing w:line="360" w:lineRule="auto"/>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2.本表所指的控股关系仅限于直接控股关系，不包括间接的控股关系。公司实际控制人与公司之间的关系不属于本表所指的直接控股关系。</w:t>
      </w:r>
    </w:p>
    <w:p w14:paraId="32D0BEBA">
      <w:pPr>
        <w:snapToGrid w:val="0"/>
        <w:spacing w:line="360" w:lineRule="auto"/>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3.供应商不存在直接控股股东的，则填“无”。</w:t>
      </w:r>
    </w:p>
    <w:p w14:paraId="3AD9A0AA">
      <w:pPr>
        <w:snapToGrid w:val="0"/>
        <w:spacing w:line="360" w:lineRule="auto"/>
        <w:jc w:val="left"/>
        <w:rPr>
          <w:rFonts w:ascii="Arial" w:hAnsi="Arial" w:cs="Arial"/>
          <w:color w:val="000000" w:themeColor="text1"/>
          <w:szCs w:val="21"/>
          <w14:textFill>
            <w14:solidFill>
              <w14:schemeClr w14:val="tx1"/>
            </w14:solidFill>
          </w14:textFill>
        </w:rPr>
      </w:pPr>
    </w:p>
    <w:p w14:paraId="07BE7A1E">
      <w:pPr>
        <w:snapToGrid w:val="0"/>
        <w:spacing w:line="360" w:lineRule="auto"/>
        <w:jc w:val="left"/>
        <w:rPr>
          <w:rFonts w:ascii="Arial" w:hAnsi="Arial" w:cs="Arial"/>
          <w:color w:val="000000" w:themeColor="text1"/>
          <w:szCs w:val="21"/>
          <w14:textFill>
            <w14:solidFill>
              <w14:schemeClr w14:val="tx1"/>
            </w14:solidFill>
          </w14:textFill>
        </w:rPr>
      </w:pPr>
    </w:p>
    <w:p w14:paraId="19675CFE">
      <w:pPr>
        <w:snapToGrid w:val="0"/>
        <w:spacing w:line="360" w:lineRule="auto"/>
        <w:jc w:val="left"/>
        <w:rPr>
          <w:rFonts w:ascii="Arial" w:hAnsi="Arial" w:cs="Arial"/>
          <w:color w:val="000000" w:themeColor="text1"/>
          <w:szCs w:val="21"/>
          <w14:textFill>
            <w14:solidFill>
              <w14:schemeClr w14:val="tx1"/>
            </w14:solidFill>
          </w14:textFill>
        </w:rPr>
      </w:pPr>
    </w:p>
    <w:p w14:paraId="6E860B88">
      <w:pPr>
        <w:snapToGrid w:val="0"/>
        <w:spacing w:line="360" w:lineRule="auto"/>
        <w:jc w:val="left"/>
        <w:rPr>
          <w:rFonts w:ascii="Arial" w:hAnsi="Arial" w:cs="Arial"/>
          <w:color w:val="000000" w:themeColor="text1"/>
          <w:szCs w:val="21"/>
          <w14:textFill>
            <w14:solidFill>
              <w14:schemeClr w14:val="tx1"/>
            </w14:solidFill>
          </w14:textFill>
        </w:rPr>
      </w:pPr>
    </w:p>
    <w:p w14:paraId="2203DE2E">
      <w:pPr>
        <w:snapToGrid w:val="0"/>
        <w:spacing w:line="360" w:lineRule="auto"/>
        <w:jc w:val="left"/>
        <w:rPr>
          <w:rFonts w:ascii="Arial" w:hAnsi="Arial" w:cs="Arial"/>
          <w:color w:val="000000" w:themeColor="text1"/>
          <w:szCs w:val="21"/>
          <w14:textFill>
            <w14:solidFill>
              <w14:schemeClr w14:val="tx1"/>
            </w14:solidFill>
          </w14:textFill>
        </w:rPr>
      </w:pPr>
    </w:p>
    <w:p w14:paraId="097FA1B0">
      <w:pPr>
        <w:snapToGrid w:val="0"/>
        <w:spacing w:line="360" w:lineRule="auto"/>
        <w:ind w:firstLine="4410" w:firstLineChars="21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供应商名称(电子签章)：</w:t>
      </w:r>
    </w:p>
    <w:p w14:paraId="7C987D35">
      <w:pPr>
        <w:snapToGrid w:val="0"/>
        <w:spacing w:line="360" w:lineRule="auto"/>
        <w:ind w:firstLine="4515" w:firstLineChars="215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日期：  年  月   日</w:t>
      </w:r>
    </w:p>
    <w:p w14:paraId="1DE6DDF6">
      <w:pPr>
        <w:snapToGrid w:val="0"/>
        <w:jc w:val="center"/>
        <w:rPr>
          <w:rFonts w:ascii="Arial" w:hAnsi="Arial" w:cs="Arial"/>
          <w:b/>
          <w:color w:val="000000" w:themeColor="text1"/>
          <w:sz w:val="28"/>
          <w:szCs w:val="28"/>
          <w14:textFill>
            <w14:solidFill>
              <w14:schemeClr w14:val="tx1"/>
            </w14:solidFill>
          </w14:textFill>
        </w:rPr>
      </w:pPr>
      <w:r>
        <w:rPr>
          <w:rFonts w:ascii="Arial" w:hAnsi="Arial" w:cs="Arial"/>
          <w:b/>
          <w:color w:val="000000" w:themeColor="text1"/>
          <w:sz w:val="28"/>
          <w:szCs w:val="28"/>
          <w14:textFill>
            <w14:solidFill>
              <w14:schemeClr w14:val="tx1"/>
            </w14:solidFill>
          </w14:textFill>
        </w:rPr>
        <w:br w:type="page"/>
      </w:r>
    </w:p>
    <w:p w14:paraId="695CD711">
      <w:pPr>
        <w:snapToGrid w:val="0"/>
        <w:spacing w:line="360" w:lineRule="auto"/>
        <w:jc w:val="left"/>
        <w:rPr>
          <w:rFonts w:ascii="Arial" w:hAnsi="Arial" w:cs="Arial"/>
          <w:color w:val="000000" w:themeColor="text1"/>
          <w:szCs w:val="21"/>
          <w14:textFill>
            <w14:solidFill>
              <w14:schemeClr w14:val="tx1"/>
            </w14:solidFill>
          </w14:textFill>
        </w:rPr>
      </w:pPr>
      <w:r>
        <w:rPr>
          <w:rFonts w:hint="eastAsia" w:ascii="Arial" w:hAnsi="Arial" w:cs="Arial"/>
          <w:color w:val="000000" w:themeColor="text1"/>
          <w:szCs w:val="21"/>
          <w:lang w:val="en-US" w:eastAsia="zh-CN"/>
          <w14:textFill>
            <w14:solidFill>
              <w14:schemeClr w14:val="tx1"/>
            </w14:solidFill>
          </w14:textFill>
        </w:rPr>
        <w:t>8</w:t>
      </w:r>
      <w:r>
        <w:rPr>
          <w:rFonts w:ascii="Arial" w:hAnsi="Arial" w:cs="Arial"/>
          <w:color w:val="000000" w:themeColor="text1"/>
          <w:szCs w:val="21"/>
          <w14:textFill>
            <w14:solidFill>
              <w14:schemeClr w14:val="tx1"/>
            </w14:solidFill>
          </w14:textFill>
        </w:rPr>
        <w:t>.2投标人直接管理关系信息表</w:t>
      </w:r>
    </w:p>
    <w:tbl>
      <w:tblPr>
        <w:tblStyle w:val="54"/>
        <w:tblW w:w="9652" w:type="dxa"/>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533870B6">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6796586">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F118274">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4966C8D">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5458BAC">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备注</w:t>
            </w:r>
          </w:p>
        </w:tc>
      </w:tr>
      <w:tr w14:paraId="339AD454">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E5EE67">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0BFF3B9">
            <w:pPr>
              <w:spacing w:line="360" w:lineRule="auto"/>
              <w:jc w:val="center"/>
              <w:rPr>
                <w:rFonts w:ascii="Arial" w:hAnsi="Arial" w:cs="Arial"/>
                <w:color w:val="000000" w:themeColor="text1"/>
                <w:szCs w:val="21"/>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E803D97">
            <w:pPr>
              <w:spacing w:line="360" w:lineRule="auto"/>
              <w:jc w:val="center"/>
              <w:rPr>
                <w:rFonts w:ascii="Arial" w:hAnsi="Arial" w:cs="Arial"/>
                <w:color w:val="000000" w:themeColor="text1"/>
                <w:szCs w:val="21"/>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BE62F48">
            <w:pPr>
              <w:spacing w:line="360" w:lineRule="auto"/>
              <w:jc w:val="center"/>
              <w:rPr>
                <w:rFonts w:ascii="Arial" w:hAnsi="Arial" w:cs="Arial"/>
                <w:color w:val="000000" w:themeColor="text1"/>
                <w:szCs w:val="21"/>
                <w14:textFill>
                  <w14:solidFill>
                    <w14:schemeClr w14:val="tx1"/>
                  </w14:solidFill>
                </w14:textFill>
              </w:rPr>
            </w:pPr>
          </w:p>
        </w:tc>
      </w:tr>
      <w:tr w14:paraId="175CAC62">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3B2BE40">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131028">
            <w:pPr>
              <w:spacing w:line="360" w:lineRule="auto"/>
              <w:jc w:val="center"/>
              <w:rPr>
                <w:rFonts w:ascii="Arial" w:hAnsi="Arial" w:cs="Arial"/>
                <w:color w:val="000000" w:themeColor="text1"/>
                <w:szCs w:val="21"/>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0C07BE">
            <w:pPr>
              <w:spacing w:line="360" w:lineRule="auto"/>
              <w:jc w:val="center"/>
              <w:rPr>
                <w:rFonts w:ascii="Arial" w:hAnsi="Arial" w:cs="Arial"/>
                <w:color w:val="000000" w:themeColor="text1"/>
                <w:szCs w:val="21"/>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9101D9A">
            <w:pPr>
              <w:spacing w:line="360" w:lineRule="auto"/>
              <w:jc w:val="center"/>
              <w:rPr>
                <w:rFonts w:ascii="Arial" w:hAnsi="Arial" w:cs="Arial"/>
                <w:color w:val="000000" w:themeColor="text1"/>
                <w:szCs w:val="21"/>
                <w14:textFill>
                  <w14:solidFill>
                    <w14:schemeClr w14:val="tx1"/>
                  </w14:solidFill>
                </w14:textFill>
              </w:rPr>
            </w:pPr>
          </w:p>
        </w:tc>
      </w:tr>
      <w:tr w14:paraId="3D010166">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33DEC61">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DFE459F">
            <w:pPr>
              <w:spacing w:line="360" w:lineRule="auto"/>
              <w:jc w:val="center"/>
              <w:rPr>
                <w:rFonts w:ascii="Arial" w:hAnsi="Arial" w:cs="Arial"/>
                <w:color w:val="000000" w:themeColor="text1"/>
                <w:szCs w:val="21"/>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59455DF">
            <w:pPr>
              <w:spacing w:line="360" w:lineRule="auto"/>
              <w:jc w:val="center"/>
              <w:rPr>
                <w:rFonts w:ascii="Arial" w:hAnsi="Arial" w:cs="Arial"/>
                <w:color w:val="000000" w:themeColor="text1"/>
                <w:szCs w:val="21"/>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FB214E7">
            <w:pPr>
              <w:spacing w:line="360" w:lineRule="auto"/>
              <w:jc w:val="center"/>
              <w:rPr>
                <w:rFonts w:ascii="Arial" w:hAnsi="Arial" w:cs="Arial"/>
                <w:color w:val="000000" w:themeColor="text1"/>
                <w:szCs w:val="21"/>
                <w14:textFill>
                  <w14:solidFill>
                    <w14:schemeClr w14:val="tx1"/>
                  </w14:solidFill>
                </w14:textFill>
              </w:rPr>
            </w:pPr>
          </w:p>
        </w:tc>
      </w:tr>
      <w:tr w14:paraId="571F8D8F">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0172165">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23B030D">
            <w:pPr>
              <w:spacing w:line="360" w:lineRule="auto"/>
              <w:jc w:val="center"/>
              <w:rPr>
                <w:rFonts w:ascii="Arial" w:hAnsi="Arial" w:cs="Arial"/>
                <w:color w:val="000000" w:themeColor="text1"/>
                <w:szCs w:val="21"/>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DC727E">
            <w:pPr>
              <w:spacing w:line="360" w:lineRule="auto"/>
              <w:jc w:val="center"/>
              <w:rPr>
                <w:rFonts w:ascii="Arial" w:hAnsi="Arial" w:cs="Arial"/>
                <w:color w:val="000000" w:themeColor="text1"/>
                <w:szCs w:val="21"/>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C77EF0D">
            <w:pPr>
              <w:spacing w:line="360" w:lineRule="auto"/>
              <w:jc w:val="center"/>
              <w:rPr>
                <w:rFonts w:ascii="Arial" w:hAnsi="Arial" w:cs="Arial"/>
                <w:color w:val="000000" w:themeColor="text1"/>
                <w:szCs w:val="21"/>
                <w14:textFill>
                  <w14:solidFill>
                    <w14:schemeClr w14:val="tx1"/>
                  </w14:solidFill>
                </w14:textFill>
              </w:rPr>
            </w:pPr>
          </w:p>
        </w:tc>
      </w:tr>
    </w:tbl>
    <w:p w14:paraId="49CD495A">
      <w:pPr>
        <w:snapToGrid w:val="0"/>
        <w:spacing w:line="360" w:lineRule="auto"/>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注：</w:t>
      </w:r>
    </w:p>
    <w:p w14:paraId="426A259B">
      <w:pPr>
        <w:snapToGrid w:val="0"/>
        <w:spacing w:line="360"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1.管理关系：是指不具有出资持股关系的其他单位之间存在的管理与被管理关系，如一些上下级关系的事业单位和团体组织。</w:t>
      </w:r>
    </w:p>
    <w:p w14:paraId="5EE404FA">
      <w:pPr>
        <w:snapToGrid w:val="0"/>
        <w:spacing w:line="360"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2.本表所指的管理关系仅限于直接管理关系，不包括间接的管理关系。</w:t>
      </w:r>
    </w:p>
    <w:p w14:paraId="50F84785">
      <w:pPr>
        <w:snapToGrid w:val="0"/>
        <w:spacing w:line="360" w:lineRule="auto"/>
        <w:ind w:firstLine="420" w:firstLineChars="2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3.供应商不存在直接管理关系的，则填“无”。</w:t>
      </w:r>
    </w:p>
    <w:p w14:paraId="6F47CD70">
      <w:pPr>
        <w:snapToGrid w:val="0"/>
        <w:spacing w:line="360" w:lineRule="auto"/>
        <w:jc w:val="left"/>
        <w:rPr>
          <w:rFonts w:ascii="Arial" w:hAnsi="Arial" w:cs="Arial"/>
          <w:color w:val="000000" w:themeColor="text1"/>
          <w:szCs w:val="21"/>
          <w14:textFill>
            <w14:solidFill>
              <w14:schemeClr w14:val="tx1"/>
            </w14:solidFill>
          </w14:textFill>
        </w:rPr>
      </w:pPr>
    </w:p>
    <w:p w14:paraId="59D0D629">
      <w:pPr>
        <w:snapToGrid w:val="0"/>
        <w:spacing w:line="360" w:lineRule="auto"/>
        <w:jc w:val="left"/>
        <w:rPr>
          <w:rFonts w:ascii="Arial" w:hAnsi="Arial" w:cs="Arial"/>
          <w:color w:val="000000" w:themeColor="text1"/>
          <w:szCs w:val="21"/>
          <w14:textFill>
            <w14:solidFill>
              <w14:schemeClr w14:val="tx1"/>
            </w14:solidFill>
          </w14:textFill>
        </w:rPr>
      </w:pPr>
    </w:p>
    <w:p w14:paraId="6B308E6D">
      <w:pPr>
        <w:snapToGrid w:val="0"/>
        <w:spacing w:line="360" w:lineRule="auto"/>
        <w:ind w:firstLine="4410" w:firstLineChars="21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供应商名称(电子签章)：</w:t>
      </w:r>
    </w:p>
    <w:p w14:paraId="62CD6421">
      <w:pPr>
        <w:snapToGrid w:val="0"/>
        <w:spacing w:line="360" w:lineRule="auto"/>
        <w:ind w:firstLine="4515" w:firstLineChars="215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日期：  年  月   日</w:t>
      </w:r>
    </w:p>
    <w:p w14:paraId="1E866E6F">
      <w:pPr>
        <w:snapToGrid w:val="0"/>
        <w:spacing w:before="50" w:after="120" w:afterLines="50" w:line="440" w:lineRule="exact"/>
        <w:jc w:val="left"/>
        <w:rPr>
          <w:rFonts w:ascii="Arial" w:hAnsi="Arial" w:cs="Arial"/>
          <w:color w:val="000000" w:themeColor="text1"/>
          <w:szCs w:val="21"/>
          <w14:textFill>
            <w14:solidFill>
              <w14:schemeClr w14:val="tx1"/>
            </w14:solidFill>
          </w14:textFill>
        </w:rPr>
      </w:pPr>
    </w:p>
    <w:p w14:paraId="44F3D564">
      <w:pPr>
        <w:snapToGrid w:val="0"/>
        <w:spacing w:before="120" w:beforeLines="50" w:after="50" w:line="360" w:lineRule="exact"/>
        <w:rPr>
          <w:rFonts w:ascii="Arial" w:hAnsi="Arial" w:cs="Arial"/>
          <w:color w:val="000000" w:themeColor="text1"/>
          <w:szCs w:val="21"/>
          <w14:textFill>
            <w14:solidFill>
              <w14:schemeClr w14:val="tx1"/>
            </w14:solidFill>
          </w14:textFill>
        </w:rPr>
      </w:pPr>
    </w:p>
    <w:p w14:paraId="6E2613F9">
      <w:pPr>
        <w:snapToGrid w:val="0"/>
        <w:spacing w:before="50" w:after="120" w:afterLines="50"/>
        <w:jc w:val="left"/>
        <w:rPr>
          <w:rFonts w:ascii="Arial" w:hAnsi="Arial" w:cs="Arial"/>
          <w:color w:val="000000" w:themeColor="text1"/>
          <w:szCs w:val="21"/>
          <w14:textFill>
            <w14:solidFill>
              <w14:schemeClr w14:val="tx1"/>
            </w14:solidFill>
          </w14:textFill>
        </w:rPr>
      </w:pPr>
      <w:bookmarkStart w:id="165" w:name="_Hlk93048232"/>
      <w:r>
        <w:rPr>
          <w:rFonts w:hint="eastAsia" w:ascii="Arial" w:hAnsi="Arial" w:cs="Arial"/>
          <w:color w:val="000000" w:themeColor="text1"/>
          <w:szCs w:val="21"/>
          <w:lang w:val="en-US" w:eastAsia="zh-CN"/>
          <w14:textFill>
            <w14:solidFill>
              <w14:schemeClr w14:val="tx1"/>
            </w14:solidFill>
          </w14:textFill>
        </w:rPr>
        <w:t>9</w:t>
      </w:r>
      <w:r>
        <w:rPr>
          <w:rFonts w:ascii="Arial" w:hAnsi="Arial" w:cs="Arial"/>
          <w:color w:val="000000" w:themeColor="text1"/>
          <w:szCs w:val="21"/>
          <w14:textFill>
            <w14:solidFill>
              <w14:schemeClr w14:val="tx1"/>
            </w14:solidFill>
          </w14:textFill>
        </w:rPr>
        <w:t>．供应商认为应当要提交的其他资格证明材料。</w:t>
      </w:r>
      <w:r>
        <w:rPr>
          <w:rFonts w:ascii="Arial" w:hAnsi="Arial" w:cs="Arial"/>
          <w:bCs/>
          <w:color w:val="000000" w:themeColor="text1"/>
          <w:sz w:val="24"/>
          <w14:textFill>
            <w14:solidFill>
              <w14:schemeClr w14:val="tx1"/>
            </w14:solidFill>
          </w14:textFill>
        </w:rPr>
        <w:t xml:space="preserve"> </w:t>
      </w:r>
    </w:p>
    <w:p w14:paraId="06B48D8A">
      <w:pPr>
        <w:snapToGrid w:val="0"/>
        <w:spacing w:before="120" w:beforeLines="50" w:after="50" w:line="440" w:lineRule="exact"/>
        <w:jc w:val="left"/>
        <w:outlineLvl w:val="1"/>
        <w:rPr>
          <w:rFonts w:ascii="Arial" w:hAnsi="Arial" w:cs="Arial"/>
          <w:bCs/>
          <w:color w:val="000000" w:themeColor="text1"/>
          <w:sz w:val="24"/>
          <w14:textFill>
            <w14:solidFill>
              <w14:schemeClr w14:val="tx1"/>
            </w14:solidFill>
          </w14:textFill>
        </w:rPr>
      </w:pPr>
      <w:r>
        <w:rPr>
          <w:rFonts w:ascii="Arial" w:hAnsi="Arial" w:cs="Arial"/>
          <w:color w:val="000000" w:themeColor="text1"/>
          <w:szCs w:val="21"/>
          <w14:textFill>
            <w14:solidFill>
              <w14:schemeClr w14:val="tx1"/>
            </w14:solidFill>
          </w14:textFill>
        </w:rPr>
        <w:br w:type="page"/>
      </w:r>
      <w:bookmarkEnd w:id="165"/>
      <w:r>
        <w:rPr>
          <w:rFonts w:ascii="Arial" w:hAnsi="Arial" w:cs="Arial"/>
          <w:bCs/>
          <w:color w:val="000000" w:themeColor="text1"/>
          <w:sz w:val="24"/>
          <w14:textFill>
            <w14:solidFill>
              <w14:schemeClr w14:val="tx1"/>
            </w14:solidFill>
          </w14:textFill>
        </w:rPr>
        <w:t xml:space="preserve">2．投标文件第二册封面参考格式： </w:t>
      </w:r>
    </w:p>
    <w:p w14:paraId="2E20820B">
      <w:pPr>
        <w:snapToGrid w:val="0"/>
        <w:spacing w:before="50" w:after="120" w:afterLines="50" w:line="400" w:lineRule="exact"/>
        <w:jc w:val="left"/>
        <w:rPr>
          <w:rFonts w:ascii="Arial" w:hAnsi="Arial" w:cs="Arial"/>
          <w:bCs/>
          <w:color w:val="000000" w:themeColor="text1"/>
          <w:sz w:val="24"/>
          <w14:textFill>
            <w14:solidFill>
              <w14:schemeClr w14:val="tx1"/>
            </w14:solidFill>
          </w14:textFill>
        </w:rPr>
      </w:pPr>
    </w:p>
    <w:p w14:paraId="382C383E">
      <w:pPr>
        <w:snapToGrid w:val="0"/>
        <w:spacing w:before="120" w:beforeLines="50" w:after="50" w:line="360" w:lineRule="exact"/>
        <w:rPr>
          <w:rFonts w:ascii="Arial" w:hAnsi="Arial" w:cs="Arial"/>
          <w:color w:val="000000" w:themeColor="text1"/>
          <w:sz w:val="24"/>
          <w14:textFill>
            <w14:solidFill>
              <w14:schemeClr w14:val="tx1"/>
            </w14:solidFill>
          </w14:textFill>
        </w:rPr>
      </w:pPr>
    </w:p>
    <w:p w14:paraId="60D32043">
      <w:pPr>
        <w:snapToGrid w:val="0"/>
        <w:spacing w:before="120" w:beforeLines="50" w:after="50" w:line="360" w:lineRule="exact"/>
        <w:jc w:val="center"/>
        <w:rPr>
          <w:rFonts w:ascii="Arial" w:hAnsi="Arial" w:cs="Arial"/>
          <w:bCs/>
          <w:color w:val="000000" w:themeColor="text1"/>
          <w:sz w:val="24"/>
          <w14:textFill>
            <w14:solidFill>
              <w14:schemeClr w14:val="tx1"/>
            </w14:solidFill>
          </w14:textFill>
        </w:rPr>
      </w:pPr>
    </w:p>
    <w:p w14:paraId="66D69AB1">
      <w:pPr>
        <w:pStyle w:val="30"/>
        <w:rPr>
          <w:rFonts w:ascii="Arial" w:hAnsi="Arial" w:cs="Arial"/>
          <w:color w:val="000000" w:themeColor="text1"/>
          <w14:textFill>
            <w14:solidFill>
              <w14:schemeClr w14:val="tx1"/>
            </w14:solidFill>
          </w14:textFill>
        </w:rPr>
      </w:pPr>
    </w:p>
    <w:p w14:paraId="06D018C2">
      <w:pPr>
        <w:snapToGrid w:val="0"/>
        <w:spacing w:before="120" w:beforeLines="50" w:after="50" w:line="360" w:lineRule="exact"/>
        <w:jc w:val="center"/>
        <w:rPr>
          <w:rFonts w:ascii="Arial" w:hAnsi="Arial" w:cs="Arial"/>
          <w:b/>
          <w:bCs/>
          <w:color w:val="000000" w:themeColor="text1"/>
          <w:sz w:val="44"/>
          <w:szCs w:val="44"/>
          <w14:textFill>
            <w14:solidFill>
              <w14:schemeClr w14:val="tx1"/>
            </w14:solidFill>
          </w14:textFill>
        </w:rPr>
      </w:pPr>
      <w:r>
        <w:rPr>
          <w:rFonts w:ascii="Arial" w:hAnsi="Arial" w:cs="Arial"/>
          <w:b/>
          <w:bCs/>
          <w:color w:val="000000" w:themeColor="text1"/>
          <w:sz w:val="44"/>
          <w:szCs w:val="44"/>
          <w14:textFill>
            <w14:solidFill>
              <w14:schemeClr w14:val="tx1"/>
            </w14:solidFill>
          </w14:textFill>
        </w:rPr>
        <w:t>投标文件</w:t>
      </w:r>
    </w:p>
    <w:p w14:paraId="36E24BA8">
      <w:pPr>
        <w:snapToGrid w:val="0"/>
        <w:spacing w:before="120" w:beforeLines="50" w:after="50" w:line="360" w:lineRule="exact"/>
        <w:jc w:val="center"/>
        <w:rPr>
          <w:rFonts w:ascii="Arial" w:hAnsi="Arial" w:cs="Arial"/>
          <w:b/>
          <w:bCs/>
          <w:color w:val="000000" w:themeColor="text1"/>
          <w:sz w:val="44"/>
          <w:szCs w:val="44"/>
          <w14:textFill>
            <w14:solidFill>
              <w14:schemeClr w14:val="tx1"/>
            </w14:solidFill>
          </w14:textFill>
        </w:rPr>
      </w:pPr>
    </w:p>
    <w:p w14:paraId="284DC9C1">
      <w:pPr>
        <w:snapToGrid w:val="0"/>
        <w:spacing w:before="120" w:beforeLines="50" w:after="50" w:line="360" w:lineRule="exact"/>
        <w:jc w:val="center"/>
        <w:rPr>
          <w:rFonts w:ascii="Arial" w:hAnsi="Arial" w:cs="Arial"/>
          <w:b/>
          <w:bCs/>
          <w:color w:val="000000" w:themeColor="text1"/>
          <w:sz w:val="44"/>
          <w:szCs w:val="44"/>
          <w14:textFill>
            <w14:solidFill>
              <w14:schemeClr w14:val="tx1"/>
            </w14:solidFill>
          </w14:textFill>
        </w:rPr>
      </w:pPr>
    </w:p>
    <w:p w14:paraId="58E10909">
      <w:pPr>
        <w:snapToGrid w:val="0"/>
        <w:spacing w:before="120" w:beforeLines="50" w:after="50" w:line="360" w:lineRule="exact"/>
        <w:jc w:val="center"/>
        <w:rPr>
          <w:rFonts w:ascii="Arial" w:hAnsi="Arial" w:cs="Arial"/>
          <w:b/>
          <w:bCs/>
          <w:color w:val="000000" w:themeColor="text1"/>
          <w:sz w:val="44"/>
          <w:szCs w:val="44"/>
          <w14:textFill>
            <w14:solidFill>
              <w14:schemeClr w14:val="tx1"/>
            </w14:solidFill>
          </w14:textFill>
        </w:rPr>
      </w:pPr>
      <w:r>
        <w:rPr>
          <w:rFonts w:ascii="Arial" w:hAnsi="Arial" w:cs="Arial"/>
          <w:b/>
          <w:bCs/>
          <w:color w:val="000000" w:themeColor="text1"/>
          <w:sz w:val="44"/>
          <w:szCs w:val="44"/>
          <w14:textFill>
            <w14:solidFill>
              <w14:schemeClr w14:val="tx1"/>
            </w14:solidFill>
          </w14:textFill>
        </w:rPr>
        <w:t>第二册  商务技术报价文件</w:t>
      </w:r>
    </w:p>
    <w:p w14:paraId="75E391BA">
      <w:pPr>
        <w:snapToGrid w:val="0"/>
        <w:spacing w:before="120" w:beforeLines="50" w:after="50" w:line="360" w:lineRule="exact"/>
        <w:rPr>
          <w:rFonts w:ascii="Arial" w:hAnsi="Arial" w:cs="Arial"/>
          <w:bCs/>
          <w:color w:val="000000" w:themeColor="text1"/>
          <w:sz w:val="24"/>
          <w14:textFill>
            <w14:solidFill>
              <w14:schemeClr w14:val="tx1"/>
            </w14:solidFill>
          </w14:textFill>
        </w:rPr>
      </w:pPr>
    </w:p>
    <w:p w14:paraId="220DE722">
      <w:pPr>
        <w:snapToGrid w:val="0"/>
        <w:spacing w:before="120" w:beforeLines="50" w:after="50" w:line="360" w:lineRule="exact"/>
        <w:rPr>
          <w:rFonts w:ascii="Arial" w:hAnsi="Arial" w:cs="Arial"/>
          <w:bCs/>
          <w:color w:val="000000" w:themeColor="text1"/>
          <w:sz w:val="24"/>
          <w14:textFill>
            <w14:solidFill>
              <w14:schemeClr w14:val="tx1"/>
            </w14:solidFill>
          </w14:textFill>
        </w:rPr>
      </w:pPr>
    </w:p>
    <w:p w14:paraId="7F601238">
      <w:pPr>
        <w:snapToGrid w:val="0"/>
        <w:spacing w:before="120" w:beforeLines="50" w:after="50" w:line="360" w:lineRule="exact"/>
        <w:rPr>
          <w:rFonts w:ascii="Arial" w:hAnsi="Arial" w:cs="Arial"/>
          <w:bCs/>
          <w:color w:val="000000" w:themeColor="text1"/>
          <w:sz w:val="24"/>
          <w14:textFill>
            <w14:solidFill>
              <w14:schemeClr w14:val="tx1"/>
            </w14:solidFill>
          </w14:textFill>
        </w:rPr>
      </w:pPr>
    </w:p>
    <w:p w14:paraId="567A3620">
      <w:pPr>
        <w:snapToGrid w:val="0"/>
        <w:spacing w:before="120" w:beforeLines="50" w:after="50" w:line="360" w:lineRule="exact"/>
        <w:ind w:firstLine="720" w:firstLineChars="300"/>
        <w:rPr>
          <w:rFonts w:ascii="Arial" w:hAnsi="Arial" w:cs="Arial"/>
          <w:bCs/>
          <w:color w:val="000000" w:themeColor="text1"/>
          <w:sz w:val="24"/>
          <w14:textFill>
            <w14:solidFill>
              <w14:schemeClr w14:val="tx1"/>
            </w14:solidFill>
          </w14:textFill>
        </w:rPr>
      </w:pPr>
      <w:r>
        <w:rPr>
          <w:rFonts w:ascii="Arial" w:hAnsi="Arial" w:cs="Arial"/>
          <w:bCs/>
          <w:color w:val="000000" w:themeColor="text1"/>
          <w:sz w:val="24"/>
          <w14:textFill>
            <w14:solidFill>
              <w14:schemeClr w14:val="tx1"/>
            </w14:solidFill>
          </w14:textFill>
        </w:rPr>
        <w:t xml:space="preserve">项目名称： </w:t>
      </w:r>
    </w:p>
    <w:p w14:paraId="0761E2E6">
      <w:pPr>
        <w:snapToGrid w:val="0"/>
        <w:spacing w:before="120" w:beforeLines="50" w:after="50" w:line="360" w:lineRule="exact"/>
        <w:ind w:firstLine="720" w:firstLineChars="300"/>
        <w:rPr>
          <w:rFonts w:ascii="Arial" w:hAnsi="Arial" w:cs="Arial"/>
          <w:bCs/>
          <w:color w:val="000000" w:themeColor="text1"/>
          <w:sz w:val="24"/>
          <w14:textFill>
            <w14:solidFill>
              <w14:schemeClr w14:val="tx1"/>
            </w14:solidFill>
          </w14:textFill>
        </w:rPr>
      </w:pPr>
      <w:r>
        <w:rPr>
          <w:rFonts w:ascii="Arial" w:hAnsi="Arial" w:cs="Arial"/>
          <w:bCs/>
          <w:color w:val="000000" w:themeColor="text1"/>
          <w:sz w:val="24"/>
          <w14:textFill>
            <w14:solidFill>
              <w14:schemeClr w14:val="tx1"/>
            </w14:solidFill>
          </w14:textFill>
        </w:rPr>
        <w:t>项目编号：</w:t>
      </w:r>
    </w:p>
    <w:p w14:paraId="6DA1F388">
      <w:pPr>
        <w:snapToGrid w:val="0"/>
        <w:spacing w:before="120" w:beforeLines="50" w:after="50" w:line="360" w:lineRule="exact"/>
        <w:ind w:firstLine="720" w:firstLineChars="300"/>
        <w:rPr>
          <w:rFonts w:ascii="Arial" w:hAnsi="Arial" w:cs="Arial"/>
          <w:bCs/>
          <w:color w:val="000000" w:themeColor="text1"/>
          <w:sz w:val="24"/>
          <w14:textFill>
            <w14:solidFill>
              <w14:schemeClr w14:val="tx1"/>
            </w14:solidFill>
          </w14:textFill>
        </w:rPr>
      </w:pPr>
      <w:r>
        <w:rPr>
          <w:rFonts w:ascii="Arial" w:hAnsi="Arial" w:cs="Arial"/>
          <w:bCs/>
          <w:color w:val="000000" w:themeColor="text1"/>
          <w:sz w:val="24"/>
          <w14:textFill>
            <w14:solidFill>
              <w14:schemeClr w14:val="tx1"/>
            </w14:solidFill>
          </w14:textFill>
        </w:rPr>
        <w:t>分标号：（若无留空或写“/”）</w:t>
      </w:r>
    </w:p>
    <w:p w14:paraId="3A4FA698">
      <w:pPr>
        <w:pStyle w:val="23"/>
        <w:spacing w:line="360" w:lineRule="auto"/>
        <w:ind w:firstLine="480" w:firstLineChars="200"/>
        <w:rPr>
          <w:rFonts w:ascii="Arial" w:hAnsi="Arial" w:eastAsia="宋体" w:cs="Arial"/>
          <w:bCs/>
          <w:color w:val="000000" w:themeColor="text1"/>
          <w:sz w:val="24"/>
          <w:szCs w:val="24"/>
          <w14:textFill>
            <w14:solidFill>
              <w14:schemeClr w14:val="tx1"/>
            </w14:solidFill>
          </w14:textFill>
        </w:rPr>
      </w:pPr>
    </w:p>
    <w:p w14:paraId="0E2CBF62">
      <w:pPr>
        <w:pStyle w:val="23"/>
        <w:spacing w:line="360" w:lineRule="auto"/>
        <w:ind w:firstLine="480" w:firstLineChars="200"/>
        <w:rPr>
          <w:rFonts w:ascii="Arial" w:hAnsi="Arial" w:eastAsia="宋体" w:cs="Arial"/>
          <w:bCs/>
          <w:color w:val="000000" w:themeColor="text1"/>
          <w:sz w:val="28"/>
          <w:szCs w:val="28"/>
          <w14:textFill>
            <w14:solidFill>
              <w14:schemeClr w14:val="tx1"/>
            </w14:solidFill>
          </w14:textFill>
        </w:rPr>
      </w:pPr>
      <w:r>
        <w:rPr>
          <w:rFonts w:ascii="Arial" w:hAnsi="Arial" w:eastAsia="宋体" w:cs="Arial"/>
          <w:bCs/>
          <w:color w:val="000000" w:themeColor="text1"/>
          <w:sz w:val="24"/>
          <w:szCs w:val="24"/>
          <w14:textFill>
            <w14:solidFill>
              <w14:schemeClr w14:val="tx1"/>
            </w14:solidFill>
          </w14:textFill>
        </w:rPr>
        <w:t>供应商[公章(CA签章)]</w:t>
      </w:r>
      <w:r>
        <w:rPr>
          <w:rFonts w:ascii="Arial" w:hAnsi="Arial" w:eastAsia="宋体" w:cs="Arial"/>
          <w:bCs/>
          <w:color w:val="000000" w:themeColor="text1"/>
          <w:sz w:val="28"/>
          <w:szCs w:val="28"/>
          <w14:textFill>
            <w14:solidFill>
              <w14:schemeClr w14:val="tx1"/>
            </w14:solidFill>
          </w14:textFill>
        </w:rPr>
        <w:t>：</w:t>
      </w:r>
      <w:r>
        <w:rPr>
          <w:rFonts w:ascii="Arial" w:hAnsi="Arial" w:eastAsia="宋体" w:cs="Arial"/>
          <w:bCs/>
          <w:color w:val="000000" w:themeColor="text1"/>
          <w:sz w:val="28"/>
          <w:szCs w:val="28"/>
          <w:u w:val="single"/>
          <w14:textFill>
            <w14:solidFill>
              <w14:schemeClr w14:val="tx1"/>
            </w14:solidFill>
          </w14:textFill>
        </w:rPr>
        <w:t xml:space="preserve">                              </w:t>
      </w:r>
    </w:p>
    <w:p w14:paraId="42EEBE5A">
      <w:pPr>
        <w:pStyle w:val="23"/>
        <w:spacing w:line="360" w:lineRule="auto"/>
        <w:ind w:left="519" w:leftChars="247" w:firstLine="0" w:firstLineChars="0"/>
        <w:rPr>
          <w:rFonts w:ascii="Arial" w:hAnsi="Arial" w:eastAsia="宋体" w:cs="Arial"/>
          <w:color w:val="000000" w:themeColor="text1"/>
          <w:sz w:val="28"/>
          <w:szCs w:val="28"/>
          <w:u w:val="single"/>
          <w14:textFill>
            <w14:solidFill>
              <w14:schemeClr w14:val="tx1"/>
            </w14:solidFill>
          </w14:textFill>
        </w:rPr>
      </w:pPr>
      <w:r>
        <w:rPr>
          <w:rFonts w:ascii="Arial" w:hAnsi="Arial" w:eastAsia="宋体" w:cs="Arial"/>
          <w:bCs/>
          <w:color w:val="000000" w:themeColor="text1"/>
          <w:sz w:val="24"/>
          <w:szCs w:val="24"/>
          <w14:textFill>
            <w14:solidFill>
              <w14:schemeClr w14:val="tx1"/>
            </w14:solidFill>
          </w14:textFill>
        </w:rPr>
        <w:t>法定代表人或相应的委托代理人签字[或盖章(CA签章)]</w:t>
      </w:r>
      <w:r>
        <w:rPr>
          <w:rFonts w:ascii="Arial" w:hAnsi="Arial" w:eastAsia="宋体" w:cs="Arial"/>
          <w:color w:val="000000" w:themeColor="text1"/>
          <w:sz w:val="28"/>
          <w:szCs w:val="28"/>
          <w14:textFill>
            <w14:solidFill>
              <w14:schemeClr w14:val="tx1"/>
            </w14:solidFill>
          </w14:textFill>
        </w:rPr>
        <w:t>：</w:t>
      </w:r>
      <w:r>
        <w:rPr>
          <w:rFonts w:ascii="Arial" w:hAnsi="Arial" w:eastAsia="宋体" w:cs="Arial"/>
          <w:color w:val="000000" w:themeColor="text1"/>
          <w:sz w:val="28"/>
          <w:szCs w:val="28"/>
          <w:u w:val="single"/>
          <w14:textFill>
            <w14:solidFill>
              <w14:schemeClr w14:val="tx1"/>
            </w14:solidFill>
          </w14:textFill>
        </w:rPr>
        <w:t xml:space="preserve">              </w:t>
      </w:r>
    </w:p>
    <w:p w14:paraId="72F0C060">
      <w:pPr>
        <w:pStyle w:val="23"/>
        <w:spacing w:line="360" w:lineRule="auto"/>
        <w:ind w:left="479" w:leftChars="228" w:firstLine="0" w:firstLineChars="0"/>
        <w:rPr>
          <w:rFonts w:ascii="Arial" w:hAnsi="Arial" w:eastAsia="宋体" w:cs="Arial"/>
          <w:bCs/>
          <w:color w:val="000000" w:themeColor="text1"/>
          <w:sz w:val="28"/>
          <w:szCs w:val="28"/>
          <w:u w:val="single"/>
          <w14:textFill>
            <w14:solidFill>
              <w14:schemeClr w14:val="tx1"/>
            </w14:solidFill>
          </w14:textFill>
        </w:rPr>
      </w:pPr>
      <w:r>
        <w:rPr>
          <w:rFonts w:ascii="Arial" w:hAnsi="Arial" w:eastAsia="宋体" w:cs="Arial"/>
          <w:bCs/>
          <w:color w:val="000000" w:themeColor="text1"/>
          <w:sz w:val="24"/>
          <w:szCs w:val="24"/>
          <w14:textFill>
            <w14:solidFill>
              <w14:schemeClr w14:val="tx1"/>
            </w14:solidFill>
          </w14:textFill>
        </w:rPr>
        <w:t>联系电话</w:t>
      </w:r>
      <w:r>
        <w:rPr>
          <w:rFonts w:ascii="Arial" w:hAnsi="Arial" w:eastAsia="宋体" w:cs="Arial"/>
          <w:bCs/>
          <w:color w:val="000000" w:themeColor="text1"/>
          <w:sz w:val="28"/>
          <w:szCs w:val="28"/>
          <w14:textFill>
            <w14:solidFill>
              <w14:schemeClr w14:val="tx1"/>
            </w14:solidFill>
          </w14:textFill>
        </w:rPr>
        <w:t>：</w:t>
      </w:r>
      <w:r>
        <w:rPr>
          <w:rFonts w:ascii="Arial" w:hAnsi="Arial" w:eastAsia="宋体" w:cs="Arial"/>
          <w:bCs/>
          <w:color w:val="000000" w:themeColor="text1"/>
          <w:sz w:val="28"/>
          <w:szCs w:val="28"/>
          <w:u w:val="single"/>
          <w14:textFill>
            <w14:solidFill>
              <w14:schemeClr w14:val="tx1"/>
            </w14:solidFill>
          </w14:textFill>
        </w:rPr>
        <w:t xml:space="preserve">                                                </w:t>
      </w:r>
    </w:p>
    <w:p w14:paraId="4B1725AB">
      <w:pPr>
        <w:snapToGrid w:val="0"/>
        <w:spacing w:before="120" w:beforeLines="50" w:after="50" w:line="360" w:lineRule="exact"/>
        <w:ind w:firstLine="720" w:firstLineChars="300"/>
        <w:rPr>
          <w:rFonts w:ascii="Arial" w:hAnsi="Arial" w:cs="Arial"/>
          <w:bCs/>
          <w:color w:val="000000" w:themeColor="text1"/>
          <w:sz w:val="24"/>
          <w14:textFill>
            <w14:solidFill>
              <w14:schemeClr w14:val="tx1"/>
            </w14:solidFill>
          </w14:textFill>
        </w:rPr>
      </w:pPr>
      <w:r>
        <w:rPr>
          <w:rFonts w:ascii="Arial" w:hAnsi="Arial" w:cs="Arial"/>
          <w:bCs/>
          <w:color w:val="000000" w:themeColor="text1"/>
          <w:sz w:val="24"/>
          <w14:textFill>
            <w14:solidFill>
              <w14:schemeClr w14:val="tx1"/>
            </w14:solidFill>
          </w14:textFill>
        </w:rPr>
        <w:t>日期：</w:t>
      </w:r>
      <w:r>
        <w:rPr>
          <w:rFonts w:ascii="Arial" w:hAnsi="Arial" w:cs="Arial"/>
          <w:bCs/>
          <w:color w:val="000000" w:themeColor="text1"/>
          <w:sz w:val="28"/>
          <w:szCs w:val="28"/>
          <w:u w:val="single"/>
          <w14:textFill>
            <w14:solidFill>
              <w14:schemeClr w14:val="tx1"/>
            </w14:solidFill>
          </w14:textFill>
        </w:rPr>
        <w:t xml:space="preserve">      </w:t>
      </w:r>
      <w:r>
        <w:rPr>
          <w:rFonts w:ascii="Arial" w:hAnsi="Arial" w:cs="Arial"/>
          <w:bCs/>
          <w:color w:val="000000" w:themeColor="text1"/>
          <w:sz w:val="24"/>
          <w14:textFill>
            <w14:solidFill>
              <w14:schemeClr w14:val="tx1"/>
            </w14:solidFill>
          </w14:textFill>
        </w:rPr>
        <w:t>年</w:t>
      </w:r>
      <w:r>
        <w:rPr>
          <w:rFonts w:ascii="Arial" w:hAnsi="Arial" w:cs="Arial"/>
          <w:bCs/>
          <w:color w:val="000000" w:themeColor="text1"/>
          <w:sz w:val="28"/>
          <w:szCs w:val="28"/>
          <w:u w:val="single"/>
          <w14:textFill>
            <w14:solidFill>
              <w14:schemeClr w14:val="tx1"/>
            </w14:solidFill>
          </w14:textFill>
        </w:rPr>
        <w:t xml:space="preserve">      </w:t>
      </w:r>
      <w:r>
        <w:rPr>
          <w:rFonts w:ascii="Arial" w:hAnsi="Arial" w:cs="Arial"/>
          <w:bCs/>
          <w:color w:val="000000" w:themeColor="text1"/>
          <w:sz w:val="24"/>
          <w14:textFill>
            <w14:solidFill>
              <w14:schemeClr w14:val="tx1"/>
            </w14:solidFill>
          </w14:textFill>
        </w:rPr>
        <w:t>月</w:t>
      </w:r>
      <w:r>
        <w:rPr>
          <w:rFonts w:ascii="Arial" w:hAnsi="Arial" w:cs="Arial"/>
          <w:bCs/>
          <w:color w:val="000000" w:themeColor="text1"/>
          <w:sz w:val="28"/>
          <w:szCs w:val="28"/>
          <w:u w:val="single"/>
          <w14:textFill>
            <w14:solidFill>
              <w14:schemeClr w14:val="tx1"/>
            </w14:solidFill>
          </w14:textFill>
        </w:rPr>
        <w:t xml:space="preserve">      </w:t>
      </w:r>
      <w:r>
        <w:rPr>
          <w:rFonts w:ascii="Arial" w:hAnsi="Arial" w:cs="Arial"/>
          <w:bCs/>
          <w:color w:val="000000" w:themeColor="text1"/>
          <w:sz w:val="24"/>
          <w14:textFill>
            <w14:solidFill>
              <w14:schemeClr w14:val="tx1"/>
            </w14:solidFill>
          </w14:textFill>
        </w:rPr>
        <w:t>日</w:t>
      </w:r>
    </w:p>
    <w:p w14:paraId="7BCF7938">
      <w:pPr>
        <w:pStyle w:val="7"/>
        <w:snapToGrid w:val="0"/>
        <w:spacing w:before="50" w:after="50" w:line="360" w:lineRule="exact"/>
        <w:ind w:firstLine="960" w:firstLineChars="400"/>
        <w:rPr>
          <w:rFonts w:ascii="Arial" w:hAnsi="Arial" w:cs="Arial"/>
          <w:bCs/>
          <w:color w:val="000000" w:themeColor="text1"/>
          <w:sz w:val="24"/>
          <w:szCs w:val="24"/>
          <w14:textFill>
            <w14:solidFill>
              <w14:schemeClr w14:val="tx1"/>
            </w14:solidFill>
          </w14:textFill>
        </w:rPr>
      </w:pPr>
    </w:p>
    <w:p w14:paraId="41A138B8">
      <w:pPr>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br w:type="page"/>
      </w:r>
    </w:p>
    <w:p w14:paraId="38992880">
      <w:pPr>
        <w:snapToGrid w:val="0"/>
        <w:spacing w:before="50" w:after="50" w:line="440" w:lineRule="exact"/>
        <w:ind w:firstLine="138" w:firstLineChars="49"/>
        <w:jc w:val="center"/>
        <w:rPr>
          <w:rFonts w:ascii="Arial" w:hAnsi="Arial" w:cs="Arial"/>
          <w:b/>
          <w:color w:val="000000" w:themeColor="text1"/>
          <w:sz w:val="28"/>
          <w:szCs w:val="28"/>
          <w14:textFill>
            <w14:solidFill>
              <w14:schemeClr w14:val="tx1"/>
            </w14:solidFill>
          </w14:textFill>
        </w:rPr>
      </w:pPr>
      <w:r>
        <w:rPr>
          <w:rFonts w:ascii="Arial" w:hAnsi="Arial" w:cs="Arial"/>
          <w:b/>
          <w:color w:val="000000" w:themeColor="text1"/>
          <w:sz w:val="28"/>
          <w:szCs w:val="28"/>
          <w14:textFill>
            <w14:solidFill>
              <w14:schemeClr w14:val="tx1"/>
            </w14:solidFill>
          </w14:textFill>
        </w:rPr>
        <w:t>目录</w:t>
      </w:r>
    </w:p>
    <w:p w14:paraId="3B3F237D">
      <w:pPr>
        <w:snapToGrid w:val="0"/>
        <w:spacing w:before="50" w:after="50" w:line="440" w:lineRule="exact"/>
        <w:ind w:firstLine="118" w:firstLineChars="49"/>
        <w:jc w:val="center"/>
        <w:rPr>
          <w:rFonts w:ascii="Arial" w:hAnsi="Arial" w:cs="Arial"/>
          <w:b/>
          <w:color w:val="000000" w:themeColor="text1"/>
          <w:sz w:val="24"/>
          <w14:textFill>
            <w14:solidFill>
              <w14:schemeClr w14:val="tx1"/>
            </w14:solidFill>
          </w14:textFill>
        </w:rPr>
      </w:pPr>
      <w:r>
        <w:rPr>
          <w:rFonts w:ascii="Arial" w:hAnsi="Arial" w:cs="Arial"/>
          <w:b/>
          <w:color w:val="000000" w:themeColor="text1"/>
          <w:sz w:val="24"/>
          <w14:textFill>
            <w14:solidFill>
              <w14:schemeClr w14:val="tx1"/>
            </w14:solidFill>
          </w14:textFill>
        </w:rPr>
        <w:t>（应有页码）</w:t>
      </w:r>
    </w:p>
    <w:p w14:paraId="48E2D8FC">
      <w:pPr>
        <w:rPr>
          <w:rFonts w:ascii="Arial" w:hAnsi="Arial" w:cs="Arial"/>
          <w:b/>
          <w:color w:val="000000" w:themeColor="text1"/>
          <w:szCs w:val="21"/>
          <w14:textFill>
            <w14:solidFill>
              <w14:schemeClr w14:val="tx1"/>
            </w14:solidFill>
          </w14:textFill>
        </w:rPr>
      </w:pPr>
      <w:r>
        <w:rPr>
          <w:rFonts w:ascii="Arial" w:hAnsi="Arial" w:cs="Arial"/>
          <w:color w:val="000000" w:themeColor="text1"/>
          <w14:textFill>
            <w14:solidFill>
              <w14:schemeClr w14:val="tx1"/>
            </w14:solidFill>
          </w14:textFill>
        </w:rPr>
        <w:br w:type="page"/>
      </w:r>
      <w:bookmarkStart w:id="166" w:name="_Toc455309222"/>
      <w:bookmarkStart w:id="167" w:name="_Toc462320613"/>
      <w:bookmarkStart w:id="168" w:name="_Toc462223472"/>
      <w:bookmarkStart w:id="169" w:name="_Hlk19114325"/>
      <w:r>
        <w:rPr>
          <w:rFonts w:ascii="Arial" w:hAnsi="Arial" w:cs="Arial"/>
          <w:color w:val="000000" w:themeColor="text1"/>
          <w:szCs w:val="21"/>
          <w14:textFill>
            <w14:solidFill>
              <w14:schemeClr w14:val="tx1"/>
            </w14:solidFill>
          </w14:textFill>
        </w:rPr>
        <w:t>1．法定代表人身份证明</w:t>
      </w:r>
      <w:r>
        <w:rPr>
          <w:rFonts w:ascii="Arial" w:hAnsi="Arial" w:cs="Arial"/>
          <w:b/>
          <w:color w:val="000000" w:themeColor="text1"/>
          <w:szCs w:val="21"/>
          <w14:textFill>
            <w14:solidFill>
              <w14:schemeClr w14:val="tx1"/>
            </w14:solidFill>
          </w14:textFill>
        </w:rPr>
        <w:t>（无授权代表时必须提供）：</w:t>
      </w:r>
    </w:p>
    <w:p w14:paraId="3CA663D5">
      <w:pPr>
        <w:snapToGrid w:val="0"/>
        <w:spacing w:before="120" w:beforeLines="50" w:after="50" w:line="440" w:lineRule="exact"/>
        <w:jc w:val="center"/>
        <w:rPr>
          <w:rFonts w:ascii="Arial" w:hAnsi="Arial" w:cs="Arial"/>
          <w:color w:val="000000" w:themeColor="text1"/>
          <w:szCs w:val="21"/>
          <w14:textFill>
            <w14:solidFill>
              <w14:schemeClr w14:val="tx1"/>
            </w14:solidFill>
          </w14:textFill>
        </w:rPr>
      </w:pPr>
    </w:p>
    <w:p w14:paraId="0E2716DD">
      <w:pPr>
        <w:snapToGrid w:val="0"/>
        <w:spacing w:before="120" w:beforeLines="50" w:after="50" w:line="44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法定代表人身份证明</w:t>
      </w:r>
      <w:bookmarkEnd w:id="166"/>
      <w:bookmarkEnd w:id="167"/>
      <w:bookmarkEnd w:id="168"/>
    </w:p>
    <w:p w14:paraId="48853AAA">
      <w:pPr>
        <w:spacing w:line="360" w:lineRule="auto"/>
        <w:rPr>
          <w:rFonts w:ascii="Arial" w:hAnsi="Arial" w:cs="Arial"/>
          <w:color w:val="000000" w:themeColor="text1"/>
          <w14:textFill>
            <w14:solidFill>
              <w14:schemeClr w14:val="tx1"/>
            </w14:solidFill>
          </w14:textFill>
        </w:rPr>
      </w:pPr>
    </w:p>
    <w:p w14:paraId="711F34E4">
      <w:pPr>
        <w:spacing w:line="540" w:lineRule="exac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供应商名称： </w:t>
      </w:r>
      <w:r>
        <w:rPr>
          <w:rFonts w:ascii="Arial" w:hAnsi="Arial" w:cs="Arial"/>
          <w:color w:val="000000" w:themeColor="text1"/>
          <w:szCs w:val="21"/>
          <w:u w:val="single"/>
          <w14:textFill>
            <w14:solidFill>
              <w14:schemeClr w14:val="tx1"/>
            </w14:solidFill>
          </w14:textFill>
        </w:rPr>
        <w:t xml:space="preserve">               </w:t>
      </w:r>
    </w:p>
    <w:p w14:paraId="0D01518D">
      <w:pPr>
        <w:spacing w:line="540" w:lineRule="exac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单位性质：</w:t>
      </w:r>
      <w:r>
        <w:rPr>
          <w:rFonts w:ascii="Arial" w:hAnsi="Arial" w:cs="Arial"/>
          <w:color w:val="000000" w:themeColor="text1"/>
          <w:szCs w:val="21"/>
          <w:u w:val="single"/>
          <w14:textFill>
            <w14:solidFill>
              <w14:schemeClr w14:val="tx1"/>
            </w14:solidFill>
          </w14:textFill>
        </w:rPr>
        <w:t xml:space="preserve">               </w:t>
      </w:r>
    </w:p>
    <w:p w14:paraId="2BC232CA">
      <w:pPr>
        <w:spacing w:line="540" w:lineRule="exac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地址：</w:t>
      </w:r>
      <w:r>
        <w:rPr>
          <w:rFonts w:ascii="Arial" w:hAnsi="Arial" w:cs="Arial"/>
          <w:color w:val="000000" w:themeColor="text1"/>
          <w:szCs w:val="21"/>
          <w:u w:val="single"/>
          <w14:textFill>
            <w14:solidFill>
              <w14:schemeClr w14:val="tx1"/>
            </w14:solidFill>
          </w14:textFill>
        </w:rPr>
        <w:t xml:space="preserve">                     </w:t>
      </w:r>
    </w:p>
    <w:p w14:paraId="1CCCACEA">
      <w:pPr>
        <w:spacing w:line="540" w:lineRule="exact"/>
        <w:rPr>
          <w:rFonts w:ascii="Arial" w:hAnsi="Arial" w:cs="Arial"/>
          <w:color w:val="000000" w:themeColor="text1"/>
          <w:szCs w:val="21"/>
          <w:u w:val="single"/>
          <w14:textFill>
            <w14:solidFill>
              <w14:schemeClr w14:val="tx1"/>
            </w14:solidFill>
          </w14:textFill>
        </w:rPr>
      </w:pPr>
      <w:r>
        <w:rPr>
          <w:rFonts w:ascii="Arial" w:hAnsi="Arial" w:cs="Arial"/>
          <w:color w:val="000000" w:themeColor="text1"/>
          <w:szCs w:val="21"/>
          <w14:textFill>
            <w14:solidFill>
              <w14:schemeClr w14:val="tx1"/>
            </w14:solidFill>
          </w14:textFill>
        </w:rPr>
        <w:t>成立时间：</w:t>
      </w:r>
      <w:r>
        <w:rPr>
          <w:rFonts w:ascii="Arial" w:hAnsi="Arial" w:cs="Arial"/>
          <w:color w:val="000000" w:themeColor="text1"/>
          <w:szCs w:val="21"/>
          <w:u w:val="single"/>
          <w14:textFill>
            <w14:solidFill>
              <w14:schemeClr w14:val="tx1"/>
            </w14:solidFill>
          </w14:textFill>
        </w:rPr>
        <w:t>年      月     日</w:t>
      </w:r>
    </w:p>
    <w:p w14:paraId="106CD243">
      <w:pPr>
        <w:spacing w:line="540" w:lineRule="exac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经营期限：</w:t>
      </w:r>
    </w:p>
    <w:p w14:paraId="60AEEEA4">
      <w:pPr>
        <w:spacing w:line="540" w:lineRule="exac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姓名：；          性别：  </w:t>
      </w:r>
    </w:p>
    <w:p w14:paraId="6F713670">
      <w:pPr>
        <w:spacing w:line="540" w:lineRule="exac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年龄：；    职务：；    身份证：</w:t>
      </w:r>
    </w:p>
    <w:p w14:paraId="60C4E218">
      <w:pPr>
        <w:spacing w:line="540" w:lineRule="exac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系</w:t>
      </w:r>
      <w:r>
        <w:rPr>
          <w:rFonts w:ascii="Arial" w:hAnsi="Arial" w:cs="Arial"/>
          <w:color w:val="000000" w:themeColor="text1"/>
          <w:szCs w:val="21"/>
          <w:u w:val="single"/>
          <w14:textFill>
            <w14:solidFill>
              <w14:schemeClr w14:val="tx1"/>
            </w14:solidFill>
          </w14:textFill>
        </w:rPr>
        <w:t>（ 供应商名称）</w:t>
      </w:r>
      <w:r>
        <w:rPr>
          <w:rFonts w:ascii="Arial" w:hAnsi="Arial" w:cs="Arial"/>
          <w:color w:val="000000" w:themeColor="text1"/>
          <w:szCs w:val="21"/>
          <w14:textFill>
            <w14:solidFill>
              <w14:schemeClr w14:val="tx1"/>
            </w14:solidFill>
          </w14:textFill>
        </w:rPr>
        <w:t>的法定代表人。</w:t>
      </w:r>
    </w:p>
    <w:p w14:paraId="62959C17">
      <w:pPr>
        <w:spacing w:line="540" w:lineRule="exact"/>
        <w:rPr>
          <w:rFonts w:ascii="Arial" w:hAnsi="Arial" w:cs="Arial"/>
          <w:color w:val="000000" w:themeColor="text1"/>
          <w:szCs w:val="21"/>
          <w14:textFill>
            <w14:solidFill>
              <w14:schemeClr w14:val="tx1"/>
            </w14:solidFill>
          </w14:textFill>
        </w:rPr>
      </w:pPr>
    </w:p>
    <w:p w14:paraId="3A947E64">
      <w:pPr>
        <w:spacing w:line="540" w:lineRule="exac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特此证明。</w:t>
      </w:r>
    </w:p>
    <w:p w14:paraId="2F2EC58A">
      <w:pPr>
        <w:spacing w:line="360" w:lineRule="auto"/>
        <w:ind w:firstLine="4830" w:firstLineChars="23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供应商公章（CA签章）：</w:t>
      </w:r>
      <w:r>
        <w:rPr>
          <w:rFonts w:ascii="Arial" w:hAnsi="Arial" w:cs="Arial"/>
          <w:color w:val="000000" w:themeColor="text1"/>
          <w:szCs w:val="21"/>
          <w:u w:val="single"/>
          <w14:textFill>
            <w14:solidFill>
              <w14:schemeClr w14:val="tx1"/>
            </w14:solidFill>
          </w14:textFill>
        </w:rPr>
        <w:t xml:space="preserve"> </w:t>
      </w:r>
    </w:p>
    <w:p w14:paraId="3E2580CC">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年  月  日 </w:t>
      </w:r>
    </w:p>
    <w:p w14:paraId="33E8B03E">
      <w:pPr>
        <w:spacing w:line="360" w:lineRule="auto"/>
        <w:ind w:firstLine="420" w:firstLineChars="200"/>
        <w:rPr>
          <w:rFonts w:ascii="Arial" w:hAnsi="Arial" w:cs="Arial"/>
          <w:color w:val="000000" w:themeColor="text1"/>
          <w:szCs w:val="21"/>
          <w14:textFill>
            <w14:solidFill>
              <w14:schemeClr w14:val="tx1"/>
            </w14:solidFill>
          </w14:textFill>
        </w:rPr>
      </w:pPr>
    </w:p>
    <w:p w14:paraId="2B6DAFF5">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附件：法定代表人身份证复印件</w:t>
      </w:r>
    </w:p>
    <w:p w14:paraId="10DC059C">
      <w:pPr>
        <w:spacing w:line="360" w:lineRule="auto"/>
        <w:rPr>
          <w:rFonts w:ascii="Arial" w:hAnsi="Arial" w:cs="Arial"/>
          <w:color w:val="000000" w:themeColor="text1"/>
          <w:szCs w:val="21"/>
          <w14:textFill>
            <w14:solidFill>
              <w14:schemeClr w14:val="tx1"/>
            </w14:solidFill>
          </w14:textFill>
        </w:rPr>
      </w:pPr>
    </w:p>
    <w:p w14:paraId="4D6E1FAD">
      <w:pPr>
        <w:spacing w:line="360" w:lineRule="auto"/>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注：法定代表人亲自出席开标会议时，须随身携带本“法定代表人身份证明”原件一份以及身份证原件，以备核查。</w:t>
      </w:r>
    </w:p>
    <w:bookmarkEnd w:id="169"/>
    <w:p w14:paraId="037950E3">
      <w:pPr>
        <w:snapToGrid w:val="0"/>
        <w:spacing w:before="120" w:beforeLines="50" w:after="50" w:line="360" w:lineRule="exact"/>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br w:type="page"/>
      </w:r>
      <w:r>
        <w:rPr>
          <w:rFonts w:ascii="Arial" w:hAnsi="Arial" w:cs="Arial"/>
          <w:b/>
          <w:color w:val="000000" w:themeColor="text1"/>
          <w:szCs w:val="21"/>
          <w14:textFill>
            <w14:solidFill>
              <w14:schemeClr w14:val="tx1"/>
            </w14:solidFill>
          </w14:textFill>
        </w:rPr>
        <w:t>1．授权委托书（有授权代表时必须提供）：</w:t>
      </w:r>
    </w:p>
    <w:p w14:paraId="0EE7229A">
      <w:pPr>
        <w:snapToGrid w:val="0"/>
        <w:spacing w:before="120" w:beforeLines="50" w:after="50" w:line="440" w:lineRule="exact"/>
        <w:jc w:val="center"/>
        <w:rPr>
          <w:rFonts w:ascii="Arial" w:hAnsi="Arial" w:cs="Arial"/>
          <w:b/>
          <w:color w:val="000000" w:themeColor="text1"/>
          <w:szCs w:val="21"/>
          <w14:textFill>
            <w14:solidFill>
              <w14:schemeClr w14:val="tx1"/>
            </w14:solidFill>
          </w14:textFill>
        </w:rPr>
      </w:pPr>
    </w:p>
    <w:p w14:paraId="7DF1C519">
      <w:pPr>
        <w:snapToGrid w:val="0"/>
        <w:spacing w:before="120" w:beforeLines="50" w:after="50" w:line="440" w:lineRule="exact"/>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法定代表人授权委托书</w:t>
      </w:r>
    </w:p>
    <w:p w14:paraId="39057C35">
      <w:pPr>
        <w:snapToGrid w:val="0"/>
        <w:spacing w:before="120" w:beforeLines="50" w:after="50" w:line="440" w:lineRule="exact"/>
        <w:rPr>
          <w:rFonts w:ascii="Arial" w:hAnsi="Arial" w:cs="Arial"/>
          <w:b/>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致：</w:t>
      </w:r>
      <w:r>
        <w:rPr>
          <w:rFonts w:ascii="Arial" w:hAnsi="Arial" w:cs="Arial"/>
          <w:i/>
          <w:iCs/>
          <w:color w:val="000000" w:themeColor="text1"/>
          <w:szCs w:val="21"/>
          <w:u w:val="single"/>
          <w14:textFill>
            <w14:solidFill>
              <w14:schemeClr w14:val="tx1"/>
            </w14:solidFill>
          </w14:textFill>
        </w:rPr>
        <w:t>（采购人名称）</w:t>
      </w:r>
      <w:r>
        <w:rPr>
          <w:rFonts w:ascii="Arial" w:hAnsi="Arial" w:cs="Arial"/>
          <w:color w:val="000000" w:themeColor="text1"/>
          <w:szCs w:val="21"/>
          <w14:textFill>
            <w14:solidFill>
              <w14:schemeClr w14:val="tx1"/>
            </w14:solidFill>
          </w14:textFill>
        </w:rPr>
        <w:t>：</w:t>
      </w:r>
    </w:p>
    <w:p w14:paraId="345D9F2B">
      <w:pPr>
        <w:snapToGrid w:val="0"/>
        <w:spacing w:before="120" w:beforeLines="50" w:after="50" w:line="440" w:lineRule="exact"/>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我__</w:t>
      </w:r>
      <w:r>
        <w:rPr>
          <w:rFonts w:ascii="Arial" w:hAnsi="Arial" w:cs="Arial"/>
          <w:i/>
          <w:iCs/>
          <w:color w:val="000000" w:themeColor="text1"/>
          <w:szCs w:val="21"/>
          <w:u w:val="single"/>
          <w14:textFill>
            <w14:solidFill>
              <w14:schemeClr w14:val="tx1"/>
            </w14:solidFill>
          </w14:textFill>
        </w:rPr>
        <w:t>（法定代表人姓名）</w:t>
      </w:r>
      <w:r>
        <w:rPr>
          <w:rFonts w:ascii="Arial" w:hAnsi="Arial" w:cs="Arial"/>
          <w:color w:val="000000" w:themeColor="text1"/>
          <w:szCs w:val="21"/>
          <w14:textFill>
            <w14:solidFill>
              <w14:schemeClr w14:val="tx1"/>
            </w14:solidFill>
          </w14:textFill>
        </w:rPr>
        <w:t>_系_</w:t>
      </w:r>
      <w:r>
        <w:rPr>
          <w:rFonts w:ascii="Arial" w:hAnsi="Arial" w:cs="Arial"/>
          <w:i/>
          <w:iCs/>
          <w:color w:val="000000" w:themeColor="text1"/>
          <w:szCs w:val="21"/>
          <w:u w:val="single"/>
          <w14:textFill>
            <w14:solidFill>
              <w14:schemeClr w14:val="tx1"/>
            </w14:solidFill>
          </w14:textFill>
        </w:rPr>
        <w:t>（供应商名称）</w:t>
      </w:r>
      <w:r>
        <w:rPr>
          <w:rFonts w:ascii="Arial" w:hAnsi="Arial" w:cs="Arial"/>
          <w:color w:val="000000" w:themeColor="text1"/>
          <w:szCs w:val="21"/>
          <w14:textFill>
            <w14:solidFill>
              <w14:schemeClr w14:val="tx1"/>
            </w14:solidFill>
          </w14:textFill>
        </w:rPr>
        <w:t>_的法定代表人，现授权委托本单位在职职工（姓名）以我方的名义参加</w:t>
      </w:r>
      <w:r>
        <w:rPr>
          <w:rFonts w:ascii="Arial" w:hAnsi="Arial" w:cs="Arial"/>
          <w:color w:val="000000" w:themeColor="text1"/>
          <w:szCs w:val="21"/>
          <w:u w:val="single"/>
          <w14:textFill>
            <w14:solidFill>
              <w14:schemeClr w14:val="tx1"/>
            </w14:solidFill>
          </w14:textFill>
        </w:rPr>
        <w:t xml:space="preserve"> </w:t>
      </w:r>
      <w:r>
        <w:rPr>
          <w:rFonts w:ascii="Arial" w:hAnsi="Arial" w:cs="Arial"/>
          <w:i/>
          <w:iCs/>
          <w:color w:val="000000" w:themeColor="text1"/>
          <w:szCs w:val="21"/>
          <w:u w:val="single"/>
          <w14:textFill>
            <w14:solidFill>
              <w14:schemeClr w14:val="tx1"/>
            </w14:solidFill>
          </w14:textFill>
        </w:rPr>
        <w:t>（项目名称）</w:t>
      </w:r>
      <w:r>
        <w:rPr>
          <w:rFonts w:ascii="Arial" w:hAnsi="Arial" w:cs="Arial"/>
          <w:color w:val="000000" w:themeColor="text1"/>
          <w:szCs w:val="21"/>
          <w:u w:val="single"/>
          <w14:textFill>
            <w14:solidFill>
              <w14:schemeClr w14:val="tx1"/>
            </w14:solidFill>
          </w14:textFill>
        </w:rPr>
        <w:t xml:space="preserve"> </w:t>
      </w:r>
      <w:r>
        <w:rPr>
          <w:rFonts w:ascii="Arial" w:hAnsi="Arial" w:cs="Arial"/>
          <w:color w:val="000000" w:themeColor="text1"/>
          <w:szCs w:val="21"/>
          <w14:textFill>
            <w14:solidFill>
              <w14:schemeClr w14:val="tx1"/>
            </w14:solidFill>
          </w14:textFill>
        </w:rPr>
        <w:t>项目的投标活动，并代表我方全权办理针对上述项目的投标、开标、评标、签约等具体事务和签署相关文件。</w:t>
      </w:r>
    </w:p>
    <w:p w14:paraId="7F9592D4">
      <w:pPr>
        <w:snapToGrid w:val="0"/>
        <w:spacing w:before="120" w:beforeLines="50" w:after="50" w:line="440" w:lineRule="exac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我方对被授权人的签名事项负全部责任。</w:t>
      </w:r>
    </w:p>
    <w:p w14:paraId="339D5150">
      <w:pPr>
        <w:snapToGrid w:val="0"/>
        <w:spacing w:before="120" w:beforeLines="50" w:after="50" w:line="440" w:lineRule="exact"/>
        <w:ind w:firstLine="48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在撤销授权的书面通知以前，本授权书一直有效。被授权人在授权书有效期内签署的所有文件不因授权的撤销而失效。</w:t>
      </w:r>
    </w:p>
    <w:p w14:paraId="3D86BAD4">
      <w:pPr>
        <w:snapToGrid w:val="0"/>
        <w:spacing w:before="120" w:beforeLines="50" w:after="50" w:line="440" w:lineRule="exact"/>
        <w:ind w:firstLine="48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被授权人无转委托权，特此委托。</w:t>
      </w:r>
    </w:p>
    <w:p w14:paraId="14D663D0">
      <w:pPr>
        <w:snapToGrid w:val="0"/>
        <w:spacing w:before="120" w:beforeLines="50" w:after="50" w:line="440" w:lineRule="exact"/>
        <w:rPr>
          <w:rFonts w:ascii="Arial" w:hAnsi="Arial" w:cs="Arial"/>
          <w:color w:val="000000" w:themeColor="text1"/>
          <w:szCs w:val="21"/>
          <w:u w:val="single"/>
          <w14:textFill>
            <w14:solidFill>
              <w14:schemeClr w14:val="tx1"/>
            </w14:solidFill>
          </w14:textFill>
        </w:rPr>
      </w:pPr>
      <w:r>
        <w:rPr>
          <w:rFonts w:ascii="Arial" w:hAnsi="Arial" w:cs="Arial"/>
          <w:color w:val="000000" w:themeColor="text1"/>
          <w:szCs w:val="21"/>
          <w14:textFill>
            <w14:solidFill>
              <w14:schemeClr w14:val="tx1"/>
            </w14:solidFill>
          </w14:textFill>
        </w:rPr>
        <w:t>被授权人签字或个人CA签章：  法定代表人签字或个人CA签章：</w:t>
      </w:r>
    </w:p>
    <w:p w14:paraId="2ED7C052">
      <w:pPr>
        <w:snapToGrid w:val="0"/>
        <w:spacing w:before="120" w:beforeLines="50" w:after="50" w:line="440" w:lineRule="exac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职务：职务：</w:t>
      </w:r>
      <w:r>
        <w:rPr>
          <w:rFonts w:ascii="Arial" w:hAnsi="Arial" w:cs="Arial"/>
          <w:color w:val="000000" w:themeColor="text1"/>
          <w:szCs w:val="21"/>
          <w:u w:val="single"/>
          <w14:textFill>
            <w14:solidFill>
              <w14:schemeClr w14:val="tx1"/>
            </w14:solidFill>
          </w14:textFill>
        </w:rPr>
        <w:t xml:space="preserve">               </w:t>
      </w:r>
    </w:p>
    <w:p w14:paraId="1F1DD3A0">
      <w:pPr>
        <w:snapToGrid w:val="0"/>
        <w:spacing w:before="120" w:beforeLines="50" w:after="50" w:line="440" w:lineRule="exac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被授权人身份证号码：</w:t>
      </w:r>
      <w:r>
        <w:rPr>
          <w:rFonts w:ascii="Arial" w:hAnsi="Arial" w:cs="Arial"/>
          <w:color w:val="000000" w:themeColor="text1"/>
          <w:szCs w:val="21"/>
          <w:u w:val="single"/>
          <w14:textFill>
            <w14:solidFill>
              <w14:schemeClr w14:val="tx1"/>
            </w14:solidFill>
          </w14:textFill>
        </w:rPr>
        <w:t xml:space="preserve">               </w:t>
      </w:r>
      <w:r>
        <w:rPr>
          <w:rFonts w:ascii="Arial" w:hAnsi="Arial" w:cs="Arial"/>
          <w:color w:val="000000" w:themeColor="text1"/>
          <w:szCs w:val="21"/>
          <w14:textFill>
            <w14:solidFill>
              <w14:schemeClr w14:val="tx1"/>
            </w14:solidFill>
          </w14:textFill>
        </w:rPr>
        <w:t xml:space="preserve">                   授权人身份证号码：</w:t>
      </w:r>
      <w:r>
        <w:rPr>
          <w:rFonts w:ascii="Arial" w:hAnsi="Arial" w:cs="Arial"/>
          <w:color w:val="000000" w:themeColor="text1"/>
          <w:szCs w:val="21"/>
          <w:u w:val="single"/>
          <w14:textFill>
            <w14:solidFill>
              <w14:schemeClr w14:val="tx1"/>
            </w14:solidFill>
          </w14:textFill>
        </w:rPr>
        <w:t xml:space="preserve">               </w:t>
      </w:r>
    </w:p>
    <w:p w14:paraId="1D6F76B3">
      <w:pPr>
        <w:snapToGrid w:val="0"/>
        <w:spacing w:before="120" w:beforeLines="50" w:after="50" w:line="440" w:lineRule="exac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被授权人邮箱：</w:t>
      </w:r>
    </w:p>
    <w:p w14:paraId="7465B6D6">
      <w:pPr>
        <w:snapToGrid w:val="0"/>
        <w:spacing w:before="120" w:beforeLines="50" w:after="50" w:line="440" w:lineRule="exact"/>
        <w:ind w:firstLine="5670" w:firstLineChars="2700"/>
        <w:rPr>
          <w:rFonts w:ascii="Arial" w:hAnsi="Arial" w:cs="Arial"/>
          <w:color w:val="000000" w:themeColor="text1"/>
          <w:szCs w:val="21"/>
          <w14:textFill>
            <w14:solidFill>
              <w14:schemeClr w14:val="tx1"/>
            </w14:solidFill>
          </w14:textFill>
        </w:rPr>
      </w:pPr>
    </w:p>
    <w:p w14:paraId="680FD893">
      <w:pPr>
        <w:snapToGrid w:val="0"/>
        <w:spacing w:before="120" w:beforeLines="50" w:after="50" w:line="440" w:lineRule="exact"/>
        <w:ind w:firstLine="5670" w:firstLineChars="27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供应商公章（CA签章）：</w:t>
      </w:r>
      <w:r>
        <w:rPr>
          <w:rFonts w:ascii="Arial" w:hAnsi="Arial" w:cs="Arial"/>
          <w:color w:val="000000" w:themeColor="text1"/>
          <w:szCs w:val="21"/>
          <w:u w:val="single"/>
          <w14:textFill>
            <w14:solidFill>
              <w14:schemeClr w14:val="tx1"/>
            </w14:solidFill>
          </w14:textFill>
        </w:rPr>
        <w:t xml:space="preserve"> </w:t>
      </w:r>
    </w:p>
    <w:p w14:paraId="13FF7EC4">
      <w:pPr>
        <w:snapToGrid w:val="0"/>
        <w:spacing w:before="120" w:beforeLines="50" w:after="50" w:line="44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年月日</w:t>
      </w:r>
    </w:p>
    <w:p w14:paraId="7ED68CD9">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附件：法定代表人身份证复印件及授权代表身份证复印件</w:t>
      </w:r>
    </w:p>
    <w:p w14:paraId="067A620C">
      <w:pPr>
        <w:spacing w:line="360" w:lineRule="auto"/>
        <w:rPr>
          <w:rFonts w:ascii="Arial" w:hAnsi="Arial" w:cs="Arial"/>
          <w:color w:val="000000" w:themeColor="text1"/>
          <w14:textFill>
            <w14:solidFill>
              <w14:schemeClr w14:val="tx1"/>
            </w14:solidFill>
          </w14:textFill>
        </w:rPr>
      </w:pPr>
    </w:p>
    <w:p w14:paraId="484C8CA9">
      <w:pPr>
        <w:spacing w:line="360" w:lineRule="auto"/>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注：授权代表出席开标会议时，须随身携带本“法定代表人授权委托书”原件一份以及本人身份证原件，以备核查。</w:t>
      </w:r>
    </w:p>
    <w:p w14:paraId="06899B5C">
      <w:pPr>
        <w:snapToGrid w:val="0"/>
        <w:spacing w:before="120" w:beforeLines="50" w:after="50" w:line="440" w:lineRule="exact"/>
        <w:jc w:val="center"/>
        <w:outlineLvl w:val="1"/>
        <w:rPr>
          <w:rFonts w:ascii="Arial" w:hAnsi="Arial" w:cs="Arial"/>
          <w:bCs/>
          <w:color w:val="000000" w:themeColor="text1"/>
          <w:sz w:val="24"/>
          <w14:textFill>
            <w14:solidFill>
              <w14:schemeClr w14:val="tx1"/>
            </w14:solidFill>
          </w14:textFill>
        </w:rPr>
      </w:pPr>
      <w:r>
        <w:rPr>
          <w:rFonts w:ascii="Arial" w:hAnsi="Arial" w:cs="Arial"/>
          <w:bCs/>
          <w:color w:val="000000" w:themeColor="text1"/>
          <w:sz w:val="24"/>
          <w14:textFill>
            <w14:solidFill>
              <w14:schemeClr w14:val="tx1"/>
            </w14:solidFill>
          </w14:textFill>
        </w:rPr>
        <w:br w:type="page"/>
      </w:r>
      <w:r>
        <w:rPr>
          <w:rFonts w:ascii="Arial" w:hAnsi="Arial" w:cs="Arial"/>
          <w:bCs/>
          <w:color w:val="000000" w:themeColor="text1"/>
          <w:sz w:val="24"/>
          <w14:textFill>
            <w14:solidFill>
              <w14:schemeClr w14:val="tx1"/>
            </w14:solidFill>
          </w14:textFill>
        </w:rPr>
        <w:t>第一部分 商务文件</w:t>
      </w:r>
    </w:p>
    <w:p w14:paraId="328CDB5C">
      <w:pPr>
        <w:jc w:val="center"/>
        <w:rPr>
          <w:rFonts w:ascii="Arial" w:hAnsi="Arial" w:cs="Arial"/>
          <w:bCs/>
          <w:color w:val="000000" w:themeColor="text1"/>
          <w:sz w:val="24"/>
          <w14:textFill>
            <w14:solidFill>
              <w14:schemeClr w14:val="tx1"/>
            </w14:solidFill>
          </w14:textFill>
        </w:rPr>
      </w:pPr>
      <w:r>
        <w:rPr>
          <w:rFonts w:ascii="Arial" w:hAnsi="Arial" w:cs="Arial"/>
          <w:color w:val="000000" w:themeColor="text1"/>
          <w14:textFill>
            <w14:solidFill>
              <w14:schemeClr w14:val="tx1"/>
            </w14:solidFill>
          </w14:textFill>
        </w:rPr>
        <w:t>（本商务文件除标注“必须提供”的部分外，其余部分供应商可自行编写，也可参照下述提纲编写）</w:t>
      </w:r>
    </w:p>
    <w:p w14:paraId="1ABD191E">
      <w:pPr>
        <w:snapToGrid w:val="0"/>
        <w:spacing w:before="50" w:after="120" w:afterLines="50" w:line="440" w:lineRule="exact"/>
        <w:jc w:val="left"/>
        <w:rPr>
          <w:rFonts w:ascii="Arial" w:hAnsi="Arial" w:cs="Arial"/>
          <w:color w:val="000000" w:themeColor="text1"/>
          <w:szCs w:val="21"/>
          <w14:textFill>
            <w14:solidFill>
              <w14:schemeClr w14:val="tx1"/>
            </w14:solidFill>
          </w14:textFill>
        </w:rPr>
      </w:pPr>
    </w:p>
    <w:p w14:paraId="1EF5E1CD">
      <w:pPr>
        <w:snapToGrid w:val="0"/>
        <w:spacing w:before="50" w:after="120" w:afterLines="50" w:line="44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1．对本项目第二章《项目采购需求》“本项目商务要求”的响应偏离表</w:t>
      </w:r>
      <w:r>
        <w:rPr>
          <w:rFonts w:ascii="Arial" w:hAnsi="Arial" w:cs="Arial"/>
          <w:b/>
          <w:color w:val="000000" w:themeColor="text1"/>
          <w:szCs w:val="21"/>
          <w14:textFill>
            <w14:solidFill>
              <w14:schemeClr w14:val="tx1"/>
            </w14:solidFill>
          </w14:textFill>
        </w:rPr>
        <w:t>（</w:t>
      </w:r>
      <w:r>
        <w:rPr>
          <w:rFonts w:ascii="Arial" w:hAnsi="Arial" w:cs="Arial"/>
          <w:b/>
          <w:color w:val="000000" w:themeColor="text1"/>
          <w14:textFill>
            <w14:solidFill>
              <w14:schemeClr w14:val="tx1"/>
            </w14:solidFill>
          </w14:textFill>
        </w:rPr>
        <w:t>必须提供</w:t>
      </w:r>
      <w:r>
        <w:rPr>
          <w:rFonts w:ascii="Arial" w:hAnsi="Arial" w:cs="Arial"/>
          <w:b/>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t>：</w:t>
      </w:r>
    </w:p>
    <w:tbl>
      <w:tblPr>
        <w:tblStyle w:val="54"/>
        <w:tblW w:w="88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0"/>
        <w:gridCol w:w="2122"/>
        <w:gridCol w:w="4657"/>
        <w:gridCol w:w="1349"/>
      </w:tblGrid>
      <w:tr w14:paraId="4C8455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3C895136">
            <w:pPr>
              <w:snapToGrid w:val="0"/>
              <w:spacing w:before="120" w:before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序号</w:t>
            </w:r>
          </w:p>
        </w:tc>
        <w:tc>
          <w:tcPr>
            <w:tcW w:w="2122" w:type="dxa"/>
            <w:tcBorders>
              <w:top w:val="single" w:color="auto" w:sz="4" w:space="0"/>
              <w:left w:val="single" w:color="auto" w:sz="4" w:space="0"/>
              <w:bottom w:val="single" w:color="auto" w:sz="4" w:space="0"/>
              <w:right w:val="single" w:color="auto" w:sz="4" w:space="0"/>
            </w:tcBorders>
            <w:vAlign w:val="center"/>
          </w:tcPr>
          <w:p w14:paraId="6CDBFB5D">
            <w:pPr>
              <w:snapToGrid w:val="0"/>
              <w:spacing w:before="120" w:before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招标文件的商务要求</w:t>
            </w:r>
          </w:p>
        </w:tc>
        <w:tc>
          <w:tcPr>
            <w:tcW w:w="4657" w:type="dxa"/>
            <w:tcBorders>
              <w:top w:val="single" w:color="auto" w:sz="4" w:space="0"/>
              <w:left w:val="single" w:color="auto" w:sz="4" w:space="0"/>
              <w:bottom w:val="single" w:color="auto" w:sz="4" w:space="0"/>
              <w:right w:val="single" w:color="auto" w:sz="4" w:space="0"/>
            </w:tcBorders>
            <w:vAlign w:val="center"/>
          </w:tcPr>
          <w:p w14:paraId="3B6D5934">
            <w:pPr>
              <w:snapToGrid w:val="0"/>
              <w:spacing w:before="120" w:before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投标文件响应内容（可注明所在页码）</w:t>
            </w:r>
          </w:p>
        </w:tc>
        <w:tc>
          <w:tcPr>
            <w:tcW w:w="1349" w:type="dxa"/>
            <w:tcBorders>
              <w:top w:val="single" w:color="auto" w:sz="4" w:space="0"/>
              <w:left w:val="single" w:color="auto" w:sz="4" w:space="0"/>
              <w:bottom w:val="single" w:color="auto" w:sz="4" w:space="0"/>
              <w:right w:val="single" w:color="auto" w:sz="4" w:space="0"/>
            </w:tcBorders>
            <w:vAlign w:val="center"/>
          </w:tcPr>
          <w:p w14:paraId="761A192F">
            <w:pPr>
              <w:snapToGrid w:val="0"/>
              <w:spacing w:before="120" w:before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14:textFill>
                  <w14:solidFill>
                    <w14:schemeClr w14:val="tx1"/>
                  </w14:solidFill>
                </w14:textFill>
              </w:rPr>
              <w:t>偏离</w:t>
            </w:r>
            <w:r>
              <w:rPr>
                <w:rFonts w:ascii="Arial" w:hAnsi="Arial" w:cs="Arial"/>
                <w:color w:val="000000" w:themeColor="text1"/>
                <w:szCs w:val="21"/>
                <w14:textFill>
                  <w14:solidFill>
                    <w14:schemeClr w14:val="tx1"/>
                  </w14:solidFill>
                </w14:textFill>
              </w:rPr>
              <w:t>说明</w:t>
            </w:r>
          </w:p>
        </w:tc>
      </w:tr>
      <w:tr w14:paraId="03CF70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4" w:hRule="exact"/>
          <w:jc w:val="center"/>
        </w:trPr>
        <w:tc>
          <w:tcPr>
            <w:tcW w:w="750" w:type="dxa"/>
            <w:tcBorders>
              <w:top w:val="single" w:color="auto" w:sz="4" w:space="0"/>
              <w:left w:val="single" w:color="auto" w:sz="4" w:space="0"/>
              <w:bottom w:val="single" w:color="auto" w:sz="4" w:space="0"/>
              <w:right w:val="single" w:color="auto" w:sz="4" w:space="0"/>
            </w:tcBorders>
            <w:vAlign w:val="center"/>
          </w:tcPr>
          <w:p w14:paraId="35E03874">
            <w:pPr>
              <w:snapToGrid w:val="0"/>
              <w:spacing w:before="120" w:beforeLines="50"/>
              <w:jc w:val="center"/>
              <w:rPr>
                <w:rFonts w:ascii="Arial" w:hAnsi="Arial" w:cs="Arial"/>
                <w:color w:val="000000" w:themeColor="text1"/>
                <w:szCs w:val="21"/>
                <w14:textFill>
                  <w14:solidFill>
                    <w14:schemeClr w14:val="tx1"/>
                  </w14:solidFill>
                </w14:textFill>
              </w:rPr>
            </w:pPr>
          </w:p>
        </w:tc>
        <w:tc>
          <w:tcPr>
            <w:tcW w:w="2122" w:type="dxa"/>
            <w:tcBorders>
              <w:top w:val="single" w:color="auto" w:sz="4" w:space="0"/>
              <w:left w:val="single" w:color="auto" w:sz="4" w:space="0"/>
              <w:bottom w:val="single" w:color="auto" w:sz="4" w:space="0"/>
              <w:right w:val="single" w:color="auto" w:sz="4" w:space="0"/>
            </w:tcBorders>
            <w:vAlign w:val="center"/>
          </w:tcPr>
          <w:p w14:paraId="5F93DB5D">
            <w:pPr>
              <w:snapToGrid w:val="0"/>
              <w:spacing w:before="120" w:beforeLines="50"/>
              <w:jc w:val="center"/>
              <w:rPr>
                <w:rFonts w:ascii="Arial" w:hAnsi="Arial" w:cs="Arial"/>
                <w:color w:val="000000" w:themeColor="text1"/>
                <w:szCs w:val="21"/>
                <w14:textFill>
                  <w14:solidFill>
                    <w14:schemeClr w14:val="tx1"/>
                  </w14:solidFill>
                </w14:textFill>
              </w:rPr>
            </w:pPr>
          </w:p>
        </w:tc>
        <w:tc>
          <w:tcPr>
            <w:tcW w:w="4657" w:type="dxa"/>
            <w:tcBorders>
              <w:top w:val="single" w:color="auto" w:sz="4" w:space="0"/>
              <w:left w:val="single" w:color="auto" w:sz="4" w:space="0"/>
              <w:bottom w:val="single" w:color="auto" w:sz="4" w:space="0"/>
              <w:right w:val="single" w:color="auto" w:sz="4" w:space="0"/>
            </w:tcBorders>
            <w:vAlign w:val="center"/>
          </w:tcPr>
          <w:p w14:paraId="1E3AF45B">
            <w:pPr>
              <w:snapToGrid w:val="0"/>
              <w:spacing w:before="120" w:beforeLines="50"/>
              <w:jc w:val="center"/>
              <w:rPr>
                <w:rFonts w:ascii="Arial" w:hAnsi="Arial" w:cs="Arial"/>
                <w:color w:val="000000" w:themeColor="text1"/>
                <w:szCs w:val="21"/>
                <w14:textFill>
                  <w14:solidFill>
                    <w14:schemeClr w14:val="tx1"/>
                  </w14:solidFill>
                </w14:textFill>
              </w:rPr>
            </w:pPr>
          </w:p>
        </w:tc>
        <w:tc>
          <w:tcPr>
            <w:tcW w:w="1349" w:type="dxa"/>
            <w:tcBorders>
              <w:top w:val="single" w:color="auto" w:sz="4" w:space="0"/>
              <w:left w:val="single" w:color="auto" w:sz="4" w:space="0"/>
              <w:bottom w:val="single" w:color="auto" w:sz="4" w:space="0"/>
              <w:right w:val="single" w:color="auto" w:sz="4" w:space="0"/>
            </w:tcBorders>
            <w:vAlign w:val="center"/>
          </w:tcPr>
          <w:p w14:paraId="2A061457">
            <w:pPr>
              <w:snapToGrid w:val="0"/>
              <w:spacing w:before="120" w:beforeLines="50"/>
              <w:jc w:val="center"/>
              <w:rPr>
                <w:rFonts w:ascii="Arial" w:hAnsi="Arial" w:cs="Arial"/>
                <w:color w:val="000000" w:themeColor="text1"/>
                <w:szCs w:val="21"/>
                <w14:textFill>
                  <w14:solidFill>
                    <w14:schemeClr w14:val="tx1"/>
                  </w14:solidFill>
                </w14:textFill>
              </w:rPr>
            </w:pPr>
          </w:p>
        </w:tc>
      </w:tr>
      <w:tr w14:paraId="213496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4" w:hRule="exact"/>
          <w:jc w:val="center"/>
        </w:trPr>
        <w:tc>
          <w:tcPr>
            <w:tcW w:w="750" w:type="dxa"/>
            <w:tcBorders>
              <w:top w:val="single" w:color="auto" w:sz="4" w:space="0"/>
              <w:left w:val="single" w:color="auto" w:sz="4" w:space="0"/>
              <w:bottom w:val="single" w:color="auto" w:sz="4" w:space="0"/>
              <w:right w:val="single" w:color="auto" w:sz="4" w:space="0"/>
            </w:tcBorders>
            <w:vAlign w:val="center"/>
          </w:tcPr>
          <w:p w14:paraId="19F19C5D">
            <w:pPr>
              <w:snapToGrid w:val="0"/>
              <w:spacing w:before="120" w:beforeLines="50"/>
              <w:jc w:val="center"/>
              <w:rPr>
                <w:rFonts w:ascii="Arial" w:hAnsi="Arial" w:cs="Arial"/>
                <w:color w:val="000000" w:themeColor="text1"/>
                <w:szCs w:val="21"/>
                <w14:textFill>
                  <w14:solidFill>
                    <w14:schemeClr w14:val="tx1"/>
                  </w14:solidFill>
                </w14:textFill>
              </w:rPr>
            </w:pPr>
          </w:p>
        </w:tc>
        <w:tc>
          <w:tcPr>
            <w:tcW w:w="2122" w:type="dxa"/>
            <w:tcBorders>
              <w:top w:val="single" w:color="auto" w:sz="4" w:space="0"/>
              <w:left w:val="single" w:color="auto" w:sz="4" w:space="0"/>
              <w:bottom w:val="single" w:color="auto" w:sz="4" w:space="0"/>
              <w:right w:val="single" w:color="auto" w:sz="4" w:space="0"/>
            </w:tcBorders>
            <w:vAlign w:val="center"/>
          </w:tcPr>
          <w:p w14:paraId="35599510">
            <w:pPr>
              <w:snapToGrid w:val="0"/>
              <w:spacing w:before="120" w:beforeLines="50"/>
              <w:jc w:val="center"/>
              <w:rPr>
                <w:rFonts w:ascii="Arial" w:hAnsi="Arial" w:cs="Arial"/>
                <w:color w:val="000000" w:themeColor="text1"/>
                <w:szCs w:val="21"/>
                <w14:textFill>
                  <w14:solidFill>
                    <w14:schemeClr w14:val="tx1"/>
                  </w14:solidFill>
                </w14:textFill>
              </w:rPr>
            </w:pPr>
          </w:p>
        </w:tc>
        <w:tc>
          <w:tcPr>
            <w:tcW w:w="4657" w:type="dxa"/>
            <w:tcBorders>
              <w:top w:val="single" w:color="auto" w:sz="4" w:space="0"/>
              <w:left w:val="single" w:color="auto" w:sz="4" w:space="0"/>
              <w:bottom w:val="single" w:color="auto" w:sz="4" w:space="0"/>
              <w:right w:val="single" w:color="auto" w:sz="4" w:space="0"/>
            </w:tcBorders>
            <w:vAlign w:val="center"/>
          </w:tcPr>
          <w:p w14:paraId="61D462DE">
            <w:pPr>
              <w:snapToGrid w:val="0"/>
              <w:spacing w:before="120" w:beforeLines="50"/>
              <w:jc w:val="center"/>
              <w:rPr>
                <w:rFonts w:ascii="Arial" w:hAnsi="Arial" w:cs="Arial"/>
                <w:color w:val="000000" w:themeColor="text1"/>
                <w:szCs w:val="21"/>
                <w14:textFill>
                  <w14:solidFill>
                    <w14:schemeClr w14:val="tx1"/>
                  </w14:solidFill>
                </w14:textFill>
              </w:rPr>
            </w:pPr>
          </w:p>
        </w:tc>
        <w:tc>
          <w:tcPr>
            <w:tcW w:w="1349" w:type="dxa"/>
            <w:tcBorders>
              <w:top w:val="single" w:color="auto" w:sz="4" w:space="0"/>
              <w:left w:val="single" w:color="auto" w:sz="4" w:space="0"/>
              <w:bottom w:val="single" w:color="auto" w:sz="4" w:space="0"/>
              <w:right w:val="single" w:color="auto" w:sz="4" w:space="0"/>
            </w:tcBorders>
            <w:vAlign w:val="center"/>
          </w:tcPr>
          <w:p w14:paraId="15AB81E5">
            <w:pPr>
              <w:snapToGrid w:val="0"/>
              <w:spacing w:before="120" w:beforeLines="50"/>
              <w:jc w:val="center"/>
              <w:rPr>
                <w:rFonts w:ascii="Arial" w:hAnsi="Arial" w:cs="Arial"/>
                <w:color w:val="000000" w:themeColor="text1"/>
                <w:szCs w:val="21"/>
                <w14:textFill>
                  <w14:solidFill>
                    <w14:schemeClr w14:val="tx1"/>
                  </w14:solidFill>
                </w14:textFill>
              </w:rPr>
            </w:pPr>
          </w:p>
        </w:tc>
      </w:tr>
      <w:tr w14:paraId="47A92C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exact"/>
          <w:jc w:val="center"/>
        </w:trPr>
        <w:tc>
          <w:tcPr>
            <w:tcW w:w="750" w:type="dxa"/>
            <w:tcBorders>
              <w:top w:val="single" w:color="auto" w:sz="4" w:space="0"/>
              <w:left w:val="single" w:color="auto" w:sz="4" w:space="0"/>
              <w:bottom w:val="single" w:color="auto" w:sz="4" w:space="0"/>
              <w:right w:val="single" w:color="auto" w:sz="4" w:space="0"/>
            </w:tcBorders>
            <w:vAlign w:val="center"/>
          </w:tcPr>
          <w:p w14:paraId="6C77AFB9">
            <w:pPr>
              <w:snapToGrid w:val="0"/>
              <w:spacing w:before="120" w:beforeLines="50"/>
              <w:jc w:val="center"/>
              <w:rPr>
                <w:rFonts w:ascii="Arial" w:hAnsi="Arial" w:cs="Arial"/>
                <w:color w:val="000000" w:themeColor="text1"/>
                <w:szCs w:val="21"/>
                <w14:textFill>
                  <w14:solidFill>
                    <w14:schemeClr w14:val="tx1"/>
                  </w14:solidFill>
                </w14:textFill>
              </w:rPr>
            </w:pPr>
          </w:p>
        </w:tc>
        <w:tc>
          <w:tcPr>
            <w:tcW w:w="2122" w:type="dxa"/>
            <w:tcBorders>
              <w:top w:val="single" w:color="auto" w:sz="4" w:space="0"/>
              <w:left w:val="single" w:color="auto" w:sz="4" w:space="0"/>
              <w:bottom w:val="single" w:color="auto" w:sz="4" w:space="0"/>
              <w:right w:val="single" w:color="auto" w:sz="4" w:space="0"/>
            </w:tcBorders>
            <w:vAlign w:val="center"/>
          </w:tcPr>
          <w:p w14:paraId="18436475">
            <w:pPr>
              <w:snapToGrid w:val="0"/>
              <w:spacing w:before="120" w:before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w:t>
            </w:r>
          </w:p>
        </w:tc>
        <w:tc>
          <w:tcPr>
            <w:tcW w:w="4657" w:type="dxa"/>
            <w:tcBorders>
              <w:top w:val="single" w:color="auto" w:sz="4" w:space="0"/>
              <w:left w:val="single" w:color="auto" w:sz="4" w:space="0"/>
              <w:bottom w:val="single" w:color="auto" w:sz="4" w:space="0"/>
              <w:right w:val="single" w:color="auto" w:sz="4" w:space="0"/>
            </w:tcBorders>
            <w:vAlign w:val="center"/>
          </w:tcPr>
          <w:p w14:paraId="12168E81">
            <w:pPr>
              <w:snapToGrid w:val="0"/>
              <w:spacing w:before="120" w:beforeLines="50"/>
              <w:jc w:val="center"/>
              <w:rPr>
                <w:rFonts w:ascii="Arial" w:hAnsi="Arial" w:cs="Arial"/>
                <w:color w:val="000000" w:themeColor="text1"/>
                <w:szCs w:val="21"/>
                <w14:textFill>
                  <w14:solidFill>
                    <w14:schemeClr w14:val="tx1"/>
                  </w14:solidFill>
                </w14:textFill>
              </w:rPr>
            </w:pPr>
          </w:p>
        </w:tc>
        <w:tc>
          <w:tcPr>
            <w:tcW w:w="1349" w:type="dxa"/>
            <w:tcBorders>
              <w:top w:val="single" w:color="auto" w:sz="4" w:space="0"/>
              <w:left w:val="single" w:color="auto" w:sz="4" w:space="0"/>
              <w:bottom w:val="single" w:color="auto" w:sz="4" w:space="0"/>
              <w:right w:val="single" w:color="auto" w:sz="4" w:space="0"/>
            </w:tcBorders>
            <w:vAlign w:val="center"/>
          </w:tcPr>
          <w:p w14:paraId="2413F262">
            <w:pPr>
              <w:snapToGrid w:val="0"/>
              <w:spacing w:before="120" w:beforeLines="50"/>
              <w:jc w:val="center"/>
              <w:rPr>
                <w:rFonts w:ascii="Arial" w:hAnsi="Arial" w:cs="Arial"/>
                <w:color w:val="000000" w:themeColor="text1"/>
                <w:szCs w:val="21"/>
                <w14:textFill>
                  <w14:solidFill>
                    <w14:schemeClr w14:val="tx1"/>
                  </w14:solidFill>
                </w14:textFill>
              </w:rPr>
            </w:pPr>
          </w:p>
        </w:tc>
      </w:tr>
    </w:tbl>
    <w:p w14:paraId="3B1988B7">
      <w:pPr>
        <w:pStyle w:val="30"/>
        <w:tabs>
          <w:tab w:val="left" w:pos="2127"/>
        </w:tabs>
        <w:spacing w:line="340" w:lineRule="exact"/>
        <w:ind w:firstLine="420" w:firstLineChars="200"/>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注：（1）本表应对招标文件第二章《项目采购需求》中所列商务要求进行响应；</w:t>
      </w:r>
    </w:p>
    <w:p w14:paraId="1DCB3FC9">
      <w:pPr>
        <w:pStyle w:val="30"/>
        <w:tabs>
          <w:tab w:val="left" w:pos="2127"/>
        </w:tabs>
        <w:spacing w:line="340" w:lineRule="exact"/>
        <w:ind w:firstLine="420" w:firstLineChars="200"/>
        <w:jc w:val="left"/>
        <w:rPr>
          <w:rFonts w:ascii="Arial" w:hAnsi="Arial" w:cs="Arial"/>
          <w:color w:val="000000" w:themeColor="text1"/>
          <w14:textFill>
            <w14:solidFill>
              <w14:schemeClr w14:val="tx1"/>
            </w14:solidFill>
          </w14:textFill>
        </w:rPr>
      </w:pPr>
      <w:bookmarkStart w:id="170" w:name="_Hlk19049081"/>
      <w:r>
        <w:rPr>
          <w:rFonts w:ascii="Arial" w:hAnsi="Arial" w:cs="Arial"/>
          <w:color w:val="000000" w:themeColor="text1"/>
          <w14:textFill>
            <w14:solidFill>
              <w14:schemeClr w14:val="tx1"/>
            </w14:solidFill>
          </w14:textFill>
        </w:rPr>
        <w:t>（2）本表内容必须如实填写，并根据响应情况在“偏离说明”栏填写正偏离或负偏离及原因，完全符合的填写“无偏离”。填写“无偏离”时，如相应条款在投标文件其他部分描述明确不满足招标文件要求时，评标委员会将按不满足要求进行评审。</w:t>
      </w:r>
    </w:p>
    <w:bookmarkEnd w:id="170"/>
    <w:p w14:paraId="70CAFE51">
      <w:pPr>
        <w:pStyle w:val="30"/>
        <w:tabs>
          <w:tab w:val="left" w:pos="2127"/>
        </w:tabs>
        <w:spacing w:line="340" w:lineRule="exact"/>
        <w:ind w:firstLine="420" w:firstLineChars="200"/>
        <w:jc w:val="left"/>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（3）本表可扩展。</w:t>
      </w:r>
    </w:p>
    <w:p w14:paraId="14AADF52">
      <w:pPr>
        <w:snapToGrid w:val="0"/>
        <w:spacing w:before="50" w:after="50"/>
        <w:rPr>
          <w:rFonts w:ascii="Arial" w:hAnsi="Arial" w:cs="Arial"/>
          <w:color w:val="000000" w:themeColor="text1"/>
          <w:spacing w:val="20"/>
          <w:szCs w:val="21"/>
          <w:u w:val="single"/>
          <w14:textFill>
            <w14:solidFill>
              <w14:schemeClr w14:val="tx1"/>
            </w14:solidFill>
          </w14:textFill>
        </w:rPr>
      </w:pPr>
      <w:r>
        <w:rPr>
          <w:rFonts w:ascii="Arial" w:hAnsi="Arial" w:cs="Arial"/>
          <w:color w:val="000000" w:themeColor="text1"/>
          <w14:textFill>
            <w14:solidFill>
              <w14:schemeClr w14:val="tx1"/>
            </w14:solidFill>
          </w14:textFill>
        </w:rPr>
        <w:t>法定代表人或授权代表签字或</w:t>
      </w:r>
      <w:r>
        <w:rPr>
          <w:rFonts w:ascii="Arial" w:hAnsi="Arial" w:cs="Arial"/>
          <w:color w:val="000000" w:themeColor="text1"/>
          <w:szCs w:val="21"/>
          <w14:textFill>
            <w14:solidFill>
              <w14:schemeClr w14:val="tx1"/>
            </w14:solidFill>
          </w14:textFill>
        </w:rPr>
        <w:t>个人CA签章</w:t>
      </w:r>
      <w:r>
        <w:rPr>
          <w:rFonts w:ascii="Arial" w:hAnsi="Arial" w:cs="Arial"/>
          <w:color w:val="000000" w:themeColor="text1"/>
          <w:spacing w:val="20"/>
          <w:szCs w:val="21"/>
          <w14:textFill>
            <w14:solidFill>
              <w14:schemeClr w14:val="tx1"/>
            </w14:solidFill>
          </w14:textFill>
        </w:rPr>
        <w:t>：</w:t>
      </w:r>
      <w:r>
        <w:rPr>
          <w:rFonts w:ascii="Arial" w:hAnsi="Arial" w:cs="Arial"/>
          <w:color w:val="000000" w:themeColor="text1"/>
          <w:spacing w:val="20"/>
          <w:szCs w:val="21"/>
          <w:u w:val="single"/>
          <w14:textFill>
            <w14:solidFill>
              <w14:schemeClr w14:val="tx1"/>
            </w14:solidFill>
          </w14:textFill>
        </w:rPr>
        <w:t xml:space="preserve">                 </w:t>
      </w:r>
    </w:p>
    <w:p w14:paraId="3B8F00B1">
      <w:pPr>
        <w:snapToGrid w:val="0"/>
        <w:spacing w:before="50" w:after="120" w:afterLines="50"/>
        <w:jc w:val="left"/>
        <w:rPr>
          <w:rFonts w:ascii="Arial" w:hAnsi="Arial" w:cs="Arial"/>
          <w:color w:val="000000" w:themeColor="text1"/>
          <w:spacing w:val="20"/>
          <w:szCs w:val="21"/>
          <w14:textFill>
            <w14:solidFill>
              <w14:schemeClr w14:val="tx1"/>
            </w14:solidFill>
          </w14:textFill>
        </w:rPr>
      </w:pPr>
      <w:r>
        <w:rPr>
          <w:rFonts w:ascii="Arial" w:hAnsi="Arial" w:cs="Arial"/>
          <w:color w:val="000000" w:themeColor="text1"/>
          <w:spacing w:val="20"/>
          <w:szCs w:val="21"/>
          <w14:textFill>
            <w14:solidFill>
              <w14:schemeClr w14:val="tx1"/>
            </w14:solidFill>
          </w14:textFill>
        </w:rPr>
        <w:t>供应商公章</w:t>
      </w:r>
      <w:r>
        <w:rPr>
          <w:rFonts w:ascii="Arial" w:hAnsi="Arial" w:cs="Arial"/>
          <w:color w:val="000000" w:themeColor="text1"/>
          <w:szCs w:val="21"/>
          <w14:textFill>
            <w14:solidFill>
              <w14:schemeClr w14:val="tx1"/>
            </w14:solidFill>
          </w14:textFill>
        </w:rPr>
        <w:t>（CA签章）</w:t>
      </w:r>
      <w:r>
        <w:rPr>
          <w:rFonts w:ascii="Arial" w:hAnsi="Arial" w:cs="Arial"/>
          <w:color w:val="000000" w:themeColor="text1"/>
          <w:spacing w:val="20"/>
          <w:szCs w:val="21"/>
          <w14:textFill>
            <w14:solidFill>
              <w14:schemeClr w14:val="tx1"/>
            </w14:solidFill>
          </w14:textFill>
        </w:rPr>
        <w:t>：</w:t>
      </w:r>
    </w:p>
    <w:p w14:paraId="702DFB61">
      <w:pPr>
        <w:snapToGrid w:val="0"/>
        <w:spacing w:before="50" w:after="120" w:afterLines="50"/>
        <w:jc w:val="left"/>
        <w:rPr>
          <w:rFonts w:ascii="Arial" w:hAnsi="Arial" w:cs="Arial"/>
          <w:strike/>
          <w:color w:val="000000" w:themeColor="text1"/>
          <w:szCs w:val="21"/>
          <w14:textFill>
            <w14:solidFill>
              <w14:schemeClr w14:val="tx1"/>
            </w14:solidFill>
          </w14:textFill>
        </w:rPr>
      </w:pPr>
      <w:r>
        <w:rPr>
          <w:rFonts w:ascii="Arial" w:hAnsi="Arial" w:cs="Arial"/>
          <w:color w:val="000000" w:themeColor="text1"/>
          <w:spacing w:val="20"/>
          <w:szCs w:val="21"/>
          <w14:textFill>
            <w14:solidFill>
              <w14:schemeClr w14:val="tx1"/>
            </w14:solidFill>
          </w14:textFill>
        </w:rPr>
        <w:t>日  期：</w:t>
      </w:r>
    </w:p>
    <w:p w14:paraId="59D8209A">
      <w:pPr>
        <w:snapToGrid w:val="0"/>
        <w:spacing w:before="50" w:after="120" w:afterLines="50" w:line="440" w:lineRule="exact"/>
        <w:jc w:val="left"/>
        <w:rPr>
          <w:rFonts w:ascii="Arial" w:hAnsi="Arial" w:cs="Arial"/>
          <w:strike/>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2．售后服务机构概况</w:t>
      </w:r>
    </w:p>
    <w:tbl>
      <w:tblPr>
        <w:tblStyle w:val="54"/>
        <w:tblW w:w="739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54"/>
        <w:gridCol w:w="1439"/>
        <w:gridCol w:w="194"/>
        <w:gridCol w:w="1458"/>
        <w:gridCol w:w="899"/>
        <w:gridCol w:w="1455"/>
      </w:tblGrid>
      <w:tr w14:paraId="034189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exact"/>
          <w:jc w:val="center"/>
        </w:trPr>
        <w:tc>
          <w:tcPr>
            <w:tcW w:w="1954" w:type="dxa"/>
            <w:tcBorders>
              <w:top w:val="single" w:color="auto" w:sz="4" w:space="0"/>
              <w:left w:val="single" w:color="auto" w:sz="4" w:space="0"/>
              <w:bottom w:val="single" w:color="auto" w:sz="4" w:space="0"/>
              <w:right w:val="single" w:color="auto" w:sz="4" w:space="0"/>
            </w:tcBorders>
          </w:tcPr>
          <w:p w14:paraId="23A1B234">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售后服务机构名称</w:t>
            </w:r>
          </w:p>
        </w:tc>
        <w:tc>
          <w:tcPr>
            <w:tcW w:w="5445" w:type="dxa"/>
            <w:gridSpan w:val="5"/>
            <w:tcBorders>
              <w:top w:val="single" w:color="auto" w:sz="4" w:space="0"/>
              <w:left w:val="single" w:color="auto" w:sz="4" w:space="0"/>
              <w:bottom w:val="single" w:color="auto" w:sz="4" w:space="0"/>
              <w:right w:val="single" w:color="auto" w:sz="4" w:space="0"/>
            </w:tcBorders>
          </w:tcPr>
          <w:p w14:paraId="76DC88C7">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r w14:paraId="6E5A62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exact"/>
          <w:jc w:val="center"/>
        </w:trPr>
        <w:tc>
          <w:tcPr>
            <w:tcW w:w="1954" w:type="dxa"/>
            <w:tcBorders>
              <w:top w:val="single" w:color="auto" w:sz="4" w:space="0"/>
              <w:left w:val="single" w:color="auto" w:sz="4" w:space="0"/>
              <w:bottom w:val="single" w:color="auto" w:sz="4" w:space="0"/>
              <w:right w:val="single" w:color="auto" w:sz="4" w:space="0"/>
            </w:tcBorders>
          </w:tcPr>
          <w:p w14:paraId="6459F6A2">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地址</w:t>
            </w:r>
          </w:p>
        </w:tc>
        <w:tc>
          <w:tcPr>
            <w:tcW w:w="5445" w:type="dxa"/>
            <w:gridSpan w:val="5"/>
            <w:tcBorders>
              <w:top w:val="single" w:color="auto" w:sz="4" w:space="0"/>
              <w:left w:val="single" w:color="auto" w:sz="4" w:space="0"/>
              <w:bottom w:val="single" w:color="auto" w:sz="4" w:space="0"/>
              <w:right w:val="single" w:color="auto" w:sz="4" w:space="0"/>
            </w:tcBorders>
          </w:tcPr>
          <w:p w14:paraId="6F68C62F">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r w14:paraId="20E6BC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00" w:hRule="exact"/>
          <w:jc w:val="center"/>
        </w:trPr>
        <w:tc>
          <w:tcPr>
            <w:tcW w:w="1954" w:type="dxa"/>
            <w:tcBorders>
              <w:top w:val="single" w:color="auto" w:sz="4" w:space="0"/>
              <w:left w:val="single" w:color="auto" w:sz="4" w:space="0"/>
              <w:bottom w:val="single" w:color="auto" w:sz="4" w:space="0"/>
              <w:right w:val="single" w:color="auto" w:sz="4" w:space="0"/>
            </w:tcBorders>
          </w:tcPr>
          <w:p w14:paraId="0CA42C6F">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注册资本金</w:t>
            </w:r>
          </w:p>
        </w:tc>
        <w:tc>
          <w:tcPr>
            <w:tcW w:w="1439" w:type="dxa"/>
            <w:tcBorders>
              <w:top w:val="single" w:color="auto" w:sz="4" w:space="0"/>
              <w:left w:val="single" w:color="auto" w:sz="4" w:space="0"/>
              <w:bottom w:val="single" w:color="auto" w:sz="4" w:space="0"/>
              <w:right w:val="single" w:color="auto" w:sz="4" w:space="0"/>
            </w:tcBorders>
          </w:tcPr>
          <w:p w14:paraId="163ADC8E">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2551" w:type="dxa"/>
            <w:gridSpan w:val="3"/>
            <w:tcBorders>
              <w:top w:val="single" w:color="auto" w:sz="4" w:space="0"/>
              <w:left w:val="single" w:color="auto" w:sz="4" w:space="0"/>
              <w:bottom w:val="single" w:color="auto" w:sz="4" w:space="0"/>
              <w:right w:val="single" w:color="auto" w:sz="4" w:space="0"/>
            </w:tcBorders>
          </w:tcPr>
          <w:p w14:paraId="3E32E294">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其中：供应商出资比例</w:t>
            </w:r>
          </w:p>
        </w:tc>
        <w:tc>
          <w:tcPr>
            <w:tcW w:w="1455" w:type="dxa"/>
            <w:tcBorders>
              <w:top w:val="single" w:color="auto" w:sz="4" w:space="0"/>
              <w:left w:val="single" w:color="auto" w:sz="4" w:space="0"/>
              <w:bottom w:val="single" w:color="auto" w:sz="4" w:space="0"/>
              <w:right w:val="single" w:color="auto" w:sz="4" w:space="0"/>
            </w:tcBorders>
          </w:tcPr>
          <w:p w14:paraId="36FF21EE">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r w14:paraId="78D0B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exact"/>
          <w:jc w:val="center"/>
        </w:trPr>
        <w:tc>
          <w:tcPr>
            <w:tcW w:w="1954" w:type="dxa"/>
            <w:tcBorders>
              <w:top w:val="single" w:color="auto" w:sz="4" w:space="0"/>
              <w:left w:val="single" w:color="auto" w:sz="4" w:space="0"/>
              <w:bottom w:val="single" w:color="auto" w:sz="4" w:space="0"/>
              <w:right w:val="single" w:color="auto" w:sz="4" w:space="0"/>
            </w:tcBorders>
          </w:tcPr>
          <w:p w14:paraId="6DA2F9D0">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员工总人数</w:t>
            </w:r>
          </w:p>
        </w:tc>
        <w:tc>
          <w:tcPr>
            <w:tcW w:w="1439" w:type="dxa"/>
            <w:tcBorders>
              <w:top w:val="single" w:color="auto" w:sz="4" w:space="0"/>
              <w:left w:val="single" w:color="auto" w:sz="4" w:space="0"/>
              <w:bottom w:val="single" w:color="auto" w:sz="4" w:space="0"/>
              <w:right w:val="single" w:color="auto" w:sz="4" w:space="0"/>
            </w:tcBorders>
          </w:tcPr>
          <w:p w14:paraId="38576B61">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2551" w:type="dxa"/>
            <w:gridSpan w:val="3"/>
            <w:tcBorders>
              <w:top w:val="single" w:color="auto" w:sz="4" w:space="0"/>
              <w:left w:val="single" w:color="auto" w:sz="4" w:space="0"/>
              <w:bottom w:val="single" w:color="auto" w:sz="4" w:space="0"/>
              <w:right w:val="single" w:color="auto" w:sz="4" w:space="0"/>
            </w:tcBorders>
          </w:tcPr>
          <w:p w14:paraId="467EC8E6">
            <w:pPr>
              <w:snapToGrid w:val="0"/>
              <w:spacing w:before="50" w:after="120" w:afterLines="50" w:line="400" w:lineRule="exact"/>
              <w:ind w:left="6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其中：技术人员数</w:t>
            </w:r>
          </w:p>
        </w:tc>
        <w:tc>
          <w:tcPr>
            <w:tcW w:w="1455" w:type="dxa"/>
            <w:tcBorders>
              <w:top w:val="single" w:color="auto" w:sz="4" w:space="0"/>
              <w:left w:val="single" w:color="auto" w:sz="4" w:space="0"/>
              <w:bottom w:val="single" w:color="auto" w:sz="4" w:space="0"/>
              <w:right w:val="single" w:color="auto" w:sz="4" w:space="0"/>
            </w:tcBorders>
          </w:tcPr>
          <w:p w14:paraId="77A8F807">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r w14:paraId="2B4E54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exact"/>
          <w:jc w:val="center"/>
        </w:trPr>
        <w:tc>
          <w:tcPr>
            <w:tcW w:w="1954" w:type="dxa"/>
            <w:tcBorders>
              <w:top w:val="single" w:color="auto" w:sz="4" w:space="0"/>
              <w:left w:val="single" w:color="auto" w:sz="4" w:space="0"/>
              <w:bottom w:val="single" w:color="auto" w:sz="4" w:space="0"/>
              <w:right w:val="single" w:color="auto" w:sz="4" w:space="0"/>
            </w:tcBorders>
          </w:tcPr>
          <w:p w14:paraId="0873AD72">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经营期限</w:t>
            </w:r>
          </w:p>
        </w:tc>
        <w:tc>
          <w:tcPr>
            <w:tcW w:w="5445" w:type="dxa"/>
            <w:gridSpan w:val="5"/>
            <w:tcBorders>
              <w:top w:val="single" w:color="auto" w:sz="4" w:space="0"/>
              <w:left w:val="single" w:color="auto" w:sz="4" w:space="0"/>
              <w:bottom w:val="single" w:color="auto" w:sz="4" w:space="0"/>
              <w:right w:val="single" w:color="auto" w:sz="4" w:space="0"/>
            </w:tcBorders>
          </w:tcPr>
          <w:p w14:paraId="792CF2EC">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r w14:paraId="0F1ED8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exact"/>
          <w:jc w:val="center"/>
        </w:trPr>
        <w:tc>
          <w:tcPr>
            <w:tcW w:w="1954" w:type="dxa"/>
            <w:tcBorders>
              <w:top w:val="single" w:color="auto" w:sz="4" w:space="0"/>
              <w:left w:val="single" w:color="auto" w:sz="4" w:space="0"/>
              <w:bottom w:val="single" w:color="auto" w:sz="4" w:space="0"/>
              <w:right w:val="single" w:color="auto" w:sz="4" w:space="0"/>
            </w:tcBorders>
          </w:tcPr>
          <w:p w14:paraId="60215EAE">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售后服务协议</w:t>
            </w:r>
          </w:p>
        </w:tc>
        <w:tc>
          <w:tcPr>
            <w:tcW w:w="5445" w:type="dxa"/>
            <w:gridSpan w:val="5"/>
            <w:tcBorders>
              <w:top w:val="single" w:color="auto" w:sz="4" w:space="0"/>
              <w:left w:val="single" w:color="auto" w:sz="4" w:space="0"/>
              <w:bottom w:val="single" w:color="auto" w:sz="4" w:space="0"/>
              <w:right w:val="single" w:color="auto" w:sz="4" w:space="0"/>
            </w:tcBorders>
          </w:tcPr>
          <w:p w14:paraId="254B6488">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r w14:paraId="632AF9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00" w:hRule="exact"/>
          <w:jc w:val="center"/>
        </w:trPr>
        <w:tc>
          <w:tcPr>
            <w:tcW w:w="1954" w:type="dxa"/>
            <w:tcBorders>
              <w:top w:val="single" w:color="auto" w:sz="4" w:space="0"/>
              <w:left w:val="single" w:color="auto" w:sz="4" w:space="0"/>
              <w:bottom w:val="single" w:color="auto" w:sz="4" w:space="0"/>
              <w:right w:val="single" w:color="auto" w:sz="4" w:space="0"/>
            </w:tcBorders>
          </w:tcPr>
          <w:p w14:paraId="4267323A">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售后服务内容</w:t>
            </w:r>
          </w:p>
        </w:tc>
        <w:tc>
          <w:tcPr>
            <w:tcW w:w="5445" w:type="dxa"/>
            <w:gridSpan w:val="5"/>
            <w:tcBorders>
              <w:top w:val="single" w:color="auto" w:sz="4" w:space="0"/>
              <w:left w:val="single" w:color="auto" w:sz="4" w:space="0"/>
              <w:bottom w:val="single" w:color="auto" w:sz="4" w:space="0"/>
              <w:right w:val="single" w:color="auto" w:sz="4" w:space="0"/>
            </w:tcBorders>
          </w:tcPr>
          <w:p w14:paraId="0459EC38">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r w14:paraId="7FA575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00" w:hRule="exact"/>
          <w:jc w:val="center"/>
        </w:trPr>
        <w:tc>
          <w:tcPr>
            <w:tcW w:w="1954" w:type="dxa"/>
            <w:tcBorders>
              <w:top w:val="single" w:color="auto" w:sz="4" w:space="0"/>
              <w:left w:val="single" w:color="auto" w:sz="4" w:space="0"/>
              <w:bottom w:val="single" w:color="auto" w:sz="4" w:space="0"/>
              <w:right w:val="single" w:color="auto" w:sz="4" w:space="0"/>
            </w:tcBorders>
          </w:tcPr>
          <w:p w14:paraId="1F4C66C4">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工作业绩</w:t>
            </w:r>
          </w:p>
        </w:tc>
        <w:tc>
          <w:tcPr>
            <w:tcW w:w="5445" w:type="dxa"/>
            <w:gridSpan w:val="5"/>
            <w:tcBorders>
              <w:top w:val="single" w:color="auto" w:sz="4" w:space="0"/>
              <w:left w:val="single" w:color="auto" w:sz="4" w:space="0"/>
              <w:bottom w:val="single" w:color="auto" w:sz="4" w:space="0"/>
              <w:right w:val="single" w:color="auto" w:sz="4" w:space="0"/>
            </w:tcBorders>
          </w:tcPr>
          <w:p w14:paraId="321A44D3">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r w14:paraId="05453B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exact"/>
          <w:jc w:val="center"/>
        </w:trPr>
        <w:tc>
          <w:tcPr>
            <w:tcW w:w="1954" w:type="dxa"/>
            <w:tcBorders>
              <w:top w:val="single" w:color="auto" w:sz="4" w:space="0"/>
              <w:left w:val="single" w:color="auto" w:sz="4" w:space="0"/>
              <w:bottom w:val="single" w:color="auto" w:sz="4" w:space="0"/>
              <w:right w:val="single" w:color="auto" w:sz="4" w:space="0"/>
            </w:tcBorders>
          </w:tcPr>
          <w:p w14:paraId="3D390045">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服务承诺</w:t>
            </w:r>
          </w:p>
        </w:tc>
        <w:tc>
          <w:tcPr>
            <w:tcW w:w="5445" w:type="dxa"/>
            <w:gridSpan w:val="5"/>
            <w:tcBorders>
              <w:top w:val="single" w:color="auto" w:sz="4" w:space="0"/>
              <w:left w:val="single" w:color="auto" w:sz="4" w:space="0"/>
              <w:bottom w:val="single" w:color="auto" w:sz="4" w:space="0"/>
              <w:right w:val="single" w:color="auto" w:sz="4" w:space="0"/>
            </w:tcBorders>
          </w:tcPr>
          <w:p w14:paraId="3B2D2F3D">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r w14:paraId="7F6605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0" w:hRule="exact"/>
          <w:jc w:val="center"/>
        </w:trPr>
        <w:tc>
          <w:tcPr>
            <w:tcW w:w="1954" w:type="dxa"/>
            <w:tcBorders>
              <w:top w:val="single" w:color="auto" w:sz="4" w:space="0"/>
              <w:left w:val="single" w:color="auto" w:sz="4" w:space="0"/>
              <w:bottom w:val="single" w:color="auto" w:sz="4" w:space="0"/>
              <w:right w:val="single" w:color="auto" w:sz="4" w:space="0"/>
            </w:tcBorders>
          </w:tcPr>
          <w:p w14:paraId="6D473759">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业务咨询电话</w:t>
            </w:r>
          </w:p>
        </w:tc>
        <w:tc>
          <w:tcPr>
            <w:tcW w:w="1633" w:type="dxa"/>
            <w:gridSpan w:val="2"/>
            <w:tcBorders>
              <w:top w:val="single" w:color="auto" w:sz="4" w:space="0"/>
              <w:left w:val="single" w:color="auto" w:sz="4" w:space="0"/>
              <w:bottom w:val="single" w:color="auto" w:sz="4" w:space="0"/>
              <w:right w:val="single" w:color="auto" w:sz="2" w:space="0"/>
            </w:tcBorders>
          </w:tcPr>
          <w:p w14:paraId="0374A53C">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1458" w:type="dxa"/>
            <w:tcBorders>
              <w:top w:val="single" w:color="auto" w:sz="4" w:space="0"/>
              <w:left w:val="single" w:color="auto" w:sz="2" w:space="0"/>
              <w:bottom w:val="single" w:color="auto" w:sz="4" w:space="0"/>
              <w:right w:val="single" w:color="auto" w:sz="2" w:space="0"/>
            </w:tcBorders>
          </w:tcPr>
          <w:p w14:paraId="57C1E819">
            <w:pPr>
              <w:snapToGrid w:val="0"/>
              <w:spacing w:before="50" w:after="120" w:afterLines="50" w:line="400" w:lineRule="exact"/>
              <w:ind w:firstLine="210" w:firstLineChars="10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传 真</w:t>
            </w:r>
          </w:p>
        </w:tc>
        <w:tc>
          <w:tcPr>
            <w:tcW w:w="2354" w:type="dxa"/>
            <w:gridSpan w:val="2"/>
            <w:tcBorders>
              <w:top w:val="single" w:color="auto" w:sz="4" w:space="0"/>
              <w:left w:val="single" w:color="auto" w:sz="2" w:space="0"/>
              <w:bottom w:val="single" w:color="auto" w:sz="4" w:space="0"/>
              <w:right w:val="single" w:color="auto" w:sz="2" w:space="0"/>
            </w:tcBorders>
          </w:tcPr>
          <w:p w14:paraId="2AEE4157">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r w14:paraId="5053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09" w:hRule="exact"/>
          <w:jc w:val="center"/>
        </w:trPr>
        <w:tc>
          <w:tcPr>
            <w:tcW w:w="1954" w:type="dxa"/>
            <w:tcBorders>
              <w:top w:val="single" w:color="auto" w:sz="4" w:space="0"/>
              <w:left w:val="single" w:color="auto" w:sz="4" w:space="0"/>
              <w:bottom w:val="single" w:color="auto" w:sz="4" w:space="0"/>
              <w:right w:val="single" w:color="auto" w:sz="4" w:space="0"/>
            </w:tcBorders>
          </w:tcPr>
          <w:p w14:paraId="0C06CB19">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负责人</w:t>
            </w:r>
          </w:p>
        </w:tc>
        <w:tc>
          <w:tcPr>
            <w:tcW w:w="1633" w:type="dxa"/>
            <w:gridSpan w:val="2"/>
            <w:tcBorders>
              <w:top w:val="single" w:color="auto" w:sz="4" w:space="0"/>
              <w:left w:val="single" w:color="auto" w:sz="4" w:space="0"/>
              <w:bottom w:val="single" w:color="auto" w:sz="4" w:space="0"/>
              <w:right w:val="single" w:color="auto" w:sz="2" w:space="0"/>
            </w:tcBorders>
          </w:tcPr>
          <w:p w14:paraId="556D2A73">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1458" w:type="dxa"/>
            <w:tcBorders>
              <w:top w:val="single" w:color="auto" w:sz="4" w:space="0"/>
              <w:left w:val="single" w:color="auto" w:sz="2" w:space="0"/>
              <w:bottom w:val="single" w:color="auto" w:sz="4" w:space="0"/>
              <w:right w:val="single" w:color="auto" w:sz="2" w:space="0"/>
            </w:tcBorders>
          </w:tcPr>
          <w:p w14:paraId="349B3A6D">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联系电话</w:t>
            </w:r>
          </w:p>
        </w:tc>
        <w:tc>
          <w:tcPr>
            <w:tcW w:w="2354" w:type="dxa"/>
            <w:gridSpan w:val="2"/>
            <w:tcBorders>
              <w:top w:val="single" w:color="auto" w:sz="4" w:space="0"/>
              <w:left w:val="single" w:color="auto" w:sz="2" w:space="0"/>
              <w:bottom w:val="single" w:color="auto" w:sz="4" w:space="0"/>
              <w:right w:val="single" w:color="auto" w:sz="4" w:space="0"/>
            </w:tcBorders>
          </w:tcPr>
          <w:p w14:paraId="5D49FA82">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bl>
    <w:p w14:paraId="74BF8D94">
      <w:pPr>
        <w:pStyle w:val="16"/>
        <w:snapToGrid w:val="0"/>
        <w:ind w:firstLine="630" w:firstLineChars="300"/>
        <w:rPr>
          <w:rFonts w:eastAsia="宋体"/>
          <w:color w:val="000000" w:themeColor="text1"/>
          <w:sz w:val="21"/>
          <w:szCs w:val="21"/>
          <w:u w:val="single"/>
          <w14:textFill>
            <w14:solidFill>
              <w14:schemeClr w14:val="tx1"/>
            </w14:solidFill>
          </w14:textFill>
        </w:rPr>
      </w:pPr>
      <w:r>
        <w:rPr>
          <w:rFonts w:eastAsia="宋体"/>
          <w:color w:val="000000" w:themeColor="text1"/>
          <w:sz w:val="21"/>
          <w:szCs w:val="21"/>
          <w14:textFill>
            <w14:solidFill>
              <w14:schemeClr w14:val="tx1"/>
            </w14:solidFill>
          </w14:textFill>
        </w:rPr>
        <w:t>法定代表人或授权代表签字或个人CA签章：</w:t>
      </w:r>
      <w:r>
        <w:rPr>
          <w:rFonts w:eastAsia="宋体"/>
          <w:color w:val="000000" w:themeColor="text1"/>
          <w:sz w:val="21"/>
          <w:szCs w:val="21"/>
          <w:u w:val="single"/>
          <w14:textFill>
            <w14:solidFill>
              <w14:schemeClr w14:val="tx1"/>
            </w14:solidFill>
          </w14:textFill>
        </w:rPr>
        <w:t>　　　　　</w:t>
      </w:r>
    </w:p>
    <w:p w14:paraId="720886B8">
      <w:pPr>
        <w:pStyle w:val="21"/>
        <w:snapToGrid w:val="0"/>
        <w:ind w:left="1260" w:hanging="420"/>
        <w:rPr>
          <w:rFonts w:ascii="Arial" w:hAnsi="Arial" w:cs="Arial"/>
          <w:color w:val="000000" w:themeColor="text1"/>
          <w:sz w:val="21"/>
          <w:szCs w:val="21"/>
          <w14:textFill>
            <w14:solidFill>
              <w14:schemeClr w14:val="tx1"/>
            </w14:solidFill>
          </w14:textFill>
        </w:rPr>
      </w:pPr>
      <w:r>
        <w:rPr>
          <w:rFonts w:ascii="Arial" w:hAnsi="Arial" w:cs="Arial"/>
          <w:color w:val="000000" w:themeColor="text1"/>
          <w:sz w:val="21"/>
          <w:szCs w:val="21"/>
          <w14:textFill>
            <w14:solidFill>
              <w14:schemeClr w14:val="tx1"/>
            </w14:solidFill>
          </w14:textFill>
        </w:rPr>
        <w:t>供应商公章（CA签章）： 　 年  月　 日</w:t>
      </w:r>
    </w:p>
    <w:p w14:paraId="7A653C99">
      <w:pPr>
        <w:snapToGrid w:val="0"/>
        <w:spacing w:before="50" w:after="120" w:afterLines="50" w:line="440" w:lineRule="exact"/>
        <w:jc w:val="left"/>
        <w:rPr>
          <w:rFonts w:ascii="Arial" w:hAnsi="Arial" w:cs="Arial"/>
          <w:color w:val="000000" w:themeColor="text1"/>
          <w:szCs w:val="21"/>
          <w14:textFill>
            <w14:solidFill>
              <w14:schemeClr w14:val="tx1"/>
            </w14:solidFill>
          </w14:textFill>
        </w:rPr>
      </w:pPr>
    </w:p>
    <w:p w14:paraId="48567CC7">
      <w:pPr>
        <w:snapToGrid w:val="0"/>
        <w:spacing w:before="50" w:after="120" w:afterLines="50" w:line="440" w:lineRule="exact"/>
        <w:jc w:val="left"/>
        <w:rPr>
          <w:rFonts w:ascii="Arial" w:hAnsi="Arial" w:cs="Arial"/>
          <w:color w:val="000000" w:themeColor="text1"/>
          <w:spacing w:val="20"/>
          <w:szCs w:val="21"/>
          <w:u w:val="single"/>
          <w14:textFill>
            <w14:solidFill>
              <w14:schemeClr w14:val="tx1"/>
            </w14:solidFill>
          </w14:textFill>
        </w:rPr>
      </w:pPr>
      <w:r>
        <w:rPr>
          <w:rFonts w:ascii="Arial" w:hAnsi="Arial" w:cs="Arial"/>
          <w:color w:val="000000" w:themeColor="text1"/>
          <w:szCs w:val="21"/>
          <w14:textFill>
            <w14:solidFill>
              <w14:schemeClr w14:val="tx1"/>
            </w14:solidFill>
          </w14:textFill>
        </w:rPr>
        <w:t>3．售后服务方案（如有，供应商自行编写）</w:t>
      </w:r>
    </w:p>
    <w:p w14:paraId="0260E042">
      <w:pPr>
        <w:snapToGrid w:val="0"/>
        <w:spacing w:before="50" w:after="120" w:afterLines="50" w:line="440" w:lineRule="exact"/>
        <w:jc w:val="left"/>
        <w:rPr>
          <w:rFonts w:ascii="Arial" w:hAnsi="Arial" w:cs="Arial"/>
          <w:color w:val="000000" w:themeColor="text1"/>
          <w:spacing w:val="20"/>
          <w:szCs w:val="21"/>
          <w:u w:val="single"/>
          <w14:textFill>
            <w14:solidFill>
              <w14:schemeClr w14:val="tx1"/>
            </w14:solidFill>
          </w14:textFill>
        </w:rPr>
        <w:sectPr>
          <w:headerReference r:id="rId14" w:type="first"/>
          <w:headerReference r:id="rId13" w:type="default"/>
          <w:footerReference r:id="rId15" w:type="default"/>
          <w:pgSz w:w="11906" w:h="16838"/>
          <w:pgMar w:top="1418" w:right="1028" w:bottom="1246" w:left="1418" w:header="851" w:footer="992" w:gutter="0"/>
          <w:cols w:space="720" w:num="1"/>
          <w:docGrid w:linePitch="312" w:charSpace="0"/>
        </w:sectPr>
      </w:pPr>
    </w:p>
    <w:p w14:paraId="5699DF35">
      <w:pPr>
        <w:snapToGrid w:val="0"/>
        <w:spacing w:before="50" w:after="120" w:afterLines="50"/>
        <w:jc w:val="left"/>
        <w:rPr>
          <w:rFonts w:ascii="Arial" w:hAnsi="Arial" w:cs="Arial"/>
          <w:b/>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4．近年供应商类似成功案例的业绩证明。</w:t>
      </w:r>
    </w:p>
    <w:p w14:paraId="60A41CC5">
      <w:pPr>
        <w:snapToGrid w:val="0"/>
        <w:spacing w:before="50" w:after="120" w:afterLines="50"/>
        <w:jc w:val="center"/>
        <w:rPr>
          <w:rFonts w:ascii="Arial" w:hAnsi="Arial" w:cs="Arial"/>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类似成功案例业绩一览表</w:t>
      </w:r>
    </w:p>
    <w:tbl>
      <w:tblPr>
        <w:tblStyle w:val="54"/>
        <w:tblW w:w="1416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993"/>
        <w:gridCol w:w="3895"/>
        <w:gridCol w:w="1230"/>
        <w:gridCol w:w="1230"/>
        <w:gridCol w:w="1640"/>
        <w:gridCol w:w="3181"/>
      </w:tblGrid>
      <w:tr w14:paraId="70C13D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5" w:hRule="atLeast"/>
        </w:trPr>
        <w:tc>
          <w:tcPr>
            <w:tcW w:w="2993" w:type="dxa"/>
            <w:vMerge w:val="restart"/>
            <w:tcBorders>
              <w:top w:val="single" w:color="auto" w:sz="4" w:space="0"/>
              <w:left w:val="single" w:color="auto" w:sz="4" w:space="0"/>
              <w:bottom w:val="single" w:color="auto" w:sz="4" w:space="0"/>
              <w:right w:val="single" w:color="auto" w:sz="4" w:space="0"/>
            </w:tcBorders>
            <w:vAlign w:val="center"/>
          </w:tcPr>
          <w:p w14:paraId="10ACC47A">
            <w:pPr>
              <w:snapToGrid w:val="0"/>
              <w:spacing w:line="24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采购单位名称</w:t>
            </w:r>
          </w:p>
        </w:tc>
        <w:tc>
          <w:tcPr>
            <w:tcW w:w="3895" w:type="dxa"/>
            <w:vMerge w:val="restart"/>
            <w:tcBorders>
              <w:top w:val="single" w:color="auto" w:sz="4" w:space="0"/>
              <w:left w:val="single" w:color="auto" w:sz="4" w:space="0"/>
              <w:bottom w:val="single" w:color="auto" w:sz="4" w:space="0"/>
              <w:right w:val="single" w:color="auto" w:sz="4" w:space="0"/>
            </w:tcBorders>
            <w:vAlign w:val="center"/>
          </w:tcPr>
          <w:p w14:paraId="045B283C">
            <w:pPr>
              <w:snapToGrid w:val="0"/>
              <w:spacing w:line="24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产品或项目名称</w:t>
            </w:r>
          </w:p>
        </w:tc>
        <w:tc>
          <w:tcPr>
            <w:tcW w:w="1230" w:type="dxa"/>
            <w:vMerge w:val="restart"/>
            <w:tcBorders>
              <w:top w:val="single" w:color="auto" w:sz="4" w:space="0"/>
              <w:left w:val="single" w:color="auto" w:sz="4" w:space="0"/>
              <w:bottom w:val="single" w:color="auto" w:sz="4" w:space="0"/>
              <w:right w:val="single" w:color="auto" w:sz="4" w:space="0"/>
            </w:tcBorders>
            <w:vAlign w:val="center"/>
          </w:tcPr>
          <w:p w14:paraId="52078561">
            <w:pPr>
              <w:snapToGrid w:val="0"/>
              <w:spacing w:line="24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采购</w:t>
            </w:r>
          </w:p>
          <w:p w14:paraId="23A02082">
            <w:pPr>
              <w:snapToGrid w:val="0"/>
              <w:spacing w:line="24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数量</w:t>
            </w:r>
          </w:p>
        </w:tc>
        <w:tc>
          <w:tcPr>
            <w:tcW w:w="1230" w:type="dxa"/>
            <w:vMerge w:val="restart"/>
            <w:tcBorders>
              <w:top w:val="single" w:color="auto" w:sz="4" w:space="0"/>
              <w:left w:val="single" w:color="auto" w:sz="4" w:space="0"/>
              <w:bottom w:val="single" w:color="auto" w:sz="4" w:space="0"/>
              <w:right w:val="single" w:color="auto" w:sz="4" w:space="0"/>
            </w:tcBorders>
            <w:vAlign w:val="center"/>
          </w:tcPr>
          <w:p w14:paraId="20184FDB">
            <w:pPr>
              <w:snapToGrid w:val="0"/>
              <w:spacing w:line="24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单价（元）</w:t>
            </w:r>
          </w:p>
        </w:tc>
        <w:tc>
          <w:tcPr>
            <w:tcW w:w="1640" w:type="dxa"/>
            <w:vMerge w:val="restart"/>
            <w:tcBorders>
              <w:top w:val="single" w:color="auto" w:sz="4" w:space="0"/>
              <w:left w:val="single" w:color="auto" w:sz="4" w:space="0"/>
              <w:bottom w:val="single" w:color="auto" w:sz="4" w:space="0"/>
              <w:right w:val="single" w:color="auto" w:sz="4" w:space="0"/>
            </w:tcBorders>
            <w:vAlign w:val="center"/>
          </w:tcPr>
          <w:p w14:paraId="0F5162E1">
            <w:pPr>
              <w:snapToGrid w:val="0"/>
              <w:spacing w:line="24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合同总价（元）</w:t>
            </w:r>
          </w:p>
        </w:tc>
        <w:tc>
          <w:tcPr>
            <w:tcW w:w="3181" w:type="dxa"/>
            <w:vMerge w:val="restart"/>
            <w:tcBorders>
              <w:top w:val="single" w:color="auto" w:sz="4" w:space="0"/>
              <w:left w:val="single" w:color="auto" w:sz="4" w:space="0"/>
              <w:right w:val="single" w:color="auto" w:sz="4" w:space="0"/>
            </w:tcBorders>
            <w:vAlign w:val="center"/>
          </w:tcPr>
          <w:p w14:paraId="254FAC21">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采购单位联系人及联系电话</w:t>
            </w:r>
          </w:p>
        </w:tc>
      </w:tr>
      <w:tr w14:paraId="65A022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3" w:hRule="atLeast"/>
        </w:trPr>
        <w:tc>
          <w:tcPr>
            <w:tcW w:w="2993" w:type="dxa"/>
            <w:vMerge w:val="continue"/>
            <w:tcBorders>
              <w:top w:val="single" w:color="auto" w:sz="4" w:space="0"/>
              <w:left w:val="single" w:color="auto" w:sz="4" w:space="0"/>
              <w:bottom w:val="single" w:color="auto" w:sz="4" w:space="0"/>
              <w:right w:val="single" w:color="auto" w:sz="4" w:space="0"/>
            </w:tcBorders>
            <w:vAlign w:val="center"/>
          </w:tcPr>
          <w:p w14:paraId="147616FA">
            <w:pPr>
              <w:widowControl/>
              <w:jc w:val="left"/>
              <w:rPr>
                <w:rFonts w:ascii="Arial" w:hAnsi="Arial" w:cs="Arial"/>
                <w:color w:val="000000" w:themeColor="text1"/>
                <w:szCs w:val="21"/>
                <w14:textFill>
                  <w14:solidFill>
                    <w14:schemeClr w14:val="tx1"/>
                  </w14:solidFill>
                </w14:textFill>
              </w:rPr>
            </w:pPr>
          </w:p>
        </w:tc>
        <w:tc>
          <w:tcPr>
            <w:tcW w:w="3895" w:type="dxa"/>
            <w:vMerge w:val="continue"/>
            <w:tcBorders>
              <w:top w:val="single" w:color="auto" w:sz="4" w:space="0"/>
              <w:left w:val="single" w:color="auto" w:sz="4" w:space="0"/>
              <w:bottom w:val="single" w:color="auto" w:sz="4" w:space="0"/>
              <w:right w:val="single" w:color="auto" w:sz="4" w:space="0"/>
            </w:tcBorders>
            <w:vAlign w:val="center"/>
          </w:tcPr>
          <w:p w14:paraId="6E4C5797">
            <w:pPr>
              <w:widowControl/>
              <w:jc w:val="left"/>
              <w:rPr>
                <w:rFonts w:ascii="Arial" w:hAnsi="Arial" w:cs="Arial"/>
                <w:color w:val="000000" w:themeColor="text1"/>
                <w:szCs w:val="21"/>
                <w14:textFill>
                  <w14:solidFill>
                    <w14:schemeClr w14:val="tx1"/>
                  </w14:solidFill>
                </w14:textFill>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1E9C47F2">
            <w:pPr>
              <w:widowControl/>
              <w:jc w:val="left"/>
              <w:rPr>
                <w:rFonts w:ascii="Arial" w:hAnsi="Arial" w:cs="Arial"/>
                <w:color w:val="000000" w:themeColor="text1"/>
                <w:szCs w:val="21"/>
                <w14:textFill>
                  <w14:solidFill>
                    <w14:schemeClr w14:val="tx1"/>
                  </w14:solidFill>
                </w14:textFill>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00B0165E">
            <w:pPr>
              <w:widowControl/>
              <w:jc w:val="left"/>
              <w:rPr>
                <w:rFonts w:ascii="Arial" w:hAnsi="Arial" w:cs="Arial"/>
                <w:color w:val="000000" w:themeColor="text1"/>
                <w:szCs w:val="21"/>
                <w14:textFill>
                  <w14:solidFill>
                    <w14:schemeClr w14:val="tx1"/>
                  </w14:solidFill>
                </w14:textFill>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7E19C38">
            <w:pPr>
              <w:widowControl/>
              <w:jc w:val="left"/>
              <w:rPr>
                <w:rFonts w:ascii="Arial" w:hAnsi="Arial" w:cs="Arial"/>
                <w:color w:val="000000" w:themeColor="text1"/>
                <w:szCs w:val="21"/>
                <w14:textFill>
                  <w14:solidFill>
                    <w14:schemeClr w14:val="tx1"/>
                  </w14:solidFill>
                </w14:textFill>
              </w:rPr>
            </w:pPr>
          </w:p>
        </w:tc>
        <w:tc>
          <w:tcPr>
            <w:tcW w:w="3181" w:type="dxa"/>
            <w:vMerge w:val="continue"/>
            <w:tcBorders>
              <w:left w:val="single" w:color="auto" w:sz="4" w:space="0"/>
              <w:bottom w:val="single" w:color="auto" w:sz="4" w:space="0"/>
              <w:right w:val="single" w:color="auto" w:sz="4" w:space="0"/>
            </w:tcBorders>
          </w:tcPr>
          <w:p w14:paraId="31040CF2">
            <w:pPr>
              <w:snapToGrid w:val="0"/>
              <w:spacing w:line="240" w:lineRule="exact"/>
              <w:jc w:val="center"/>
              <w:rPr>
                <w:rFonts w:ascii="Arial" w:hAnsi="Arial" w:cs="Arial"/>
                <w:strike/>
                <w:color w:val="000000" w:themeColor="text1"/>
                <w:szCs w:val="21"/>
                <w14:textFill>
                  <w14:solidFill>
                    <w14:schemeClr w14:val="tx1"/>
                  </w14:solidFill>
                </w14:textFill>
              </w:rPr>
            </w:pPr>
          </w:p>
        </w:tc>
      </w:tr>
      <w:tr w14:paraId="7A15C1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2993" w:type="dxa"/>
            <w:tcBorders>
              <w:top w:val="single" w:color="auto" w:sz="4" w:space="0"/>
              <w:left w:val="single" w:color="auto" w:sz="4" w:space="0"/>
              <w:bottom w:val="single" w:color="auto" w:sz="4" w:space="0"/>
              <w:right w:val="single" w:color="auto" w:sz="4" w:space="0"/>
            </w:tcBorders>
          </w:tcPr>
          <w:p w14:paraId="6A6BB447">
            <w:pPr>
              <w:snapToGrid w:val="0"/>
              <w:spacing w:line="240" w:lineRule="exact"/>
              <w:jc w:val="left"/>
              <w:rPr>
                <w:rFonts w:ascii="Arial" w:hAnsi="Arial" w:cs="Arial"/>
                <w:color w:val="000000" w:themeColor="text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tcPr>
          <w:p w14:paraId="455FBE00">
            <w:pPr>
              <w:snapToGrid w:val="0"/>
              <w:spacing w:line="240" w:lineRule="exact"/>
              <w:jc w:val="left"/>
              <w:rPr>
                <w:rFonts w:ascii="Arial" w:hAnsi="Arial" w:cs="Arial"/>
                <w:color w:val="000000" w:themeColor="text1"/>
                <w:szCs w:val="21"/>
                <w14:textFill>
                  <w14:solidFill>
                    <w14:schemeClr w14:val="tx1"/>
                  </w14:solidFill>
                </w14:textFill>
              </w:rPr>
            </w:pPr>
          </w:p>
        </w:tc>
        <w:tc>
          <w:tcPr>
            <w:tcW w:w="1230" w:type="dxa"/>
            <w:tcBorders>
              <w:top w:val="single" w:color="auto" w:sz="4" w:space="0"/>
              <w:left w:val="single" w:color="auto" w:sz="4" w:space="0"/>
              <w:bottom w:val="single" w:color="auto" w:sz="4" w:space="0"/>
              <w:right w:val="single" w:color="auto" w:sz="4" w:space="0"/>
            </w:tcBorders>
          </w:tcPr>
          <w:p w14:paraId="008C9C94">
            <w:pPr>
              <w:snapToGrid w:val="0"/>
              <w:spacing w:line="240" w:lineRule="exact"/>
              <w:jc w:val="left"/>
              <w:rPr>
                <w:rFonts w:ascii="Arial" w:hAnsi="Arial" w:cs="Arial"/>
                <w:color w:val="000000" w:themeColor="text1"/>
                <w:szCs w:val="21"/>
                <w14:textFill>
                  <w14:solidFill>
                    <w14:schemeClr w14:val="tx1"/>
                  </w14:solidFill>
                </w14:textFill>
              </w:rPr>
            </w:pPr>
          </w:p>
        </w:tc>
        <w:tc>
          <w:tcPr>
            <w:tcW w:w="1230" w:type="dxa"/>
            <w:tcBorders>
              <w:top w:val="single" w:color="auto" w:sz="4" w:space="0"/>
              <w:left w:val="single" w:color="auto" w:sz="4" w:space="0"/>
              <w:bottom w:val="single" w:color="auto" w:sz="4" w:space="0"/>
              <w:right w:val="single" w:color="auto" w:sz="4" w:space="0"/>
            </w:tcBorders>
          </w:tcPr>
          <w:p w14:paraId="6047360C">
            <w:pPr>
              <w:snapToGrid w:val="0"/>
              <w:spacing w:line="240" w:lineRule="exact"/>
              <w:jc w:val="left"/>
              <w:rPr>
                <w:rFonts w:ascii="Arial" w:hAnsi="Arial" w:cs="Arial"/>
                <w:color w:val="000000" w:themeColor="text1"/>
                <w:szCs w:val="21"/>
                <w14:textFill>
                  <w14:solidFill>
                    <w14:schemeClr w14:val="tx1"/>
                  </w14:solidFill>
                </w14:textFill>
              </w:rPr>
            </w:pPr>
          </w:p>
        </w:tc>
        <w:tc>
          <w:tcPr>
            <w:tcW w:w="1640" w:type="dxa"/>
            <w:tcBorders>
              <w:top w:val="single" w:color="auto" w:sz="4" w:space="0"/>
              <w:left w:val="single" w:color="auto" w:sz="4" w:space="0"/>
              <w:bottom w:val="single" w:color="auto" w:sz="4" w:space="0"/>
              <w:right w:val="single" w:color="auto" w:sz="4" w:space="0"/>
            </w:tcBorders>
          </w:tcPr>
          <w:p w14:paraId="35797218">
            <w:pPr>
              <w:snapToGrid w:val="0"/>
              <w:spacing w:line="240" w:lineRule="exact"/>
              <w:jc w:val="left"/>
              <w:rPr>
                <w:rFonts w:ascii="Arial" w:hAnsi="Arial" w:cs="Arial"/>
                <w:color w:val="000000" w:themeColor="text1"/>
                <w:szCs w:val="21"/>
                <w14:textFill>
                  <w14:solidFill>
                    <w14:schemeClr w14:val="tx1"/>
                  </w14:solidFill>
                </w14:textFill>
              </w:rPr>
            </w:pPr>
          </w:p>
        </w:tc>
        <w:tc>
          <w:tcPr>
            <w:tcW w:w="3181" w:type="dxa"/>
            <w:tcBorders>
              <w:top w:val="single" w:color="auto" w:sz="4" w:space="0"/>
              <w:left w:val="single" w:color="auto" w:sz="4" w:space="0"/>
              <w:bottom w:val="single" w:color="auto" w:sz="4" w:space="0"/>
              <w:right w:val="single" w:color="auto" w:sz="4" w:space="0"/>
            </w:tcBorders>
          </w:tcPr>
          <w:p w14:paraId="3523AF97">
            <w:pPr>
              <w:snapToGrid w:val="0"/>
              <w:spacing w:line="240" w:lineRule="exact"/>
              <w:jc w:val="left"/>
              <w:rPr>
                <w:rFonts w:ascii="Arial" w:hAnsi="Arial" w:cs="Arial"/>
                <w:color w:val="000000" w:themeColor="text1"/>
                <w:szCs w:val="21"/>
                <w14:textFill>
                  <w14:solidFill>
                    <w14:schemeClr w14:val="tx1"/>
                  </w14:solidFill>
                </w14:textFill>
              </w:rPr>
            </w:pPr>
          </w:p>
        </w:tc>
      </w:tr>
      <w:tr w14:paraId="1B7B69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2993" w:type="dxa"/>
            <w:tcBorders>
              <w:top w:val="single" w:color="auto" w:sz="4" w:space="0"/>
              <w:left w:val="single" w:color="auto" w:sz="4" w:space="0"/>
              <w:bottom w:val="single" w:color="auto" w:sz="4" w:space="0"/>
              <w:right w:val="single" w:color="auto" w:sz="4" w:space="0"/>
            </w:tcBorders>
          </w:tcPr>
          <w:p w14:paraId="1CDDF9D8">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tcPr>
          <w:p w14:paraId="133BA1D5">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1230" w:type="dxa"/>
            <w:tcBorders>
              <w:top w:val="single" w:color="auto" w:sz="4" w:space="0"/>
              <w:left w:val="single" w:color="auto" w:sz="4" w:space="0"/>
              <w:bottom w:val="single" w:color="auto" w:sz="4" w:space="0"/>
              <w:right w:val="single" w:color="auto" w:sz="4" w:space="0"/>
            </w:tcBorders>
          </w:tcPr>
          <w:p w14:paraId="129F98A9">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1230" w:type="dxa"/>
            <w:tcBorders>
              <w:top w:val="single" w:color="auto" w:sz="4" w:space="0"/>
              <w:left w:val="single" w:color="auto" w:sz="4" w:space="0"/>
              <w:bottom w:val="single" w:color="auto" w:sz="4" w:space="0"/>
              <w:right w:val="single" w:color="auto" w:sz="4" w:space="0"/>
            </w:tcBorders>
          </w:tcPr>
          <w:p w14:paraId="14908F8D">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1640" w:type="dxa"/>
            <w:tcBorders>
              <w:top w:val="single" w:color="auto" w:sz="4" w:space="0"/>
              <w:left w:val="single" w:color="auto" w:sz="4" w:space="0"/>
              <w:bottom w:val="single" w:color="auto" w:sz="4" w:space="0"/>
              <w:right w:val="single" w:color="auto" w:sz="4" w:space="0"/>
            </w:tcBorders>
          </w:tcPr>
          <w:p w14:paraId="7FB6CE46">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3181" w:type="dxa"/>
            <w:tcBorders>
              <w:top w:val="single" w:color="auto" w:sz="4" w:space="0"/>
              <w:left w:val="single" w:color="auto" w:sz="4" w:space="0"/>
              <w:bottom w:val="single" w:color="auto" w:sz="4" w:space="0"/>
              <w:right w:val="single" w:color="auto" w:sz="4" w:space="0"/>
            </w:tcBorders>
          </w:tcPr>
          <w:p w14:paraId="3D0F2FBF">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r w14:paraId="761777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993" w:type="dxa"/>
            <w:tcBorders>
              <w:top w:val="single" w:color="auto" w:sz="4" w:space="0"/>
              <w:left w:val="single" w:color="auto" w:sz="4" w:space="0"/>
              <w:bottom w:val="single" w:color="auto" w:sz="4" w:space="0"/>
              <w:right w:val="single" w:color="auto" w:sz="4" w:space="0"/>
            </w:tcBorders>
          </w:tcPr>
          <w:p w14:paraId="51E05142">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tcPr>
          <w:p w14:paraId="348C5B3F">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1230" w:type="dxa"/>
            <w:tcBorders>
              <w:top w:val="single" w:color="auto" w:sz="4" w:space="0"/>
              <w:left w:val="single" w:color="auto" w:sz="4" w:space="0"/>
              <w:bottom w:val="single" w:color="auto" w:sz="4" w:space="0"/>
              <w:right w:val="single" w:color="auto" w:sz="4" w:space="0"/>
            </w:tcBorders>
          </w:tcPr>
          <w:p w14:paraId="5C5A485A">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1230" w:type="dxa"/>
            <w:tcBorders>
              <w:top w:val="single" w:color="auto" w:sz="4" w:space="0"/>
              <w:left w:val="single" w:color="auto" w:sz="4" w:space="0"/>
              <w:bottom w:val="single" w:color="auto" w:sz="4" w:space="0"/>
              <w:right w:val="single" w:color="auto" w:sz="4" w:space="0"/>
            </w:tcBorders>
          </w:tcPr>
          <w:p w14:paraId="2F610D83">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1640" w:type="dxa"/>
            <w:tcBorders>
              <w:top w:val="single" w:color="auto" w:sz="4" w:space="0"/>
              <w:left w:val="single" w:color="auto" w:sz="4" w:space="0"/>
              <w:bottom w:val="single" w:color="auto" w:sz="4" w:space="0"/>
              <w:right w:val="single" w:color="auto" w:sz="4" w:space="0"/>
            </w:tcBorders>
          </w:tcPr>
          <w:p w14:paraId="76AA9FB4">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3181" w:type="dxa"/>
            <w:tcBorders>
              <w:top w:val="single" w:color="auto" w:sz="4" w:space="0"/>
              <w:left w:val="single" w:color="auto" w:sz="4" w:space="0"/>
              <w:bottom w:val="single" w:color="auto" w:sz="4" w:space="0"/>
              <w:right w:val="single" w:color="auto" w:sz="4" w:space="0"/>
            </w:tcBorders>
          </w:tcPr>
          <w:p w14:paraId="78BD6B8C">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r w14:paraId="7EC174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2993" w:type="dxa"/>
            <w:tcBorders>
              <w:top w:val="single" w:color="auto" w:sz="4" w:space="0"/>
              <w:left w:val="single" w:color="auto" w:sz="4" w:space="0"/>
              <w:bottom w:val="single" w:color="auto" w:sz="4" w:space="0"/>
              <w:right w:val="single" w:color="auto" w:sz="4" w:space="0"/>
            </w:tcBorders>
          </w:tcPr>
          <w:p w14:paraId="4690A79E">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tcPr>
          <w:p w14:paraId="0FC95017">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1230" w:type="dxa"/>
            <w:tcBorders>
              <w:top w:val="single" w:color="auto" w:sz="4" w:space="0"/>
              <w:left w:val="single" w:color="auto" w:sz="4" w:space="0"/>
              <w:bottom w:val="single" w:color="auto" w:sz="4" w:space="0"/>
              <w:right w:val="single" w:color="auto" w:sz="4" w:space="0"/>
            </w:tcBorders>
          </w:tcPr>
          <w:p w14:paraId="6201E1F5">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1230" w:type="dxa"/>
            <w:tcBorders>
              <w:top w:val="single" w:color="auto" w:sz="4" w:space="0"/>
              <w:left w:val="single" w:color="auto" w:sz="4" w:space="0"/>
              <w:bottom w:val="single" w:color="auto" w:sz="4" w:space="0"/>
              <w:right w:val="single" w:color="auto" w:sz="4" w:space="0"/>
            </w:tcBorders>
          </w:tcPr>
          <w:p w14:paraId="7B020438">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1640" w:type="dxa"/>
            <w:tcBorders>
              <w:top w:val="single" w:color="auto" w:sz="4" w:space="0"/>
              <w:left w:val="single" w:color="auto" w:sz="4" w:space="0"/>
              <w:bottom w:val="single" w:color="auto" w:sz="4" w:space="0"/>
              <w:right w:val="single" w:color="auto" w:sz="4" w:space="0"/>
            </w:tcBorders>
          </w:tcPr>
          <w:p w14:paraId="4D2E409B">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3181" w:type="dxa"/>
            <w:tcBorders>
              <w:top w:val="single" w:color="auto" w:sz="4" w:space="0"/>
              <w:left w:val="single" w:color="auto" w:sz="4" w:space="0"/>
              <w:bottom w:val="single" w:color="auto" w:sz="4" w:space="0"/>
              <w:right w:val="single" w:color="auto" w:sz="4" w:space="0"/>
            </w:tcBorders>
          </w:tcPr>
          <w:p w14:paraId="3A5C9CD9">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r w14:paraId="038BB8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2993" w:type="dxa"/>
            <w:tcBorders>
              <w:top w:val="single" w:color="auto" w:sz="4" w:space="0"/>
              <w:left w:val="single" w:color="auto" w:sz="4" w:space="0"/>
              <w:bottom w:val="single" w:color="auto" w:sz="4" w:space="0"/>
              <w:right w:val="single" w:color="auto" w:sz="4" w:space="0"/>
            </w:tcBorders>
          </w:tcPr>
          <w:p w14:paraId="42970F1B">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tcPr>
          <w:p w14:paraId="49C25C99">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1230" w:type="dxa"/>
            <w:tcBorders>
              <w:top w:val="single" w:color="auto" w:sz="4" w:space="0"/>
              <w:left w:val="single" w:color="auto" w:sz="4" w:space="0"/>
              <w:bottom w:val="single" w:color="auto" w:sz="4" w:space="0"/>
              <w:right w:val="single" w:color="auto" w:sz="4" w:space="0"/>
            </w:tcBorders>
          </w:tcPr>
          <w:p w14:paraId="2D4CFFA3">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1230" w:type="dxa"/>
            <w:tcBorders>
              <w:top w:val="single" w:color="auto" w:sz="4" w:space="0"/>
              <w:left w:val="single" w:color="auto" w:sz="4" w:space="0"/>
              <w:bottom w:val="single" w:color="auto" w:sz="4" w:space="0"/>
              <w:right w:val="single" w:color="auto" w:sz="4" w:space="0"/>
            </w:tcBorders>
          </w:tcPr>
          <w:p w14:paraId="2A80C2C6">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1640" w:type="dxa"/>
            <w:tcBorders>
              <w:top w:val="single" w:color="auto" w:sz="4" w:space="0"/>
              <w:left w:val="single" w:color="auto" w:sz="4" w:space="0"/>
              <w:bottom w:val="single" w:color="auto" w:sz="4" w:space="0"/>
              <w:right w:val="single" w:color="auto" w:sz="4" w:space="0"/>
            </w:tcBorders>
          </w:tcPr>
          <w:p w14:paraId="37629767">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c>
          <w:tcPr>
            <w:tcW w:w="3181" w:type="dxa"/>
            <w:tcBorders>
              <w:top w:val="single" w:color="auto" w:sz="4" w:space="0"/>
              <w:left w:val="single" w:color="auto" w:sz="4" w:space="0"/>
              <w:bottom w:val="single" w:color="auto" w:sz="4" w:space="0"/>
              <w:right w:val="single" w:color="auto" w:sz="4" w:space="0"/>
            </w:tcBorders>
          </w:tcPr>
          <w:p w14:paraId="16B1E2BB">
            <w:pPr>
              <w:snapToGrid w:val="0"/>
              <w:spacing w:before="50" w:after="120" w:afterLines="50" w:line="400" w:lineRule="exact"/>
              <w:jc w:val="left"/>
              <w:rPr>
                <w:rFonts w:ascii="Arial" w:hAnsi="Arial" w:cs="Arial"/>
                <w:color w:val="000000" w:themeColor="text1"/>
                <w:szCs w:val="21"/>
                <w14:textFill>
                  <w14:solidFill>
                    <w14:schemeClr w14:val="tx1"/>
                  </w14:solidFill>
                </w14:textFill>
              </w:rPr>
            </w:pPr>
          </w:p>
        </w:tc>
      </w:tr>
    </w:tbl>
    <w:p w14:paraId="398033CA">
      <w:pPr>
        <w:pStyle w:val="16"/>
        <w:snapToGrid w:val="0"/>
        <w:rPr>
          <w:rFonts w:eastAsia="宋体"/>
          <w:color w:val="000000" w:themeColor="text1"/>
          <w:sz w:val="21"/>
          <w:szCs w:val="21"/>
          <w14:textFill>
            <w14:solidFill>
              <w14:schemeClr w14:val="tx1"/>
            </w14:solidFill>
          </w14:textFill>
        </w:rPr>
      </w:pPr>
      <w:r>
        <w:rPr>
          <w:rFonts w:eastAsia="宋体"/>
          <w:color w:val="000000" w:themeColor="text1"/>
          <w:sz w:val="21"/>
          <w:szCs w:val="21"/>
          <w14:textFill>
            <w14:solidFill>
              <w14:schemeClr w14:val="tx1"/>
            </w14:solidFill>
          </w14:textFill>
        </w:rPr>
        <w:t>注：</w:t>
      </w:r>
      <w:bookmarkStart w:id="171" w:name="_Hlk19049505"/>
      <w:r>
        <w:rPr>
          <w:rFonts w:eastAsia="宋体"/>
          <w:color w:val="000000" w:themeColor="text1"/>
          <w:sz w:val="21"/>
          <w:szCs w:val="21"/>
          <w14:textFill>
            <w14:solidFill>
              <w14:schemeClr w14:val="tx1"/>
            </w14:solidFill>
          </w14:textFill>
        </w:rPr>
        <w:t>本表可拓展并逐页签字及盖章。</w:t>
      </w:r>
      <w:bookmarkEnd w:id="171"/>
    </w:p>
    <w:p w14:paraId="30773898">
      <w:pPr>
        <w:pStyle w:val="16"/>
        <w:snapToGrid w:val="0"/>
        <w:rPr>
          <w:rFonts w:eastAsia="宋体"/>
          <w:color w:val="000000" w:themeColor="text1"/>
          <w:sz w:val="21"/>
          <w:szCs w:val="21"/>
          <w:u w:val="single"/>
          <w14:textFill>
            <w14:solidFill>
              <w14:schemeClr w14:val="tx1"/>
            </w14:solidFill>
          </w14:textFill>
        </w:rPr>
      </w:pPr>
      <w:r>
        <w:rPr>
          <w:rFonts w:eastAsia="宋体"/>
          <w:color w:val="000000" w:themeColor="text1"/>
          <w:sz w:val="21"/>
          <w:szCs w:val="21"/>
          <w14:textFill>
            <w14:solidFill>
              <w14:schemeClr w14:val="tx1"/>
            </w14:solidFill>
          </w14:textFill>
        </w:rPr>
        <w:t>法定代表人或授权代表签字或个人CA签章：</w:t>
      </w:r>
      <w:r>
        <w:rPr>
          <w:rFonts w:eastAsia="宋体"/>
          <w:color w:val="000000" w:themeColor="text1"/>
          <w:sz w:val="21"/>
          <w:szCs w:val="21"/>
          <w:u w:val="single"/>
          <w14:textFill>
            <w14:solidFill>
              <w14:schemeClr w14:val="tx1"/>
            </w14:solidFill>
          </w14:textFill>
        </w:rPr>
        <w:t>　　　　　</w:t>
      </w:r>
    </w:p>
    <w:p w14:paraId="1ED20904">
      <w:pPr>
        <w:snapToGrid w:val="0"/>
        <w:spacing w:before="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供应商公章（CA签章）：   年   月   日</w:t>
      </w:r>
    </w:p>
    <w:p w14:paraId="1AF99832">
      <w:pPr>
        <w:snapToGrid w:val="0"/>
        <w:spacing w:before="50"/>
        <w:jc w:val="left"/>
        <w:rPr>
          <w:rFonts w:ascii="Arial" w:hAnsi="Arial" w:cs="Arial"/>
          <w:color w:val="000000" w:themeColor="text1"/>
          <w:szCs w:val="21"/>
          <w14:textFill>
            <w14:solidFill>
              <w14:schemeClr w14:val="tx1"/>
            </w14:solidFill>
          </w14:textFill>
        </w:rPr>
      </w:pPr>
    </w:p>
    <w:p w14:paraId="4E202F8E">
      <w:pPr>
        <w:snapToGrid w:val="0"/>
        <w:spacing w:before="50"/>
        <w:jc w:val="left"/>
        <w:rPr>
          <w:rFonts w:ascii="Arial" w:hAnsi="Arial" w:cs="Arial"/>
          <w:color w:val="000000" w:themeColor="text1"/>
          <w:szCs w:val="21"/>
          <w14:textFill>
            <w14:solidFill>
              <w14:schemeClr w14:val="tx1"/>
            </w14:solidFill>
          </w14:textFill>
        </w:rPr>
        <w:sectPr>
          <w:pgSz w:w="16838" w:h="11906" w:orient="landscape"/>
          <w:pgMar w:top="1418" w:right="1418" w:bottom="1133" w:left="1246" w:header="851" w:footer="992" w:gutter="0"/>
          <w:cols w:space="720" w:num="1"/>
          <w:docGrid w:linePitch="312" w:charSpace="0"/>
        </w:sectPr>
      </w:pPr>
    </w:p>
    <w:p w14:paraId="1C12EE12">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5.符合政府采购政策加分条件证明材料。</w:t>
      </w:r>
    </w:p>
    <w:p w14:paraId="1FB991F0">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5.1列入节能产品政府采购品目清单及环境标志产品政府采购品目清单的货物清单。</w:t>
      </w:r>
      <w:r>
        <w:rPr>
          <w:rFonts w:ascii="Arial" w:hAnsi="Arial" w:cs="Arial"/>
          <w:b/>
          <w:color w:val="000000" w:themeColor="text1"/>
          <w:szCs w:val="21"/>
          <w14:textFill>
            <w14:solidFill>
              <w14:schemeClr w14:val="tx1"/>
            </w14:solidFill>
          </w14:textFill>
        </w:rPr>
        <w:t>（如有，须提供）</w:t>
      </w:r>
    </w:p>
    <w:p w14:paraId="018B3C28">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投标产品中如有列入节能产品政府采购品目清单及环境标志产品政府采购品目清单的货物，应按下表提供清单。</w:t>
      </w:r>
    </w:p>
    <w:p w14:paraId="4A33E7AD">
      <w:pPr>
        <w:spacing w:line="360" w:lineRule="auto"/>
        <w:jc w:val="center"/>
        <w:rPr>
          <w:rFonts w:ascii="Arial" w:hAnsi="Arial" w:cs="Arial"/>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节能产品及环境标志产品清单</w:t>
      </w:r>
    </w:p>
    <w:tbl>
      <w:tblPr>
        <w:tblStyle w:val="54"/>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1C2C565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vAlign w:val="center"/>
          </w:tcPr>
          <w:p w14:paraId="5AC5526C">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序号</w:t>
            </w:r>
          </w:p>
        </w:tc>
        <w:tc>
          <w:tcPr>
            <w:tcW w:w="1134" w:type="dxa"/>
            <w:tcBorders>
              <w:top w:val="single" w:color="auto" w:sz="12" w:space="0"/>
              <w:left w:val="nil"/>
              <w:bottom w:val="single" w:color="auto" w:sz="8" w:space="0"/>
              <w:right w:val="single" w:color="auto" w:sz="4" w:space="0"/>
            </w:tcBorders>
            <w:vAlign w:val="center"/>
          </w:tcPr>
          <w:p w14:paraId="66D2D7B9">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类别</w:t>
            </w:r>
          </w:p>
        </w:tc>
        <w:tc>
          <w:tcPr>
            <w:tcW w:w="897" w:type="dxa"/>
            <w:tcBorders>
              <w:top w:val="single" w:color="auto" w:sz="12" w:space="0"/>
              <w:left w:val="single" w:color="auto" w:sz="4" w:space="0"/>
              <w:bottom w:val="single" w:color="auto" w:sz="8" w:space="0"/>
              <w:right w:val="single" w:color="auto" w:sz="8" w:space="0"/>
            </w:tcBorders>
            <w:vAlign w:val="center"/>
          </w:tcPr>
          <w:p w14:paraId="358AEF0B">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品目</w:t>
            </w:r>
          </w:p>
        </w:tc>
        <w:tc>
          <w:tcPr>
            <w:tcW w:w="1088" w:type="dxa"/>
            <w:tcBorders>
              <w:top w:val="single" w:color="auto" w:sz="12" w:space="0"/>
              <w:left w:val="nil"/>
              <w:bottom w:val="single" w:color="auto" w:sz="8" w:space="0"/>
              <w:right w:val="single" w:color="auto" w:sz="4" w:space="0"/>
            </w:tcBorders>
            <w:vAlign w:val="center"/>
          </w:tcPr>
          <w:p w14:paraId="4A04C7CA">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品牌</w:t>
            </w:r>
          </w:p>
        </w:tc>
        <w:tc>
          <w:tcPr>
            <w:tcW w:w="1409" w:type="dxa"/>
            <w:tcBorders>
              <w:top w:val="single" w:color="auto" w:sz="12" w:space="0"/>
              <w:left w:val="single" w:color="auto" w:sz="4" w:space="0"/>
              <w:bottom w:val="single" w:color="auto" w:sz="8" w:space="0"/>
              <w:right w:val="single" w:color="auto" w:sz="8" w:space="0"/>
            </w:tcBorders>
            <w:vAlign w:val="center"/>
          </w:tcPr>
          <w:p w14:paraId="1278C7B2">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规格型号</w:t>
            </w:r>
          </w:p>
        </w:tc>
        <w:tc>
          <w:tcPr>
            <w:tcW w:w="1851" w:type="dxa"/>
            <w:tcBorders>
              <w:top w:val="single" w:color="auto" w:sz="12" w:space="0"/>
              <w:left w:val="nil"/>
              <w:bottom w:val="single" w:color="auto" w:sz="8" w:space="0"/>
              <w:right w:val="single" w:color="auto" w:sz="8" w:space="0"/>
            </w:tcBorders>
            <w:tcMar>
              <w:top w:w="0" w:type="dxa"/>
              <w:left w:w="57" w:type="dxa"/>
              <w:bottom w:w="0" w:type="dxa"/>
              <w:right w:w="57" w:type="dxa"/>
            </w:tcMar>
            <w:vAlign w:val="center"/>
          </w:tcPr>
          <w:p w14:paraId="235DB588">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r>
              <w:rPr>
                <w:rFonts w:ascii="Arial" w:hAnsi="Arial" w:cs="Arial"/>
                <w:color w:val="000000" w:themeColor="text1"/>
                <w:szCs w:val="21"/>
                <w:shd w:val="clear" w:color="auto" w:fill="FFFFFF"/>
                <w14:textFill>
                  <w14:solidFill>
                    <w14:schemeClr w14:val="tx1"/>
                  </w14:solidFill>
                </w14:textFill>
              </w:rPr>
              <w:t>生产者（制造商）</w:t>
            </w:r>
          </w:p>
        </w:tc>
        <w:tc>
          <w:tcPr>
            <w:tcW w:w="1412" w:type="dxa"/>
            <w:tcBorders>
              <w:top w:val="single" w:color="auto" w:sz="12" w:space="0"/>
              <w:left w:val="nil"/>
              <w:bottom w:val="single" w:color="auto" w:sz="8" w:space="0"/>
              <w:right w:val="single" w:color="auto" w:sz="8" w:space="0"/>
            </w:tcBorders>
            <w:tcMar>
              <w:top w:w="0" w:type="dxa"/>
              <w:left w:w="57" w:type="dxa"/>
              <w:bottom w:w="0" w:type="dxa"/>
              <w:right w:w="57" w:type="dxa"/>
            </w:tcMar>
            <w:vAlign w:val="center"/>
          </w:tcPr>
          <w:p w14:paraId="02D0FDD6">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证书编号及证书到期日期</w:t>
            </w:r>
          </w:p>
        </w:tc>
        <w:tc>
          <w:tcPr>
            <w:tcW w:w="770" w:type="dxa"/>
            <w:tcBorders>
              <w:top w:val="single" w:color="auto" w:sz="12" w:space="0"/>
              <w:left w:val="nil"/>
              <w:bottom w:val="single" w:color="auto" w:sz="8" w:space="0"/>
              <w:right w:val="single" w:color="auto" w:sz="12" w:space="0"/>
            </w:tcBorders>
            <w:tcMar>
              <w:top w:w="0" w:type="dxa"/>
              <w:left w:w="57" w:type="dxa"/>
              <w:bottom w:w="0" w:type="dxa"/>
              <w:right w:w="57" w:type="dxa"/>
            </w:tcMar>
            <w:vAlign w:val="center"/>
          </w:tcPr>
          <w:p w14:paraId="01CE29C3">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备注</w:t>
            </w:r>
          </w:p>
        </w:tc>
      </w:tr>
      <w:tr w14:paraId="311F4C7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vAlign w:val="center"/>
          </w:tcPr>
          <w:p w14:paraId="1AF9954A">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1</w:t>
            </w:r>
          </w:p>
        </w:tc>
        <w:tc>
          <w:tcPr>
            <w:tcW w:w="1134" w:type="dxa"/>
            <w:tcBorders>
              <w:top w:val="nil"/>
              <w:left w:val="nil"/>
              <w:bottom w:val="single" w:color="auto" w:sz="8" w:space="0"/>
              <w:right w:val="single" w:color="auto" w:sz="4" w:space="0"/>
            </w:tcBorders>
            <w:vAlign w:val="center"/>
          </w:tcPr>
          <w:p w14:paraId="4E1478E6">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897" w:type="dxa"/>
            <w:tcBorders>
              <w:top w:val="nil"/>
              <w:left w:val="single" w:color="auto" w:sz="4" w:space="0"/>
              <w:bottom w:val="single" w:color="auto" w:sz="8" w:space="0"/>
              <w:right w:val="single" w:color="auto" w:sz="8" w:space="0"/>
            </w:tcBorders>
            <w:vAlign w:val="center"/>
          </w:tcPr>
          <w:p w14:paraId="72707B32">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1088" w:type="dxa"/>
            <w:tcBorders>
              <w:top w:val="nil"/>
              <w:left w:val="nil"/>
              <w:bottom w:val="single" w:color="auto" w:sz="8" w:space="0"/>
              <w:right w:val="single" w:color="auto" w:sz="4" w:space="0"/>
            </w:tcBorders>
            <w:vAlign w:val="center"/>
          </w:tcPr>
          <w:p w14:paraId="5E8AFE7E">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1409" w:type="dxa"/>
            <w:tcBorders>
              <w:top w:val="nil"/>
              <w:left w:val="single" w:color="auto" w:sz="4" w:space="0"/>
              <w:bottom w:val="single" w:color="auto" w:sz="8" w:space="0"/>
              <w:right w:val="single" w:color="auto" w:sz="8" w:space="0"/>
            </w:tcBorders>
            <w:vAlign w:val="center"/>
          </w:tcPr>
          <w:p w14:paraId="29AEA044">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1851" w:type="dxa"/>
            <w:tcBorders>
              <w:top w:val="nil"/>
              <w:left w:val="nil"/>
              <w:bottom w:val="single" w:color="auto" w:sz="8" w:space="0"/>
              <w:right w:val="single" w:color="auto" w:sz="8" w:space="0"/>
            </w:tcBorders>
            <w:tcMar>
              <w:top w:w="0" w:type="dxa"/>
              <w:left w:w="57" w:type="dxa"/>
              <w:bottom w:w="0" w:type="dxa"/>
              <w:right w:w="57" w:type="dxa"/>
            </w:tcMar>
            <w:vAlign w:val="center"/>
          </w:tcPr>
          <w:p w14:paraId="59D37181">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1412" w:type="dxa"/>
            <w:tcBorders>
              <w:top w:val="nil"/>
              <w:left w:val="nil"/>
              <w:bottom w:val="single" w:color="auto" w:sz="8" w:space="0"/>
              <w:right w:val="single" w:color="auto" w:sz="8" w:space="0"/>
            </w:tcBorders>
            <w:tcMar>
              <w:top w:w="0" w:type="dxa"/>
              <w:left w:w="57" w:type="dxa"/>
              <w:bottom w:w="0" w:type="dxa"/>
              <w:right w:w="57" w:type="dxa"/>
            </w:tcMar>
            <w:vAlign w:val="center"/>
          </w:tcPr>
          <w:p w14:paraId="4C5C8DB5">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770" w:type="dxa"/>
            <w:tcBorders>
              <w:top w:val="nil"/>
              <w:left w:val="nil"/>
              <w:bottom w:val="single" w:color="auto" w:sz="8" w:space="0"/>
              <w:right w:val="single" w:color="auto" w:sz="12" w:space="0"/>
            </w:tcBorders>
            <w:tcMar>
              <w:top w:w="0" w:type="dxa"/>
              <w:left w:w="57" w:type="dxa"/>
              <w:bottom w:w="0" w:type="dxa"/>
              <w:right w:w="57" w:type="dxa"/>
            </w:tcMar>
            <w:vAlign w:val="center"/>
          </w:tcPr>
          <w:p w14:paraId="24658868">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r>
      <w:tr w14:paraId="08098E4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vAlign w:val="center"/>
          </w:tcPr>
          <w:p w14:paraId="70CC9C73">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2</w:t>
            </w:r>
          </w:p>
        </w:tc>
        <w:tc>
          <w:tcPr>
            <w:tcW w:w="1134" w:type="dxa"/>
            <w:tcBorders>
              <w:top w:val="nil"/>
              <w:left w:val="nil"/>
              <w:bottom w:val="single" w:color="auto" w:sz="8" w:space="0"/>
              <w:right w:val="single" w:color="auto" w:sz="4" w:space="0"/>
            </w:tcBorders>
            <w:vAlign w:val="center"/>
          </w:tcPr>
          <w:p w14:paraId="014B54B7">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897" w:type="dxa"/>
            <w:tcBorders>
              <w:top w:val="nil"/>
              <w:left w:val="single" w:color="auto" w:sz="4" w:space="0"/>
              <w:bottom w:val="single" w:color="auto" w:sz="8" w:space="0"/>
              <w:right w:val="single" w:color="auto" w:sz="8" w:space="0"/>
            </w:tcBorders>
            <w:vAlign w:val="center"/>
          </w:tcPr>
          <w:p w14:paraId="46E2A482">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1088" w:type="dxa"/>
            <w:tcBorders>
              <w:top w:val="nil"/>
              <w:left w:val="nil"/>
              <w:bottom w:val="single" w:color="auto" w:sz="8" w:space="0"/>
              <w:right w:val="single" w:color="auto" w:sz="4" w:space="0"/>
            </w:tcBorders>
            <w:vAlign w:val="center"/>
          </w:tcPr>
          <w:p w14:paraId="08171997">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1409" w:type="dxa"/>
            <w:tcBorders>
              <w:top w:val="nil"/>
              <w:left w:val="single" w:color="auto" w:sz="4" w:space="0"/>
              <w:bottom w:val="single" w:color="auto" w:sz="8" w:space="0"/>
              <w:right w:val="single" w:color="auto" w:sz="8" w:space="0"/>
            </w:tcBorders>
            <w:vAlign w:val="center"/>
          </w:tcPr>
          <w:p w14:paraId="3972F24D">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1851" w:type="dxa"/>
            <w:tcBorders>
              <w:top w:val="nil"/>
              <w:left w:val="nil"/>
              <w:bottom w:val="single" w:color="auto" w:sz="8" w:space="0"/>
              <w:right w:val="single" w:color="auto" w:sz="8" w:space="0"/>
            </w:tcBorders>
            <w:tcMar>
              <w:top w:w="0" w:type="dxa"/>
              <w:left w:w="57" w:type="dxa"/>
              <w:bottom w:w="0" w:type="dxa"/>
              <w:right w:w="57" w:type="dxa"/>
            </w:tcMar>
            <w:vAlign w:val="center"/>
          </w:tcPr>
          <w:p w14:paraId="082CE4A9">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1412" w:type="dxa"/>
            <w:tcBorders>
              <w:top w:val="nil"/>
              <w:left w:val="nil"/>
              <w:bottom w:val="single" w:color="auto" w:sz="8" w:space="0"/>
              <w:right w:val="single" w:color="auto" w:sz="8" w:space="0"/>
            </w:tcBorders>
            <w:tcMar>
              <w:top w:w="0" w:type="dxa"/>
              <w:left w:w="57" w:type="dxa"/>
              <w:bottom w:w="0" w:type="dxa"/>
              <w:right w:w="57" w:type="dxa"/>
            </w:tcMar>
            <w:vAlign w:val="center"/>
          </w:tcPr>
          <w:p w14:paraId="2406ED90">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770" w:type="dxa"/>
            <w:tcBorders>
              <w:top w:val="nil"/>
              <w:left w:val="nil"/>
              <w:bottom w:val="single" w:color="auto" w:sz="8" w:space="0"/>
              <w:right w:val="single" w:color="auto" w:sz="12" w:space="0"/>
            </w:tcBorders>
            <w:tcMar>
              <w:top w:w="0" w:type="dxa"/>
              <w:left w:w="57" w:type="dxa"/>
              <w:bottom w:w="0" w:type="dxa"/>
              <w:right w:w="57" w:type="dxa"/>
            </w:tcMar>
            <w:vAlign w:val="center"/>
          </w:tcPr>
          <w:p w14:paraId="2A8A6211">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r>
      <w:tr w14:paraId="2F93038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300" w:hRule="atLeast"/>
          <w:jc w:val="center"/>
        </w:trPr>
        <w:tc>
          <w:tcPr>
            <w:tcW w:w="767" w:type="dxa"/>
            <w:tcBorders>
              <w:top w:val="nil"/>
              <w:left w:val="single" w:color="auto" w:sz="12" w:space="0"/>
              <w:bottom w:val="single" w:color="auto" w:sz="8" w:space="0"/>
              <w:right w:val="single" w:color="auto" w:sz="8" w:space="0"/>
            </w:tcBorders>
            <w:vAlign w:val="center"/>
          </w:tcPr>
          <w:p w14:paraId="1178A518">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r>
              <w:rPr>
                <w:rFonts w:ascii="Arial" w:hAnsi="Arial" w:cs="Arial"/>
                <w:color w:val="000000" w:themeColor="text1"/>
                <w:kern w:val="0"/>
                <w:szCs w:val="21"/>
                <w14:textFill>
                  <w14:solidFill>
                    <w14:schemeClr w14:val="tx1"/>
                  </w14:solidFill>
                </w14:textFill>
              </w:rPr>
              <w:t>……</w:t>
            </w:r>
          </w:p>
        </w:tc>
        <w:tc>
          <w:tcPr>
            <w:tcW w:w="1134" w:type="dxa"/>
            <w:tcBorders>
              <w:top w:val="nil"/>
              <w:left w:val="nil"/>
              <w:bottom w:val="single" w:color="auto" w:sz="8" w:space="0"/>
              <w:right w:val="single" w:color="auto" w:sz="4" w:space="0"/>
            </w:tcBorders>
            <w:vAlign w:val="center"/>
          </w:tcPr>
          <w:p w14:paraId="1D521B71">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897" w:type="dxa"/>
            <w:tcBorders>
              <w:top w:val="nil"/>
              <w:left w:val="single" w:color="auto" w:sz="4" w:space="0"/>
              <w:bottom w:val="single" w:color="auto" w:sz="8" w:space="0"/>
              <w:right w:val="single" w:color="auto" w:sz="8" w:space="0"/>
            </w:tcBorders>
            <w:vAlign w:val="center"/>
          </w:tcPr>
          <w:p w14:paraId="22D0C662">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1088" w:type="dxa"/>
            <w:tcBorders>
              <w:top w:val="nil"/>
              <w:left w:val="nil"/>
              <w:bottom w:val="single" w:color="auto" w:sz="8" w:space="0"/>
              <w:right w:val="single" w:color="auto" w:sz="4" w:space="0"/>
            </w:tcBorders>
            <w:vAlign w:val="center"/>
          </w:tcPr>
          <w:p w14:paraId="3830E52C">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1409" w:type="dxa"/>
            <w:tcBorders>
              <w:top w:val="nil"/>
              <w:left w:val="single" w:color="auto" w:sz="4" w:space="0"/>
              <w:bottom w:val="single" w:color="auto" w:sz="8" w:space="0"/>
              <w:right w:val="single" w:color="auto" w:sz="8" w:space="0"/>
            </w:tcBorders>
            <w:vAlign w:val="center"/>
          </w:tcPr>
          <w:p w14:paraId="2D0A6AC1">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1851" w:type="dxa"/>
            <w:tcBorders>
              <w:top w:val="nil"/>
              <w:left w:val="nil"/>
              <w:bottom w:val="single" w:color="auto" w:sz="8" w:space="0"/>
              <w:right w:val="single" w:color="auto" w:sz="8" w:space="0"/>
            </w:tcBorders>
            <w:tcMar>
              <w:top w:w="0" w:type="dxa"/>
              <w:left w:w="57" w:type="dxa"/>
              <w:bottom w:w="0" w:type="dxa"/>
              <w:right w:w="57" w:type="dxa"/>
            </w:tcMar>
            <w:vAlign w:val="center"/>
          </w:tcPr>
          <w:p w14:paraId="705240FD">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1412" w:type="dxa"/>
            <w:tcBorders>
              <w:top w:val="nil"/>
              <w:left w:val="nil"/>
              <w:bottom w:val="single" w:color="auto" w:sz="8" w:space="0"/>
              <w:right w:val="single" w:color="auto" w:sz="8" w:space="0"/>
            </w:tcBorders>
            <w:tcMar>
              <w:top w:w="0" w:type="dxa"/>
              <w:left w:w="57" w:type="dxa"/>
              <w:bottom w:w="0" w:type="dxa"/>
              <w:right w:w="57" w:type="dxa"/>
            </w:tcMar>
            <w:vAlign w:val="center"/>
          </w:tcPr>
          <w:p w14:paraId="05A81740">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c>
          <w:tcPr>
            <w:tcW w:w="770" w:type="dxa"/>
            <w:tcBorders>
              <w:top w:val="nil"/>
              <w:left w:val="nil"/>
              <w:bottom w:val="single" w:color="auto" w:sz="8" w:space="0"/>
              <w:right w:val="single" w:color="auto" w:sz="12" w:space="0"/>
            </w:tcBorders>
            <w:tcMar>
              <w:top w:w="0" w:type="dxa"/>
              <w:left w:w="57" w:type="dxa"/>
              <w:bottom w:w="0" w:type="dxa"/>
              <w:right w:w="57" w:type="dxa"/>
            </w:tcMar>
            <w:vAlign w:val="center"/>
          </w:tcPr>
          <w:p w14:paraId="3B7D9351">
            <w:pPr>
              <w:widowControl/>
              <w:spacing w:before="100" w:beforeAutospacing="1" w:after="100" w:afterAutospacing="1" w:line="376" w:lineRule="atLeast"/>
              <w:jc w:val="center"/>
              <w:rPr>
                <w:rFonts w:ascii="Arial" w:hAnsi="Arial" w:cs="Arial"/>
                <w:color w:val="000000" w:themeColor="text1"/>
                <w:kern w:val="0"/>
                <w:szCs w:val="21"/>
                <w14:textFill>
                  <w14:solidFill>
                    <w14:schemeClr w14:val="tx1"/>
                  </w14:solidFill>
                </w14:textFill>
              </w:rPr>
            </w:pPr>
          </w:p>
        </w:tc>
      </w:tr>
    </w:tbl>
    <w:p w14:paraId="06550424">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注：类别填写节能或环境标志，品目填写编号及产品名称如A02010104台式计算机。</w:t>
      </w:r>
    </w:p>
    <w:p w14:paraId="3384F442">
      <w:pPr>
        <w:snapToGrid w:val="0"/>
        <w:spacing w:before="50" w:after="120" w:afterLines="50"/>
        <w:jc w:val="left"/>
        <w:rPr>
          <w:rFonts w:ascii="Arial" w:hAnsi="Arial" w:cs="Arial"/>
          <w:color w:val="000000" w:themeColor="text1"/>
          <w:szCs w:val="21"/>
          <w14:textFill>
            <w14:solidFill>
              <w14:schemeClr w14:val="tx1"/>
            </w14:solidFill>
          </w14:textFill>
        </w:rPr>
      </w:pPr>
      <w:bookmarkStart w:id="172" w:name="_Hlk19050322"/>
    </w:p>
    <w:p w14:paraId="6DF9535C">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6．无串标行为承诺函</w:t>
      </w:r>
    </w:p>
    <w:p w14:paraId="604B66D0">
      <w:pPr>
        <w:snapToGrid w:val="0"/>
        <w:spacing w:before="50" w:after="120" w:after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投标人参加本项目无围标串标行为的承诺函</w:t>
      </w:r>
    </w:p>
    <w:p w14:paraId="2F23A0B7">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一、我方承诺无下列相互串通投标的情形：</w:t>
      </w:r>
    </w:p>
    <w:p w14:paraId="01AC9EF3">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1.不同投标人的投标文件由同一单位或者个人编制；或者不同投标人报名的IP地址一致的；</w:t>
      </w:r>
    </w:p>
    <w:p w14:paraId="6F2AD94B">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2.不同投标人委托同一单位或者个人办理投标事宜；</w:t>
      </w:r>
    </w:p>
    <w:p w14:paraId="7C028ADA">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3.不同的投标人的投标文件载明的项目管理员为同一个人；</w:t>
      </w:r>
    </w:p>
    <w:p w14:paraId="5CDF73CC">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4.不同投标人的投标文件异常一致或者投标报价呈规律性差异；</w:t>
      </w:r>
    </w:p>
    <w:p w14:paraId="77FD63FC">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5.不同投标人的投标文件相互混装；</w:t>
      </w:r>
    </w:p>
    <w:p w14:paraId="68BFDF2A">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6.不同投标人的投标保证金从同一单位或者个人账户转出。</w:t>
      </w:r>
    </w:p>
    <w:p w14:paraId="73BBFE34">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二、我方承诺无下列恶意串通的情形：</w:t>
      </w:r>
    </w:p>
    <w:p w14:paraId="3404A5FC">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1.投标人直接或者间接从采购人或者采购代理机构处获得其他投标人的相关信息并修改其投标文件或者投标文件；</w:t>
      </w:r>
    </w:p>
    <w:p w14:paraId="1FC3B7C6">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2.投标人按照采购人或者采购代理机构的授意撤换、修改投标文件或者投标文件；</w:t>
      </w:r>
    </w:p>
    <w:p w14:paraId="51CAA502">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3.投标人之间协商报价、技术方案等投标文件或者投标文件的实质性内容；</w:t>
      </w:r>
    </w:p>
    <w:p w14:paraId="392A16C1">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4.属于同一集团、协会、商会等组织成员的投标人按照该组织要求协同参加政府采购活动；</w:t>
      </w:r>
    </w:p>
    <w:p w14:paraId="723EE908">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5.投标人之间事先约定一致抬高或者压低投标报价，或者在招标项目中事先约定轮流以高价位或者低价位中标，或者事先约定由某一特定投标人中标，然后再参加投标；</w:t>
      </w:r>
    </w:p>
    <w:p w14:paraId="1EC1195C">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6.投标人之间商定部分投标人放弃参加政府采购活动或者放弃中标；</w:t>
      </w:r>
    </w:p>
    <w:p w14:paraId="339D6BEB">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7.投标人与采购人或者采购代理机构之间、投标人相互之间，为谋求特定投标人中标或者排斥其他投标人的其他串通行为。</w:t>
      </w:r>
    </w:p>
    <w:p w14:paraId="7CD95F91">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以上情形一经核查属实，我方愿意承担一切后果，并不再寻求任何旨在减轻或者免除法律责任的辩解。</w:t>
      </w:r>
    </w:p>
    <w:p w14:paraId="792BD50C">
      <w:pPr>
        <w:snapToGrid w:val="0"/>
        <w:spacing w:before="50" w:after="120" w:after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                                   供应商名称(电子签章)：</w:t>
      </w:r>
    </w:p>
    <w:p w14:paraId="7CB957D0">
      <w:pPr>
        <w:snapToGrid w:val="0"/>
        <w:spacing w:before="50" w:after="120" w:after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                                 日期：  年  月   日</w:t>
      </w:r>
    </w:p>
    <w:p w14:paraId="694CC647">
      <w:pPr>
        <w:snapToGrid w:val="0"/>
        <w:spacing w:before="50" w:after="120" w:afterLines="50"/>
        <w:jc w:val="left"/>
        <w:rPr>
          <w:rFonts w:ascii="Arial" w:hAnsi="Arial" w:cs="Arial"/>
          <w:color w:val="000000" w:themeColor="text1"/>
          <w:szCs w:val="21"/>
          <w14:textFill>
            <w14:solidFill>
              <w14:schemeClr w14:val="tx1"/>
            </w14:solidFill>
          </w14:textFill>
        </w:rPr>
      </w:pPr>
    </w:p>
    <w:p w14:paraId="2B6A1D1C">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7.供应商认为需提供的其他材料（根据招标文件编写）</w:t>
      </w:r>
    </w:p>
    <w:bookmarkEnd w:id="172"/>
    <w:p w14:paraId="561B3946">
      <w:pPr>
        <w:rPr>
          <w:rFonts w:ascii="Arial" w:hAnsi="Arial" w:cs="Arial"/>
          <w:b/>
          <w:bCs/>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br w:type="page"/>
      </w:r>
    </w:p>
    <w:p w14:paraId="71D7E898">
      <w:pPr>
        <w:snapToGrid w:val="0"/>
        <w:spacing w:before="120" w:beforeLines="50" w:after="50" w:line="440" w:lineRule="exact"/>
        <w:jc w:val="center"/>
        <w:outlineLvl w:val="1"/>
        <w:rPr>
          <w:rFonts w:ascii="Arial" w:hAnsi="Arial" w:cs="Arial"/>
          <w:bCs/>
          <w:color w:val="000000" w:themeColor="text1"/>
          <w:sz w:val="24"/>
          <w14:textFill>
            <w14:solidFill>
              <w14:schemeClr w14:val="tx1"/>
            </w14:solidFill>
          </w14:textFill>
        </w:rPr>
      </w:pPr>
      <w:r>
        <w:rPr>
          <w:rFonts w:ascii="Arial" w:hAnsi="Arial" w:cs="Arial"/>
          <w:bCs/>
          <w:color w:val="000000" w:themeColor="text1"/>
          <w:sz w:val="24"/>
          <w14:textFill>
            <w14:solidFill>
              <w14:schemeClr w14:val="tx1"/>
            </w14:solidFill>
          </w14:textFill>
        </w:rPr>
        <w:t>第二部分 技术文件</w:t>
      </w:r>
    </w:p>
    <w:p w14:paraId="6080AB83">
      <w:pPr>
        <w:jc w:val="center"/>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（本技术文件除标注“必须提供”的部分外，其余部分供应商可自行编写，也可参照下述提纲编写）</w:t>
      </w:r>
    </w:p>
    <w:p w14:paraId="2EE840A1">
      <w:pPr>
        <w:snapToGrid w:val="0"/>
        <w:spacing w:before="50" w:after="120" w:afterLines="50"/>
        <w:jc w:val="left"/>
        <w:rPr>
          <w:rFonts w:ascii="Arial" w:hAnsi="Arial" w:cs="Arial"/>
          <w:color w:val="000000" w:themeColor="text1"/>
          <w:szCs w:val="21"/>
          <w14:textFill>
            <w14:solidFill>
              <w14:schemeClr w14:val="tx1"/>
            </w14:solidFill>
          </w14:textFill>
        </w:rPr>
      </w:pPr>
    </w:p>
    <w:p w14:paraId="62C362A1">
      <w:pP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1．对本项目第二章《项目采购需求》技术要求的响应偏离表</w:t>
      </w:r>
      <w:r>
        <w:rPr>
          <w:rFonts w:ascii="Arial" w:hAnsi="Arial" w:cs="Arial"/>
          <w:b/>
          <w:color w:val="000000" w:themeColor="text1"/>
          <w:szCs w:val="21"/>
          <w14:textFill>
            <w14:solidFill>
              <w14:schemeClr w14:val="tx1"/>
            </w14:solidFill>
          </w14:textFill>
        </w:rPr>
        <w:t>（</w:t>
      </w:r>
      <w:r>
        <w:rPr>
          <w:rFonts w:ascii="Arial" w:hAnsi="Arial" w:cs="Arial"/>
          <w:b/>
          <w:color w:val="000000" w:themeColor="text1"/>
          <w14:textFill>
            <w14:solidFill>
              <w14:schemeClr w14:val="tx1"/>
            </w14:solidFill>
          </w14:textFill>
        </w:rPr>
        <w:t>必须提供</w:t>
      </w:r>
      <w:r>
        <w:rPr>
          <w:rFonts w:ascii="Arial" w:hAnsi="Arial" w:cs="Arial"/>
          <w:b/>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t>：</w:t>
      </w:r>
    </w:p>
    <w:p w14:paraId="707CFB23">
      <w:pPr>
        <w:rPr>
          <w:rFonts w:ascii="Arial" w:hAnsi="Arial" w:cs="Arial"/>
          <w:color w:val="000000" w:themeColor="text1"/>
          <w:szCs w:val="21"/>
          <w14:textFill>
            <w14:solidFill>
              <w14:schemeClr w14:val="tx1"/>
            </w14:solidFill>
          </w14:textFill>
        </w:rPr>
      </w:pPr>
    </w:p>
    <w:p w14:paraId="3DAF8DE8">
      <w:pPr>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对照第二章《项目采购需求》</w:t>
      </w:r>
      <w:r>
        <w:rPr>
          <w:rFonts w:ascii="Arial" w:hAnsi="Arial" w:cs="Arial"/>
          <w:color w:val="000000" w:themeColor="text1"/>
          <w14:textFill>
            <w14:solidFill>
              <w14:schemeClr w14:val="tx1"/>
            </w14:solidFill>
          </w14:textFill>
        </w:rPr>
        <w:t>中所列的除 “商务要求”外的技术要求的响应偏表</w:t>
      </w:r>
    </w:p>
    <w:tbl>
      <w:tblPr>
        <w:tblStyle w:val="54"/>
        <w:tblW w:w="88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7017E6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632547ED">
            <w:pPr>
              <w:snapToGrid w:val="0"/>
              <w:spacing w:before="120" w:before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序号</w:t>
            </w:r>
          </w:p>
        </w:tc>
        <w:tc>
          <w:tcPr>
            <w:tcW w:w="3595" w:type="dxa"/>
            <w:tcBorders>
              <w:top w:val="single" w:color="auto" w:sz="4" w:space="0"/>
              <w:left w:val="single" w:color="auto" w:sz="4" w:space="0"/>
              <w:bottom w:val="single" w:color="auto" w:sz="4" w:space="0"/>
              <w:right w:val="single" w:color="auto" w:sz="4" w:space="0"/>
            </w:tcBorders>
            <w:vAlign w:val="center"/>
          </w:tcPr>
          <w:p w14:paraId="4BCC4648">
            <w:pPr>
              <w:snapToGrid w:val="0"/>
              <w:spacing w:before="120" w:before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招标文件要求</w:t>
            </w:r>
          </w:p>
        </w:tc>
        <w:tc>
          <w:tcPr>
            <w:tcW w:w="3405" w:type="dxa"/>
            <w:tcBorders>
              <w:top w:val="single" w:color="auto" w:sz="4" w:space="0"/>
              <w:left w:val="single" w:color="auto" w:sz="4" w:space="0"/>
              <w:bottom w:val="single" w:color="auto" w:sz="4" w:space="0"/>
              <w:right w:val="single" w:color="auto" w:sz="4" w:space="0"/>
            </w:tcBorders>
            <w:vAlign w:val="center"/>
          </w:tcPr>
          <w:p w14:paraId="013767B9">
            <w:pPr>
              <w:snapToGrid w:val="0"/>
              <w:spacing w:before="120" w:before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投标文件响应内容</w:t>
            </w:r>
          </w:p>
          <w:p w14:paraId="3E7B88BA">
            <w:pPr>
              <w:snapToGrid w:val="0"/>
              <w:spacing w:before="120" w:before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（可注明证明材料所在页码）</w:t>
            </w:r>
          </w:p>
        </w:tc>
        <w:tc>
          <w:tcPr>
            <w:tcW w:w="1082" w:type="dxa"/>
            <w:tcBorders>
              <w:top w:val="single" w:color="auto" w:sz="4" w:space="0"/>
              <w:left w:val="single" w:color="auto" w:sz="4" w:space="0"/>
              <w:bottom w:val="single" w:color="auto" w:sz="4" w:space="0"/>
              <w:right w:val="single" w:color="auto" w:sz="4" w:space="0"/>
            </w:tcBorders>
            <w:vAlign w:val="center"/>
          </w:tcPr>
          <w:p w14:paraId="58B3FCC1">
            <w:pPr>
              <w:snapToGrid w:val="0"/>
              <w:spacing w:before="120" w:before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14:textFill>
                  <w14:solidFill>
                    <w14:schemeClr w14:val="tx1"/>
                  </w14:solidFill>
                </w14:textFill>
              </w:rPr>
              <w:t>偏离</w:t>
            </w:r>
            <w:r>
              <w:rPr>
                <w:rFonts w:ascii="Arial" w:hAnsi="Arial" w:cs="Arial"/>
                <w:color w:val="000000" w:themeColor="text1"/>
                <w:szCs w:val="21"/>
                <w14:textFill>
                  <w14:solidFill>
                    <w14:schemeClr w14:val="tx1"/>
                  </w14:solidFill>
                </w14:textFill>
              </w:rPr>
              <w:t>说明</w:t>
            </w:r>
          </w:p>
        </w:tc>
      </w:tr>
      <w:tr w14:paraId="58AC5E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3877A432">
            <w:pPr>
              <w:snapToGrid w:val="0"/>
              <w:spacing w:before="120" w:beforeLines="50"/>
              <w:jc w:val="center"/>
              <w:rPr>
                <w:rFonts w:ascii="Arial" w:hAnsi="Arial" w:cs="Arial"/>
                <w:color w:val="000000" w:themeColor="text1"/>
                <w:szCs w:val="21"/>
                <w14:textFill>
                  <w14:solidFill>
                    <w14:schemeClr w14:val="tx1"/>
                  </w14:solidFill>
                </w14:textFill>
              </w:rPr>
            </w:pPr>
          </w:p>
        </w:tc>
        <w:tc>
          <w:tcPr>
            <w:tcW w:w="3595" w:type="dxa"/>
            <w:tcBorders>
              <w:top w:val="single" w:color="auto" w:sz="4" w:space="0"/>
              <w:left w:val="single" w:color="auto" w:sz="4" w:space="0"/>
              <w:bottom w:val="single" w:color="auto" w:sz="4" w:space="0"/>
              <w:right w:val="single" w:color="auto" w:sz="4" w:space="0"/>
            </w:tcBorders>
            <w:vAlign w:val="center"/>
          </w:tcPr>
          <w:p w14:paraId="0362A823">
            <w:pPr>
              <w:snapToGrid w:val="0"/>
              <w:spacing w:before="120" w:beforeLines="50"/>
              <w:jc w:val="center"/>
              <w:rPr>
                <w:rFonts w:ascii="Arial" w:hAnsi="Arial" w:cs="Arial"/>
                <w:color w:val="000000" w:themeColor="text1"/>
                <w:szCs w:val="21"/>
                <w14:textFill>
                  <w14:solidFill>
                    <w14:schemeClr w14:val="tx1"/>
                  </w14:solidFill>
                </w14:textFill>
              </w:rPr>
            </w:pPr>
          </w:p>
        </w:tc>
        <w:tc>
          <w:tcPr>
            <w:tcW w:w="3405" w:type="dxa"/>
            <w:tcBorders>
              <w:top w:val="single" w:color="auto" w:sz="4" w:space="0"/>
              <w:left w:val="single" w:color="auto" w:sz="4" w:space="0"/>
              <w:bottom w:val="single" w:color="auto" w:sz="4" w:space="0"/>
              <w:right w:val="single" w:color="auto" w:sz="4" w:space="0"/>
            </w:tcBorders>
            <w:vAlign w:val="center"/>
          </w:tcPr>
          <w:p w14:paraId="29510401">
            <w:pPr>
              <w:snapToGrid w:val="0"/>
              <w:spacing w:before="120" w:beforeLines="50"/>
              <w:jc w:val="center"/>
              <w:rPr>
                <w:rFonts w:ascii="Arial" w:hAnsi="Arial" w:cs="Arial"/>
                <w:color w:val="000000" w:themeColor="text1"/>
                <w:szCs w:val="21"/>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vAlign w:val="center"/>
          </w:tcPr>
          <w:p w14:paraId="68D9B7FE">
            <w:pPr>
              <w:snapToGrid w:val="0"/>
              <w:spacing w:before="120" w:beforeLines="50"/>
              <w:jc w:val="center"/>
              <w:rPr>
                <w:rFonts w:ascii="Arial" w:hAnsi="Arial" w:cs="Arial"/>
                <w:color w:val="000000" w:themeColor="text1"/>
                <w:szCs w:val="21"/>
                <w14:textFill>
                  <w14:solidFill>
                    <w14:schemeClr w14:val="tx1"/>
                  </w14:solidFill>
                </w14:textFill>
              </w:rPr>
            </w:pPr>
          </w:p>
        </w:tc>
      </w:tr>
      <w:tr w14:paraId="08C411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2E3D7798">
            <w:pPr>
              <w:snapToGrid w:val="0"/>
              <w:spacing w:before="120" w:beforeLines="50"/>
              <w:jc w:val="center"/>
              <w:rPr>
                <w:rFonts w:ascii="Arial" w:hAnsi="Arial" w:cs="Arial"/>
                <w:color w:val="000000" w:themeColor="text1"/>
                <w:szCs w:val="21"/>
                <w14:textFill>
                  <w14:solidFill>
                    <w14:schemeClr w14:val="tx1"/>
                  </w14:solidFill>
                </w14:textFill>
              </w:rPr>
            </w:pPr>
          </w:p>
        </w:tc>
        <w:tc>
          <w:tcPr>
            <w:tcW w:w="3595" w:type="dxa"/>
            <w:tcBorders>
              <w:top w:val="single" w:color="auto" w:sz="4" w:space="0"/>
              <w:left w:val="single" w:color="auto" w:sz="4" w:space="0"/>
              <w:bottom w:val="single" w:color="auto" w:sz="4" w:space="0"/>
              <w:right w:val="single" w:color="auto" w:sz="4" w:space="0"/>
            </w:tcBorders>
            <w:vAlign w:val="center"/>
          </w:tcPr>
          <w:p w14:paraId="4BFC7D1E">
            <w:pPr>
              <w:snapToGrid w:val="0"/>
              <w:spacing w:before="120" w:beforeLines="50"/>
              <w:jc w:val="center"/>
              <w:rPr>
                <w:rFonts w:ascii="Arial" w:hAnsi="Arial" w:cs="Arial"/>
                <w:color w:val="000000" w:themeColor="text1"/>
                <w:szCs w:val="21"/>
                <w14:textFill>
                  <w14:solidFill>
                    <w14:schemeClr w14:val="tx1"/>
                  </w14:solidFill>
                </w14:textFill>
              </w:rPr>
            </w:pPr>
          </w:p>
        </w:tc>
        <w:tc>
          <w:tcPr>
            <w:tcW w:w="3405" w:type="dxa"/>
            <w:tcBorders>
              <w:top w:val="single" w:color="auto" w:sz="4" w:space="0"/>
              <w:left w:val="single" w:color="auto" w:sz="4" w:space="0"/>
              <w:bottom w:val="single" w:color="auto" w:sz="4" w:space="0"/>
              <w:right w:val="single" w:color="auto" w:sz="4" w:space="0"/>
            </w:tcBorders>
            <w:vAlign w:val="center"/>
          </w:tcPr>
          <w:p w14:paraId="3F63950F">
            <w:pPr>
              <w:snapToGrid w:val="0"/>
              <w:spacing w:before="120" w:beforeLines="50"/>
              <w:jc w:val="center"/>
              <w:rPr>
                <w:rFonts w:ascii="Arial" w:hAnsi="Arial" w:cs="Arial"/>
                <w:color w:val="000000" w:themeColor="text1"/>
                <w:szCs w:val="21"/>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vAlign w:val="center"/>
          </w:tcPr>
          <w:p w14:paraId="0CC4A89E">
            <w:pPr>
              <w:snapToGrid w:val="0"/>
              <w:spacing w:before="120" w:beforeLines="50"/>
              <w:jc w:val="center"/>
              <w:rPr>
                <w:rFonts w:ascii="Arial" w:hAnsi="Arial" w:cs="Arial"/>
                <w:color w:val="000000" w:themeColor="text1"/>
                <w:szCs w:val="21"/>
                <w14:textFill>
                  <w14:solidFill>
                    <w14:schemeClr w14:val="tx1"/>
                  </w14:solidFill>
                </w14:textFill>
              </w:rPr>
            </w:pPr>
          </w:p>
        </w:tc>
      </w:tr>
      <w:tr w14:paraId="329C53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32160DE4">
            <w:pPr>
              <w:snapToGrid w:val="0"/>
              <w:spacing w:before="120" w:beforeLines="50"/>
              <w:jc w:val="center"/>
              <w:rPr>
                <w:rFonts w:ascii="Arial" w:hAnsi="Arial" w:cs="Arial"/>
                <w:color w:val="000000" w:themeColor="text1"/>
                <w:szCs w:val="21"/>
                <w14:textFill>
                  <w14:solidFill>
                    <w14:schemeClr w14:val="tx1"/>
                  </w14:solidFill>
                </w14:textFill>
              </w:rPr>
            </w:pPr>
          </w:p>
        </w:tc>
        <w:tc>
          <w:tcPr>
            <w:tcW w:w="3595" w:type="dxa"/>
            <w:tcBorders>
              <w:top w:val="single" w:color="auto" w:sz="4" w:space="0"/>
              <w:left w:val="single" w:color="auto" w:sz="4" w:space="0"/>
              <w:bottom w:val="single" w:color="auto" w:sz="4" w:space="0"/>
              <w:right w:val="single" w:color="auto" w:sz="4" w:space="0"/>
            </w:tcBorders>
            <w:vAlign w:val="center"/>
          </w:tcPr>
          <w:p w14:paraId="3D390096">
            <w:pPr>
              <w:snapToGrid w:val="0"/>
              <w:spacing w:before="120" w:beforeLines="50"/>
              <w:jc w:val="center"/>
              <w:rPr>
                <w:rFonts w:ascii="Arial" w:hAnsi="Arial" w:cs="Arial"/>
                <w:color w:val="000000" w:themeColor="text1"/>
                <w:szCs w:val="21"/>
                <w14:textFill>
                  <w14:solidFill>
                    <w14:schemeClr w14:val="tx1"/>
                  </w14:solidFill>
                </w14:textFill>
              </w:rPr>
            </w:pPr>
          </w:p>
        </w:tc>
        <w:tc>
          <w:tcPr>
            <w:tcW w:w="3405" w:type="dxa"/>
            <w:tcBorders>
              <w:top w:val="single" w:color="auto" w:sz="4" w:space="0"/>
              <w:left w:val="single" w:color="auto" w:sz="4" w:space="0"/>
              <w:bottom w:val="single" w:color="auto" w:sz="4" w:space="0"/>
              <w:right w:val="single" w:color="auto" w:sz="4" w:space="0"/>
            </w:tcBorders>
            <w:vAlign w:val="center"/>
          </w:tcPr>
          <w:p w14:paraId="72C5A9E2">
            <w:pPr>
              <w:snapToGrid w:val="0"/>
              <w:spacing w:before="120" w:beforeLines="50"/>
              <w:jc w:val="center"/>
              <w:rPr>
                <w:rFonts w:ascii="Arial" w:hAnsi="Arial" w:cs="Arial"/>
                <w:color w:val="000000" w:themeColor="text1"/>
                <w:szCs w:val="21"/>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vAlign w:val="center"/>
          </w:tcPr>
          <w:p w14:paraId="30C7B5B7">
            <w:pPr>
              <w:snapToGrid w:val="0"/>
              <w:spacing w:before="120" w:beforeLines="50"/>
              <w:jc w:val="center"/>
              <w:rPr>
                <w:rFonts w:ascii="Arial" w:hAnsi="Arial" w:cs="Arial"/>
                <w:color w:val="000000" w:themeColor="text1"/>
                <w:szCs w:val="21"/>
                <w14:textFill>
                  <w14:solidFill>
                    <w14:schemeClr w14:val="tx1"/>
                  </w14:solidFill>
                </w14:textFill>
              </w:rPr>
            </w:pPr>
          </w:p>
        </w:tc>
      </w:tr>
      <w:tr w14:paraId="62014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72B0AF19">
            <w:pPr>
              <w:snapToGrid w:val="0"/>
              <w:spacing w:before="120" w:before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w:t>
            </w:r>
          </w:p>
        </w:tc>
        <w:tc>
          <w:tcPr>
            <w:tcW w:w="3595" w:type="dxa"/>
            <w:tcBorders>
              <w:top w:val="single" w:color="auto" w:sz="4" w:space="0"/>
              <w:left w:val="single" w:color="auto" w:sz="4" w:space="0"/>
              <w:bottom w:val="single" w:color="auto" w:sz="4" w:space="0"/>
              <w:right w:val="single" w:color="auto" w:sz="4" w:space="0"/>
            </w:tcBorders>
            <w:vAlign w:val="center"/>
          </w:tcPr>
          <w:p w14:paraId="53B654BD">
            <w:pPr>
              <w:snapToGrid w:val="0"/>
              <w:spacing w:before="120" w:before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w:t>
            </w:r>
          </w:p>
        </w:tc>
        <w:tc>
          <w:tcPr>
            <w:tcW w:w="3405" w:type="dxa"/>
            <w:tcBorders>
              <w:top w:val="single" w:color="auto" w:sz="4" w:space="0"/>
              <w:left w:val="single" w:color="auto" w:sz="4" w:space="0"/>
              <w:bottom w:val="single" w:color="auto" w:sz="4" w:space="0"/>
              <w:right w:val="single" w:color="auto" w:sz="4" w:space="0"/>
            </w:tcBorders>
            <w:vAlign w:val="center"/>
          </w:tcPr>
          <w:p w14:paraId="322ADEDA">
            <w:pPr>
              <w:snapToGrid w:val="0"/>
              <w:spacing w:before="120" w:before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w:t>
            </w:r>
          </w:p>
        </w:tc>
        <w:tc>
          <w:tcPr>
            <w:tcW w:w="1082" w:type="dxa"/>
            <w:tcBorders>
              <w:top w:val="single" w:color="auto" w:sz="4" w:space="0"/>
              <w:left w:val="single" w:color="auto" w:sz="4" w:space="0"/>
              <w:bottom w:val="single" w:color="auto" w:sz="4" w:space="0"/>
              <w:right w:val="single" w:color="auto" w:sz="4" w:space="0"/>
            </w:tcBorders>
            <w:vAlign w:val="center"/>
          </w:tcPr>
          <w:p w14:paraId="794C5216">
            <w:pPr>
              <w:snapToGrid w:val="0"/>
              <w:spacing w:before="120" w:beforeLines="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w:t>
            </w:r>
          </w:p>
        </w:tc>
      </w:tr>
    </w:tbl>
    <w:p w14:paraId="678078E4">
      <w:pPr>
        <w:rPr>
          <w:rFonts w:ascii="Arial" w:hAnsi="Arial" w:cs="Arial"/>
          <w:color w:val="000000" w:themeColor="text1"/>
          <w:szCs w:val="21"/>
          <w14:textFill>
            <w14:solidFill>
              <w14:schemeClr w14:val="tx1"/>
            </w14:solidFill>
          </w14:textFill>
        </w:rPr>
      </w:pPr>
    </w:p>
    <w:p w14:paraId="34FE6E86">
      <w:pPr>
        <w:rPr>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注：</w:t>
      </w:r>
      <w:r>
        <w:rPr>
          <w:rFonts w:ascii="Arial" w:hAnsi="Arial" w:cs="Arial"/>
          <w:color w:val="000000" w:themeColor="text1"/>
          <w14:textFill>
            <w14:solidFill>
              <w14:schemeClr w14:val="tx1"/>
            </w14:solidFill>
          </w14:textFill>
        </w:rPr>
        <w:t>（1）</w:t>
      </w:r>
      <w:r>
        <w:rPr>
          <w:rFonts w:ascii="Arial" w:hAnsi="Arial" w:cs="Arial"/>
          <w:color w:val="000000" w:themeColor="text1"/>
          <w:szCs w:val="21"/>
          <w14:textFill>
            <w14:solidFill>
              <w14:schemeClr w14:val="tx1"/>
            </w14:solidFill>
          </w14:textFill>
        </w:rPr>
        <w:t>供应商应根据投标设备的性能指标、对照第二章《项目采购需求》</w:t>
      </w:r>
      <w:r>
        <w:rPr>
          <w:rFonts w:ascii="Arial" w:hAnsi="Arial" w:cs="Arial"/>
          <w:color w:val="000000" w:themeColor="text1"/>
          <w14:textFill>
            <w14:solidFill>
              <w14:schemeClr w14:val="tx1"/>
            </w14:solidFill>
          </w14:textFill>
        </w:rPr>
        <w:t>中所列技术要求（除 “总体要求”、“核心产品”、质量保证”及“</w:t>
      </w:r>
      <w:r>
        <w:rPr>
          <w:rFonts w:ascii="Arial" w:hAnsi="Arial" w:cs="Arial"/>
          <w:color w:val="000000" w:themeColor="text1"/>
          <w:szCs w:val="21"/>
          <w14:textFill>
            <w14:solidFill>
              <w14:schemeClr w14:val="tx1"/>
            </w14:solidFill>
          </w14:textFill>
        </w:rPr>
        <w:t>备品备件及易损件</w:t>
      </w:r>
      <w:r>
        <w:rPr>
          <w:rFonts w:ascii="Arial" w:hAnsi="Arial" w:cs="Arial"/>
          <w:color w:val="000000" w:themeColor="text1"/>
          <w14:textFill>
            <w14:solidFill>
              <w14:schemeClr w14:val="tx1"/>
            </w14:solidFill>
          </w14:textFill>
        </w:rPr>
        <w:t>”外）</w:t>
      </w:r>
      <w:r>
        <w:rPr>
          <w:rFonts w:ascii="Arial" w:hAnsi="Arial" w:cs="Arial"/>
          <w:color w:val="000000" w:themeColor="text1"/>
          <w:szCs w:val="21"/>
          <w14:textFill>
            <w14:solidFill>
              <w14:schemeClr w14:val="tx1"/>
            </w14:solidFill>
          </w14:textFill>
        </w:rPr>
        <w:t>逐条在“偏离说明”栏注明</w:t>
      </w:r>
      <w:r>
        <w:rPr>
          <w:rFonts w:ascii="Arial" w:hAnsi="Arial" w:cs="Arial"/>
          <w:color w:val="000000" w:themeColor="text1"/>
          <w14:textFill>
            <w14:solidFill>
              <w14:schemeClr w14:val="tx1"/>
            </w14:solidFill>
          </w14:textFill>
        </w:rPr>
        <w:t>“正偏离”</w:t>
      </w:r>
      <w:r>
        <w:rPr>
          <w:rFonts w:ascii="Arial" w:hAnsi="Arial" w:cs="Arial"/>
          <w:color w:val="000000" w:themeColor="text1"/>
          <w:szCs w:val="21"/>
          <w14:textFill>
            <w14:solidFill>
              <w14:schemeClr w14:val="tx1"/>
            </w14:solidFill>
          </w14:textFill>
        </w:rPr>
        <w:t>、</w:t>
      </w:r>
      <w:r>
        <w:rPr>
          <w:rFonts w:ascii="Arial" w:hAnsi="Arial" w:cs="Arial"/>
          <w:color w:val="000000" w:themeColor="text1"/>
          <w14:textFill>
            <w14:solidFill>
              <w14:schemeClr w14:val="tx1"/>
            </w14:solidFill>
          </w14:textFill>
        </w:rPr>
        <w:t xml:space="preserve"> “负偏离”</w:t>
      </w:r>
      <w:r>
        <w:rPr>
          <w:rFonts w:ascii="Arial" w:hAnsi="Arial" w:cs="Arial"/>
          <w:color w:val="000000" w:themeColor="text1"/>
          <w:szCs w:val="21"/>
          <w14:textFill>
            <w14:solidFill>
              <w14:schemeClr w14:val="tx1"/>
            </w14:solidFill>
          </w14:textFill>
        </w:rPr>
        <w:t>或</w:t>
      </w:r>
      <w:r>
        <w:rPr>
          <w:rFonts w:ascii="Arial" w:hAnsi="Arial" w:cs="Arial"/>
          <w:color w:val="000000" w:themeColor="text1"/>
          <w14:textFill>
            <w14:solidFill>
              <w14:schemeClr w14:val="tx1"/>
            </w14:solidFill>
          </w14:textFill>
        </w:rPr>
        <w:t>“无偏离”</w:t>
      </w:r>
      <w:r>
        <w:rPr>
          <w:rFonts w:ascii="Arial" w:hAnsi="Arial" w:cs="Arial"/>
          <w:color w:val="000000" w:themeColor="text1"/>
          <w:szCs w:val="21"/>
          <w14:textFill>
            <w14:solidFill>
              <w14:schemeClr w14:val="tx1"/>
            </w14:solidFill>
          </w14:textFill>
        </w:rPr>
        <w:t>。</w:t>
      </w:r>
      <w:r>
        <w:rPr>
          <w:rFonts w:ascii="Arial" w:hAnsi="Arial" w:cs="Arial"/>
          <w:color w:val="000000" w:themeColor="text1"/>
          <w14:textFill>
            <w14:solidFill>
              <w14:schemeClr w14:val="tx1"/>
            </w14:solidFill>
          </w14:textFill>
        </w:rPr>
        <w:t>填写“正偏离”或“无偏离”时，如相应条款在投标文件其他部分描述明确不满足招标文件要求时，评标委员会将按不满足要求进行评审。（2）</w:t>
      </w:r>
      <w:r>
        <w:rPr>
          <w:rFonts w:ascii="Arial" w:hAnsi="Arial" w:cs="Arial"/>
          <w:color w:val="000000" w:themeColor="text1"/>
          <w:szCs w:val="21"/>
          <w14:textFill>
            <w14:solidFill>
              <w14:schemeClr w14:val="tx1"/>
            </w14:solidFill>
          </w14:textFill>
        </w:rPr>
        <w:t>投标技术规格与招标要求相同的为无偏离，投标技术规格高于招标要求的为正偏离，低于招标要求的为负偏离。</w:t>
      </w:r>
      <w:r>
        <w:rPr>
          <w:rFonts w:ascii="Arial" w:hAnsi="Arial" w:cs="Arial"/>
          <w:color w:val="000000" w:themeColor="text1"/>
          <w14:textFill>
            <w14:solidFill>
              <w14:schemeClr w14:val="tx1"/>
            </w14:solidFill>
          </w14:textFill>
        </w:rPr>
        <w:t>（3）本表可扩展。</w:t>
      </w:r>
    </w:p>
    <w:p w14:paraId="06A9FC7B">
      <w:pPr>
        <w:rPr>
          <w:rFonts w:ascii="Arial" w:hAnsi="Arial" w:cs="Arial"/>
          <w:color w:val="000000" w:themeColor="text1"/>
          <w:szCs w:val="21"/>
          <w14:textFill>
            <w14:solidFill>
              <w14:schemeClr w14:val="tx1"/>
            </w14:solidFill>
          </w14:textFill>
        </w:rPr>
      </w:pPr>
    </w:p>
    <w:p w14:paraId="334C259A">
      <w:pPr>
        <w:pStyle w:val="30"/>
        <w:rPr>
          <w:rFonts w:ascii="Arial" w:hAnsi="Arial" w:cs="Arial"/>
          <w:color w:val="000000" w:themeColor="text1"/>
          <w14:textFill>
            <w14:solidFill>
              <w14:schemeClr w14:val="tx1"/>
            </w14:solidFill>
          </w14:textFill>
        </w:rPr>
      </w:pPr>
    </w:p>
    <w:p w14:paraId="219886B2">
      <w:pPr>
        <w:rPr>
          <w:rFonts w:ascii="Arial" w:hAnsi="Arial" w:cs="Arial"/>
          <w:color w:val="000000" w:themeColor="text1"/>
          <w:spacing w:val="20"/>
          <w:szCs w:val="21"/>
          <w:u w:val="single"/>
          <w14:textFill>
            <w14:solidFill>
              <w14:schemeClr w14:val="tx1"/>
            </w14:solidFill>
          </w14:textFill>
        </w:rPr>
      </w:pPr>
      <w:r>
        <w:rPr>
          <w:rFonts w:ascii="Arial" w:hAnsi="Arial" w:cs="Arial"/>
          <w:color w:val="000000" w:themeColor="text1"/>
          <w:szCs w:val="21"/>
          <w14:textFill>
            <w14:solidFill>
              <w14:schemeClr w14:val="tx1"/>
            </w14:solidFill>
          </w14:textFill>
        </w:rPr>
        <w:t>法定代表人或授权代表签字或个人CA签章</w:t>
      </w:r>
      <w:r>
        <w:rPr>
          <w:rFonts w:ascii="Arial" w:hAnsi="Arial" w:cs="Arial"/>
          <w:color w:val="000000" w:themeColor="text1"/>
          <w:spacing w:val="20"/>
          <w:szCs w:val="21"/>
          <w14:textFill>
            <w14:solidFill>
              <w14:schemeClr w14:val="tx1"/>
            </w14:solidFill>
          </w14:textFill>
        </w:rPr>
        <w:t>：</w:t>
      </w:r>
    </w:p>
    <w:p w14:paraId="23810B37">
      <w:pPr>
        <w:rPr>
          <w:rFonts w:ascii="Arial" w:hAnsi="Arial" w:cs="Arial"/>
          <w:color w:val="000000" w:themeColor="text1"/>
          <w:spacing w:val="20"/>
          <w:szCs w:val="21"/>
          <w14:textFill>
            <w14:solidFill>
              <w14:schemeClr w14:val="tx1"/>
            </w14:solidFill>
          </w14:textFill>
        </w:rPr>
      </w:pPr>
      <w:r>
        <w:rPr>
          <w:rFonts w:ascii="Arial" w:hAnsi="Arial" w:cs="Arial"/>
          <w:color w:val="000000" w:themeColor="text1"/>
          <w:spacing w:val="20"/>
          <w:szCs w:val="21"/>
          <w14:textFill>
            <w14:solidFill>
              <w14:schemeClr w14:val="tx1"/>
            </w14:solidFill>
          </w14:textFill>
        </w:rPr>
        <w:t>供应商公章</w:t>
      </w:r>
      <w:r>
        <w:rPr>
          <w:rFonts w:ascii="Arial" w:hAnsi="Arial" w:cs="Arial"/>
          <w:color w:val="000000" w:themeColor="text1"/>
          <w:szCs w:val="21"/>
          <w14:textFill>
            <w14:solidFill>
              <w14:schemeClr w14:val="tx1"/>
            </w14:solidFill>
          </w14:textFill>
        </w:rPr>
        <w:t>（CA签章）</w:t>
      </w:r>
      <w:r>
        <w:rPr>
          <w:rFonts w:ascii="Arial" w:hAnsi="Arial" w:cs="Arial"/>
          <w:color w:val="000000" w:themeColor="text1"/>
          <w:spacing w:val="20"/>
          <w:szCs w:val="21"/>
          <w14:textFill>
            <w14:solidFill>
              <w14:schemeClr w14:val="tx1"/>
            </w14:solidFill>
          </w14:textFill>
        </w:rPr>
        <w:t xml:space="preserve">： </w:t>
      </w:r>
    </w:p>
    <w:p w14:paraId="0B03A888">
      <w:pPr>
        <w:rPr>
          <w:rFonts w:ascii="Arial" w:hAnsi="Arial" w:cs="Arial"/>
          <w:color w:val="000000" w:themeColor="text1"/>
          <w:szCs w:val="21"/>
          <w14:textFill>
            <w14:solidFill>
              <w14:schemeClr w14:val="tx1"/>
            </w14:solidFill>
          </w14:textFill>
        </w:rPr>
      </w:pPr>
      <w:r>
        <w:rPr>
          <w:rFonts w:ascii="Arial" w:hAnsi="Arial" w:cs="Arial"/>
          <w:color w:val="000000" w:themeColor="text1"/>
          <w:spacing w:val="20"/>
          <w:szCs w:val="21"/>
          <w14:textFill>
            <w14:solidFill>
              <w14:schemeClr w14:val="tx1"/>
            </w14:solidFill>
          </w14:textFill>
        </w:rPr>
        <w:t>日 期：</w:t>
      </w:r>
    </w:p>
    <w:p w14:paraId="576723F4">
      <w:pPr>
        <w:snapToGrid w:val="0"/>
        <w:spacing w:before="50" w:after="120" w:afterLines="50"/>
        <w:jc w:val="left"/>
        <w:rPr>
          <w:rFonts w:ascii="Arial" w:hAnsi="Arial" w:cs="Arial"/>
          <w:color w:val="000000" w:themeColor="text1"/>
          <w:szCs w:val="21"/>
          <w14:textFill>
            <w14:solidFill>
              <w14:schemeClr w14:val="tx1"/>
            </w14:solidFill>
          </w14:textFill>
        </w:rPr>
      </w:pPr>
    </w:p>
    <w:p w14:paraId="1944F05A">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2．货物或产品配置清单格式：</w:t>
      </w:r>
    </w:p>
    <w:tbl>
      <w:tblPr>
        <w:tblStyle w:val="54"/>
        <w:tblW w:w="885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8"/>
        <w:gridCol w:w="1665"/>
        <w:gridCol w:w="1163"/>
        <w:gridCol w:w="1152"/>
        <w:gridCol w:w="1581"/>
        <w:gridCol w:w="1679"/>
        <w:gridCol w:w="1069"/>
      </w:tblGrid>
      <w:tr w14:paraId="189DB4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9"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14:paraId="34555DE1">
            <w:pPr>
              <w:snapToGrid w:val="0"/>
              <w:spacing w:before="50" w:after="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序号</w:t>
            </w:r>
          </w:p>
        </w:tc>
        <w:tc>
          <w:tcPr>
            <w:tcW w:w="1665" w:type="dxa"/>
            <w:tcBorders>
              <w:top w:val="single" w:color="auto" w:sz="4" w:space="0"/>
              <w:left w:val="single" w:color="auto" w:sz="4" w:space="0"/>
              <w:bottom w:val="single" w:color="auto" w:sz="4" w:space="0"/>
              <w:right w:val="single" w:color="auto" w:sz="4" w:space="0"/>
            </w:tcBorders>
            <w:vAlign w:val="center"/>
          </w:tcPr>
          <w:p w14:paraId="071BC1B5">
            <w:pPr>
              <w:snapToGrid w:val="0"/>
              <w:spacing w:before="50" w:after="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货物或产品</w:t>
            </w:r>
          </w:p>
          <w:p w14:paraId="0019600E">
            <w:pPr>
              <w:snapToGrid w:val="0"/>
              <w:spacing w:before="50" w:after="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名称</w:t>
            </w:r>
          </w:p>
        </w:tc>
        <w:tc>
          <w:tcPr>
            <w:tcW w:w="1163" w:type="dxa"/>
            <w:tcBorders>
              <w:top w:val="single" w:color="auto" w:sz="4" w:space="0"/>
              <w:left w:val="single" w:color="auto" w:sz="4" w:space="0"/>
              <w:bottom w:val="single" w:color="auto" w:sz="4" w:space="0"/>
              <w:right w:val="single" w:color="auto" w:sz="4" w:space="0"/>
            </w:tcBorders>
            <w:vAlign w:val="center"/>
          </w:tcPr>
          <w:p w14:paraId="10BFE76D">
            <w:pPr>
              <w:snapToGrid w:val="0"/>
              <w:spacing w:before="50" w:after="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品牌或制造商</w:t>
            </w:r>
          </w:p>
        </w:tc>
        <w:tc>
          <w:tcPr>
            <w:tcW w:w="1152" w:type="dxa"/>
            <w:tcBorders>
              <w:top w:val="single" w:color="auto" w:sz="4" w:space="0"/>
              <w:left w:val="single" w:color="auto" w:sz="4" w:space="0"/>
              <w:bottom w:val="single" w:color="auto" w:sz="4" w:space="0"/>
              <w:right w:val="single" w:color="auto" w:sz="4" w:space="0"/>
            </w:tcBorders>
            <w:vAlign w:val="center"/>
          </w:tcPr>
          <w:p w14:paraId="3834DBE5">
            <w:pPr>
              <w:snapToGrid w:val="0"/>
              <w:spacing w:before="50" w:after="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规格型号</w:t>
            </w:r>
          </w:p>
        </w:tc>
        <w:tc>
          <w:tcPr>
            <w:tcW w:w="1581" w:type="dxa"/>
            <w:tcBorders>
              <w:top w:val="single" w:color="auto" w:sz="4" w:space="0"/>
              <w:left w:val="single" w:color="auto" w:sz="4" w:space="0"/>
              <w:bottom w:val="single" w:color="auto" w:sz="4" w:space="0"/>
              <w:right w:val="single" w:color="auto" w:sz="4" w:space="0"/>
            </w:tcBorders>
            <w:vAlign w:val="center"/>
          </w:tcPr>
          <w:p w14:paraId="082E20AB">
            <w:pPr>
              <w:snapToGrid w:val="0"/>
              <w:spacing w:before="50" w:after="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单位及数量</w:t>
            </w:r>
          </w:p>
        </w:tc>
        <w:tc>
          <w:tcPr>
            <w:tcW w:w="1679" w:type="dxa"/>
            <w:tcBorders>
              <w:top w:val="single" w:color="auto" w:sz="4" w:space="0"/>
              <w:left w:val="single" w:color="auto" w:sz="4" w:space="0"/>
              <w:bottom w:val="single" w:color="auto" w:sz="4" w:space="0"/>
              <w:right w:val="single" w:color="auto" w:sz="4" w:space="0"/>
            </w:tcBorders>
            <w:vAlign w:val="center"/>
          </w:tcPr>
          <w:p w14:paraId="1E6A746C">
            <w:pPr>
              <w:snapToGrid w:val="0"/>
              <w:spacing w:before="50" w:after="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性能及指标</w:t>
            </w:r>
          </w:p>
        </w:tc>
        <w:tc>
          <w:tcPr>
            <w:tcW w:w="1069" w:type="dxa"/>
            <w:tcBorders>
              <w:top w:val="single" w:color="auto" w:sz="4" w:space="0"/>
              <w:left w:val="single" w:color="auto" w:sz="4" w:space="0"/>
              <w:bottom w:val="single" w:color="auto" w:sz="4" w:space="0"/>
              <w:right w:val="single" w:color="auto" w:sz="4" w:space="0"/>
            </w:tcBorders>
            <w:vAlign w:val="center"/>
          </w:tcPr>
          <w:p w14:paraId="558976CE">
            <w:pPr>
              <w:snapToGrid w:val="0"/>
              <w:spacing w:before="50" w:after="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产地</w:t>
            </w:r>
          </w:p>
        </w:tc>
      </w:tr>
      <w:tr w14:paraId="644E3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9"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14:paraId="147FDB77">
            <w:pPr>
              <w:snapToGrid w:val="0"/>
              <w:spacing w:before="50" w:after="50"/>
              <w:jc w:val="center"/>
              <w:rPr>
                <w:rFonts w:ascii="Arial" w:hAnsi="Arial" w:cs="Arial"/>
                <w:color w:val="000000" w:themeColor="text1"/>
                <w:szCs w:val="21"/>
                <w14:textFill>
                  <w14:solidFill>
                    <w14:schemeClr w14:val="tx1"/>
                  </w14:solidFill>
                </w14:textFill>
              </w:rPr>
            </w:pPr>
          </w:p>
        </w:tc>
        <w:tc>
          <w:tcPr>
            <w:tcW w:w="1665" w:type="dxa"/>
            <w:tcBorders>
              <w:top w:val="single" w:color="auto" w:sz="4" w:space="0"/>
              <w:left w:val="single" w:color="auto" w:sz="4" w:space="0"/>
              <w:bottom w:val="single" w:color="auto" w:sz="4" w:space="0"/>
              <w:right w:val="single" w:color="auto" w:sz="4" w:space="0"/>
            </w:tcBorders>
            <w:vAlign w:val="center"/>
          </w:tcPr>
          <w:p w14:paraId="638C6E22">
            <w:pPr>
              <w:snapToGrid w:val="0"/>
              <w:spacing w:before="50" w:after="50"/>
              <w:rPr>
                <w:rFonts w:ascii="Arial" w:hAnsi="Arial" w:cs="Arial"/>
                <w:color w:val="000000" w:themeColor="text1"/>
                <w:szCs w:val="21"/>
                <w14:textFill>
                  <w14:solidFill>
                    <w14:schemeClr w14:val="tx1"/>
                  </w14:solidFill>
                </w14:textFill>
              </w:rPr>
            </w:pPr>
          </w:p>
        </w:tc>
        <w:tc>
          <w:tcPr>
            <w:tcW w:w="1163" w:type="dxa"/>
            <w:tcBorders>
              <w:top w:val="single" w:color="auto" w:sz="4" w:space="0"/>
              <w:left w:val="single" w:color="auto" w:sz="4" w:space="0"/>
              <w:bottom w:val="single" w:color="auto" w:sz="4" w:space="0"/>
              <w:right w:val="single" w:color="auto" w:sz="4" w:space="0"/>
            </w:tcBorders>
            <w:vAlign w:val="center"/>
          </w:tcPr>
          <w:p w14:paraId="2D2B430F">
            <w:pPr>
              <w:snapToGrid w:val="0"/>
              <w:spacing w:before="50" w:after="50"/>
              <w:jc w:val="center"/>
              <w:rPr>
                <w:rFonts w:ascii="Arial" w:hAnsi="Arial" w:cs="Arial"/>
                <w:color w:val="000000" w:themeColor="text1"/>
                <w:szCs w:val="21"/>
                <w14:textFill>
                  <w14:solidFill>
                    <w14:schemeClr w14:val="tx1"/>
                  </w14:solidFill>
                </w14:textFill>
              </w:rPr>
            </w:pPr>
          </w:p>
        </w:tc>
        <w:tc>
          <w:tcPr>
            <w:tcW w:w="1152" w:type="dxa"/>
            <w:tcBorders>
              <w:top w:val="single" w:color="auto" w:sz="4" w:space="0"/>
              <w:left w:val="single" w:color="auto" w:sz="4" w:space="0"/>
              <w:bottom w:val="single" w:color="auto" w:sz="4" w:space="0"/>
              <w:right w:val="single" w:color="auto" w:sz="4" w:space="0"/>
            </w:tcBorders>
            <w:vAlign w:val="center"/>
          </w:tcPr>
          <w:p w14:paraId="3BEB27A3">
            <w:pPr>
              <w:snapToGrid w:val="0"/>
              <w:spacing w:before="50" w:after="50"/>
              <w:jc w:val="center"/>
              <w:rPr>
                <w:rFonts w:ascii="Arial" w:hAnsi="Arial" w:cs="Arial"/>
                <w:color w:val="000000" w:themeColor="text1"/>
                <w:szCs w:val="21"/>
                <w14:textFill>
                  <w14:solidFill>
                    <w14:schemeClr w14:val="tx1"/>
                  </w14:solidFill>
                </w14:textFill>
              </w:rPr>
            </w:pPr>
          </w:p>
        </w:tc>
        <w:tc>
          <w:tcPr>
            <w:tcW w:w="1581" w:type="dxa"/>
            <w:tcBorders>
              <w:top w:val="single" w:color="auto" w:sz="4" w:space="0"/>
              <w:left w:val="single" w:color="auto" w:sz="4" w:space="0"/>
              <w:bottom w:val="single" w:color="auto" w:sz="4" w:space="0"/>
              <w:right w:val="single" w:color="auto" w:sz="4" w:space="0"/>
            </w:tcBorders>
            <w:vAlign w:val="center"/>
          </w:tcPr>
          <w:p w14:paraId="0D0D43D1">
            <w:pPr>
              <w:snapToGrid w:val="0"/>
              <w:spacing w:before="50" w:after="50"/>
              <w:jc w:val="center"/>
              <w:rPr>
                <w:rFonts w:ascii="Arial" w:hAnsi="Arial" w:cs="Arial"/>
                <w:color w:val="000000" w:themeColor="text1"/>
                <w:szCs w:val="21"/>
                <w14:textFill>
                  <w14:solidFill>
                    <w14:schemeClr w14:val="tx1"/>
                  </w14:solidFill>
                </w14:textFill>
              </w:rPr>
            </w:pPr>
          </w:p>
        </w:tc>
        <w:tc>
          <w:tcPr>
            <w:tcW w:w="1679" w:type="dxa"/>
            <w:tcBorders>
              <w:top w:val="single" w:color="auto" w:sz="4" w:space="0"/>
              <w:left w:val="single" w:color="auto" w:sz="4" w:space="0"/>
              <w:bottom w:val="single" w:color="auto" w:sz="4" w:space="0"/>
              <w:right w:val="single" w:color="auto" w:sz="4" w:space="0"/>
            </w:tcBorders>
            <w:vAlign w:val="center"/>
          </w:tcPr>
          <w:p w14:paraId="1A19E334">
            <w:pPr>
              <w:snapToGrid w:val="0"/>
              <w:spacing w:before="50" w:after="50"/>
              <w:jc w:val="center"/>
              <w:rPr>
                <w:rFonts w:ascii="Arial" w:hAnsi="Arial" w:cs="Arial"/>
                <w:color w:val="000000" w:themeColor="text1"/>
                <w:szCs w:val="21"/>
                <w14:textFill>
                  <w14:solidFill>
                    <w14:schemeClr w14:val="tx1"/>
                  </w14:solidFill>
                </w14:textFill>
              </w:rPr>
            </w:pPr>
          </w:p>
        </w:tc>
        <w:tc>
          <w:tcPr>
            <w:tcW w:w="1069" w:type="dxa"/>
            <w:tcBorders>
              <w:top w:val="single" w:color="auto" w:sz="4" w:space="0"/>
              <w:left w:val="single" w:color="auto" w:sz="4" w:space="0"/>
              <w:bottom w:val="single" w:color="auto" w:sz="4" w:space="0"/>
              <w:right w:val="single" w:color="auto" w:sz="4" w:space="0"/>
            </w:tcBorders>
            <w:vAlign w:val="center"/>
          </w:tcPr>
          <w:p w14:paraId="740F4FD6">
            <w:pPr>
              <w:snapToGrid w:val="0"/>
              <w:spacing w:before="50" w:after="50"/>
              <w:jc w:val="center"/>
              <w:rPr>
                <w:rFonts w:ascii="Arial" w:hAnsi="Arial" w:cs="Arial"/>
                <w:color w:val="000000" w:themeColor="text1"/>
                <w:szCs w:val="21"/>
                <w14:textFill>
                  <w14:solidFill>
                    <w14:schemeClr w14:val="tx1"/>
                  </w14:solidFill>
                </w14:textFill>
              </w:rPr>
            </w:pPr>
          </w:p>
        </w:tc>
      </w:tr>
      <w:tr w14:paraId="408B3A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3"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14:paraId="7024B7F4">
            <w:pPr>
              <w:snapToGrid w:val="0"/>
              <w:spacing w:before="50" w:after="50"/>
              <w:jc w:val="center"/>
              <w:rPr>
                <w:rFonts w:ascii="Arial" w:hAnsi="Arial" w:cs="Arial"/>
                <w:color w:val="000000" w:themeColor="text1"/>
                <w:szCs w:val="21"/>
                <w14:textFill>
                  <w14:solidFill>
                    <w14:schemeClr w14:val="tx1"/>
                  </w14:solidFill>
                </w14:textFill>
              </w:rPr>
            </w:pPr>
          </w:p>
        </w:tc>
        <w:tc>
          <w:tcPr>
            <w:tcW w:w="1665" w:type="dxa"/>
            <w:tcBorders>
              <w:top w:val="single" w:color="auto" w:sz="4" w:space="0"/>
              <w:left w:val="single" w:color="auto" w:sz="4" w:space="0"/>
              <w:bottom w:val="single" w:color="auto" w:sz="4" w:space="0"/>
              <w:right w:val="single" w:color="auto" w:sz="4" w:space="0"/>
            </w:tcBorders>
            <w:vAlign w:val="center"/>
          </w:tcPr>
          <w:p w14:paraId="51160B38">
            <w:pPr>
              <w:snapToGrid w:val="0"/>
              <w:spacing w:before="50" w:after="50"/>
              <w:jc w:val="center"/>
              <w:rPr>
                <w:rFonts w:ascii="Arial" w:hAnsi="Arial" w:cs="Arial"/>
                <w:color w:val="000000" w:themeColor="text1"/>
                <w:szCs w:val="21"/>
                <w14:textFill>
                  <w14:solidFill>
                    <w14:schemeClr w14:val="tx1"/>
                  </w14:solidFill>
                </w14:textFill>
              </w:rPr>
            </w:pPr>
          </w:p>
        </w:tc>
        <w:tc>
          <w:tcPr>
            <w:tcW w:w="1163" w:type="dxa"/>
            <w:tcBorders>
              <w:top w:val="single" w:color="auto" w:sz="4" w:space="0"/>
              <w:left w:val="single" w:color="auto" w:sz="4" w:space="0"/>
              <w:bottom w:val="single" w:color="auto" w:sz="4" w:space="0"/>
              <w:right w:val="single" w:color="auto" w:sz="4" w:space="0"/>
            </w:tcBorders>
            <w:vAlign w:val="center"/>
          </w:tcPr>
          <w:p w14:paraId="21B34E70">
            <w:pPr>
              <w:snapToGrid w:val="0"/>
              <w:spacing w:before="50" w:after="50"/>
              <w:jc w:val="center"/>
              <w:rPr>
                <w:rFonts w:ascii="Arial" w:hAnsi="Arial" w:cs="Arial"/>
                <w:color w:val="000000" w:themeColor="text1"/>
                <w:szCs w:val="21"/>
                <w14:textFill>
                  <w14:solidFill>
                    <w14:schemeClr w14:val="tx1"/>
                  </w14:solidFill>
                </w14:textFill>
              </w:rPr>
            </w:pPr>
          </w:p>
        </w:tc>
        <w:tc>
          <w:tcPr>
            <w:tcW w:w="1152" w:type="dxa"/>
            <w:tcBorders>
              <w:top w:val="single" w:color="auto" w:sz="4" w:space="0"/>
              <w:left w:val="single" w:color="auto" w:sz="4" w:space="0"/>
              <w:bottom w:val="single" w:color="auto" w:sz="4" w:space="0"/>
              <w:right w:val="single" w:color="auto" w:sz="4" w:space="0"/>
            </w:tcBorders>
            <w:vAlign w:val="center"/>
          </w:tcPr>
          <w:p w14:paraId="111AAC54">
            <w:pPr>
              <w:snapToGrid w:val="0"/>
              <w:spacing w:before="50" w:after="50"/>
              <w:jc w:val="center"/>
              <w:rPr>
                <w:rFonts w:ascii="Arial" w:hAnsi="Arial" w:cs="Arial"/>
                <w:color w:val="000000" w:themeColor="text1"/>
                <w:szCs w:val="21"/>
                <w14:textFill>
                  <w14:solidFill>
                    <w14:schemeClr w14:val="tx1"/>
                  </w14:solidFill>
                </w14:textFill>
              </w:rPr>
            </w:pPr>
          </w:p>
        </w:tc>
        <w:tc>
          <w:tcPr>
            <w:tcW w:w="1581" w:type="dxa"/>
            <w:tcBorders>
              <w:top w:val="single" w:color="auto" w:sz="4" w:space="0"/>
              <w:left w:val="single" w:color="auto" w:sz="4" w:space="0"/>
              <w:bottom w:val="single" w:color="auto" w:sz="4" w:space="0"/>
              <w:right w:val="single" w:color="auto" w:sz="4" w:space="0"/>
            </w:tcBorders>
            <w:vAlign w:val="center"/>
          </w:tcPr>
          <w:p w14:paraId="04BFF7AA">
            <w:pPr>
              <w:snapToGrid w:val="0"/>
              <w:spacing w:before="50" w:after="50"/>
              <w:jc w:val="center"/>
              <w:rPr>
                <w:rFonts w:ascii="Arial" w:hAnsi="Arial" w:cs="Arial"/>
                <w:color w:val="000000" w:themeColor="text1"/>
                <w:szCs w:val="21"/>
                <w14:textFill>
                  <w14:solidFill>
                    <w14:schemeClr w14:val="tx1"/>
                  </w14:solidFill>
                </w14:textFill>
              </w:rPr>
            </w:pPr>
          </w:p>
        </w:tc>
        <w:tc>
          <w:tcPr>
            <w:tcW w:w="1679" w:type="dxa"/>
            <w:tcBorders>
              <w:top w:val="single" w:color="auto" w:sz="4" w:space="0"/>
              <w:left w:val="single" w:color="auto" w:sz="4" w:space="0"/>
              <w:bottom w:val="single" w:color="auto" w:sz="4" w:space="0"/>
              <w:right w:val="single" w:color="auto" w:sz="4" w:space="0"/>
            </w:tcBorders>
            <w:vAlign w:val="center"/>
          </w:tcPr>
          <w:p w14:paraId="3269DEC4">
            <w:pPr>
              <w:snapToGrid w:val="0"/>
              <w:spacing w:before="50" w:after="50"/>
              <w:jc w:val="center"/>
              <w:rPr>
                <w:rFonts w:ascii="Arial" w:hAnsi="Arial" w:cs="Arial"/>
                <w:color w:val="000000" w:themeColor="text1"/>
                <w:szCs w:val="21"/>
                <w14:textFill>
                  <w14:solidFill>
                    <w14:schemeClr w14:val="tx1"/>
                  </w14:solidFill>
                </w14:textFill>
              </w:rPr>
            </w:pPr>
          </w:p>
        </w:tc>
        <w:tc>
          <w:tcPr>
            <w:tcW w:w="1069" w:type="dxa"/>
            <w:tcBorders>
              <w:top w:val="single" w:color="auto" w:sz="4" w:space="0"/>
              <w:left w:val="single" w:color="auto" w:sz="4" w:space="0"/>
              <w:bottom w:val="single" w:color="auto" w:sz="4" w:space="0"/>
              <w:right w:val="single" w:color="auto" w:sz="4" w:space="0"/>
            </w:tcBorders>
            <w:vAlign w:val="center"/>
          </w:tcPr>
          <w:p w14:paraId="71857A8C">
            <w:pPr>
              <w:snapToGrid w:val="0"/>
              <w:spacing w:before="50" w:after="50"/>
              <w:jc w:val="center"/>
              <w:rPr>
                <w:rFonts w:ascii="Arial" w:hAnsi="Arial" w:cs="Arial"/>
                <w:color w:val="000000" w:themeColor="text1"/>
                <w:szCs w:val="21"/>
                <w14:textFill>
                  <w14:solidFill>
                    <w14:schemeClr w14:val="tx1"/>
                  </w14:solidFill>
                </w14:textFill>
              </w:rPr>
            </w:pPr>
          </w:p>
        </w:tc>
      </w:tr>
      <w:tr w14:paraId="5FCC7A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14:paraId="444BA074">
            <w:pPr>
              <w:snapToGrid w:val="0"/>
              <w:spacing w:before="50" w:after="50"/>
              <w:jc w:val="center"/>
              <w:rPr>
                <w:rFonts w:ascii="Arial" w:hAnsi="Arial" w:cs="Arial"/>
                <w:color w:val="000000" w:themeColor="text1"/>
                <w:szCs w:val="21"/>
                <w14:textFill>
                  <w14:solidFill>
                    <w14:schemeClr w14:val="tx1"/>
                  </w14:solidFill>
                </w14:textFill>
              </w:rPr>
            </w:pPr>
          </w:p>
        </w:tc>
        <w:tc>
          <w:tcPr>
            <w:tcW w:w="1665" w:type="dxa"/>
            <w:tcBorders>
              <w:top w:val="single" w:color="auto" w:sz="4" w:space="0"/>
              <w:left w:val="single" w:color="auto" w:sz="4" w:space="0"/>
              <w:bottom w:val="single" w:color="auto" w:sz="4" w:space="0"/>
              <w:right w:val="single" w:color="auto" w:sz="4" w:space="0"/>
            </w:tcBorders>
            <w:vAlign w:val="center"/>
          </w:tcPr>
          <w:p w14:paraId="2CD59A5F">
            <w:pPr>
              <w:snapToGrid w:val="0"/>
              <w:spacing w:before="50" w:after="50"/>
              <w:jc w:val="center"/>
              <w:rPr>
                <w:rFonts w:ascii="Arial" w:hAnsi="Arial" w:cs="Arial"/>
                <w:color w:val="000000" w:themeColor="text1"/>
                <w:szCs w:val="21"/>
                <w14:textFill>
                  <w14:solidFill>
                    <w14:schemeClr w14:val="tx1"/>
                  </w14:solidFill>
                </w14:textFill>
              </w:rPr>
            </w:pPr>
          </w:p>
        </w:tc>
        <w:tc>
          <w:tcPr>
            <w:tcW w:w="1163" w:type="dxa"/>
            <w:tcBorders>
              <w:top w:val="single" w:color="auto" w:sz="4" w:space="0"/>
              <w:left w:val="single" w:color="auto" w:sz="4" w:space="0"/>
              <w:bottom w:val="single" w:color="auto" w:sz="4" w:space="0"/>
              <w:right w:val="single" w:color="auto" w:sz="4" w:space="0"/>
            </w:tcBorders>
            <w:vAlign w:val="center"/>
          </w:tcPr>
          <w:p w14:paraId="0A032B1F">
            <w:pPr>
              <w:snapToGrid w:val="0"/>
              <w:spacing w:before="50" w:after="50"/>
              <w:jc w:val="center"/>
              <w:rPr>
                <w:rFonts w:ascii="Arial" w:hAnsi="Arial" w:cs="Arial"/>
                <w:color w:val="000000" w:themeColor="text1"/>
                <w:szCs w:val="21"/>
                <w14:textFill>
                  <w14:solidFill>
                    <w14:schemeClr w14:val="tx1"/>
                  </w14:solidFill>
                </w14:textFill>
              </w:rPr>
            </w:pPr>
          </w:p>
        </w:tc>
        <w:tc>
          <w:tcPr>
            <w:tcW w:w="1152" w:type="dxa"/>
            <w:tcBorders>
              <w:top w:val="single" w:color="auto" w:sz="4" w:space="0"/>
              <w:left w:val="single" w:color="auto" w:sz="4" w:space="0"/>
              <w:bottom w:val="single" w:color="auto" w:sz="4" w:space="0"/>
              <w:right w:val="single" w:color="auto" w:sz="4" w:space="0"/>
            </w:tcBorders>
            <w:vAlign w:val="center"/>
          </w:tcPr>
          <w:p w14:paraId="21707931">
            <w:pPr>
              <w:snapToGrid w:val="0"/>
              <w:spacing w:before="50" w:after="50"/>
              <w:jc w:val="center"/>
              <w:rPr>
                <w:rFonts w:ascii="Arial" w:hAnsi="Arial" w:cs="Arial"/>
                <w:color w:val="000000" w:themeColor="text1"/>
                <w:szCs w:val="21"/>
                <w14:textFill>
                  <w14:solidFill>
                    <w14:schemeClr w14:val="tx1"/>
                  </w14:solidFill>
                </w14:textFill>
              </w:rPr>
            </w:pPr>
          </w:p>
        </w:tc>
        <w:tc>
          <w:tcPr>
            <w:tcW w:w="1581" w:type="dxa"/>
            <w:tcBorders>
              <w:top w:val="single" w:color="auto" w:sz="4" w:space="0"/>
              <w:left w:val="single" w:color="auto" w:sz="4" w:space="0"/>
              <w:bottom w:val="single" w:color="auto" w:sz="4" w:space="0"/>
              <w:right w:val="single" w:color="auto" w:sz="4" w:space="0"/>
            </w:tcBorders>
            <w:vAlign w:val="center"/>
          </w:tcPr>
          <w:p w14:paraId="40659721">
            <w:pPr>
              <w:snapToGrid w:val="0"/>
              <w:spacing w:before="50" w:after="50"/>
              <w:jc w:val="center"/>
              <w:rPr>
                <w:rFonts w:ascii="Arial" w:hAnsi="Arial" w:cs="Arial"/>
                <w:color w:val="000000" w:themeColor="text1"/>
                <w:szCs w:val="21"/>
                <w14:textFill>
                  <w14:solidFill>
                    <w14:schemeClr w14:val="tx1"/>
                  </w14:solidFill>
                </w14:textFill>
              </w:rPr>
            </w:pPr>
          </w:p>
        </w:tc>
        <w:tc>
          <w:tcPr>
            <w:tcW w:w="1679" w:type="dxa"/>
            <w:tcBorders>
              <w:top w:val="single" w:color="auto" w:sz="4" w:space="0"/>
              <w:left w:val="single" w:color="auto" w:sz="4" w:space="0"/>
              <w:bottom w:val="single" w:color="auto" w:sz="4" w:space="0"/>
              <w:right w:val="single" w:color="auto" w:sz="4" w:space="0"/>
            </w:tcBorders>
            <w:vAlign w:val="center"/>
          </w:tcPr>
          <w:p w14:paraId="5939E988">
            <w:pPr>
              <w:snapToGrid w:val="0"/>
              <w:spacing w:before="50" w:after="50"/>
              <w:jc w:val="center"/>
              <w:rPr>
                <w:rFonts w:ascii="Arial" w:hAnsi="Arial" w:cs="Arial"/>
                <w:color w:val="000000" w:themeColor="text1"/>
                <w:szCs w:val="21"/>
                <w14:textFill>
                  <w14:solidFill>
                    <w14:schemeClr w14:val="tx1"/>
                  </w14:solidFill>
                </w14:textFill>
              </w:rPr>
            </w:pPr>
          </w:p>
        </w:tc>
        <w:tc>
          <w:tcPr>
            <w:tcW w:w="1069" w:type="dxa"/>
            <w:tcBorders>
              <w:top w:val="single" w:color="auto" w:sz="4" w:space="0"/>
              <w:left w:val="single" w:color="auto" w:sz="4" w:space="0"/>
              <w:bottom w:val="single" w:color="auto" w:sz="4" w:space="0"/>
              <w:right w:val="single" w:color="auto" w:sz="4" w:space="0"/>
            </w:tcBorders>
            <w:vAlign w:val="center"/>
          </w:tcPr>
          <w:p w14:paraId="34ED992A">
            <w:pPr>
              <w:snapToGrid w:val="0"/>
              <w:spacing w:before="50" w:after="50"/>
              <w:jc w:val="center"/>
              <w:rPr>
                <w:rFonts w:ascii="Arial" w:hAnsi="Arial" w:cs="Arial"/>
                <w:color w:val="000000" w:themeColor="text1"/>
                <w:szCs w:val="21"/>
                <w14:textFill>
                  <w14:solidFill>
                    <w14:schemeClr w14:val="tx1"/>
                  </w14:solidFill>
                </w14:textFill>
              </w:rPr>
            </w:pPr>
          </w:p>
        </w:tc>
      </w:tr>
    </w:tbl>
    <w:p w14:paraId="35C1C360">
      <w:pPr>
        <w:snapToGrid w:val="0"/>
        <w:spacing w:before="50" w:after="50" w:line="440" w:lineRule="exact"/>
        <w:rPr>
          <w:rFonts w:ascii="Arial" w:hAnsi="Arial" w:cs="Arial"/>
          <w:color w:val="000000" w:themeColor="text1"/>
          <w:spacing w:val="20"/>
          <w:szCs w:val="21"/>
          <w:u w:val="single"/>
          <w14:textFill>
            <w14:solidFill>
              <w14:schemeClr w14:val="tx1"/>
            </w14:solidFill>
          </w14:textFill>
        </w:rPr>
      </w:pPr>
      <w:r>
        <w:rPr>
          <w:rFonts w:ascii="Arial" w:hAnsi="Arial" w:cs="Arial"/>
          <w:color w:val="000000" w:themeColor="text1"/>
          <w:szCs w:val="21"/>
          <w14:textFill>
            <w14:solidFill>
              <w14:schemeClr w14:val="tx1"/>
            </w14:solidFill>
          </w14:textFill>
        </w:rPr>
        <w:t>法定代表人或授权代表签字或个人CA签章</w:t>
      </w:r>
      <w:r>
        <w:rPr>
          <w:rFonts w:ascii="Arial" w:hAnsi="Arial" w:cs="Arial"/>
          <w:color w:val="000000" w:themeColor="text1"/>
          <w:spacing w:val="20"/>
          <w:szCs w:val="21"/>
          <w14:textFill>
            <w14:solidFill>
              <w14:schemeClr w14:val="tx1"/>
            </w14:solidFill>
          </w14:textFill>
        </w:rPr>
        <w:t>：</w:t>
      </w:r>
    </w:p>
    <w:p w14:paraId="59C6D0BE">
      <w:pPr>
        <w:snapToGrid w:val="0"/>
        <w:spacing w:before="50" w:after="50" w:line="440" w:lineRule="exact"/>
        <w:rPr>
          <w:rFonts w:ascii="Arial" w:hAnsi="Arial" w:cs="Arial"/>
          <w:color w:val="000000" w:themeColor="text1"/>
          <w:szCs w:val="21"/>
          <w14:textFill>
            <w14:solidFill>
              <w14:schemeClr w14:val="tx1"/>
            </w14:solidFill>
          </w14:textFill>
        </w:rPr>
      </w:pPr>
      <w:r>
        <w:rPr>
          <w:rFonts w:ascii="Arial" w:hAnsi="Arial" w:cs="Arial"/>
          <w:color w:val="000000" w:themeColor="text1"/>
          <w:spacing w:val="20"/>
          <w:szCs w:val="21"/>
          <w14:textFill>
            <w14:solidFill>
              <w14:schemeClr w14:val="tx1"/>
            </w14:solidFill>
          </w14:textFill>
        </w:rPr>
        <w:t>供应商公章</w:t>
      </w:r>
      <w:r>
        <w:rPr>
          <w:rFonts w:ascii="Arial" w:hAnsi="Arial" w:cs="Arial"/>
          <w:color w:val="000000" w:themeColor="text1"/>
          <w:szCs w:val="21"/>
          <w14:textFill>
            <w14:solidFill>
              <w14:schemeClr w14:val="tx1"/>
            </w14:solidFill>
          </w14:textFill>
        </w:rPr>
        <w:t>（CA签章）</w:t>
      </w:r>
      <w:r>
        <w:rPr>
          <w:rFonts w:ascii="Arial" w:hAnsi="Arial" w:cs="Arial"/>
          <w:color w:val="000000" w:themeColor="text1"/>
          <w:spacing w:val="20"/>
          <w:szCs w:val="21"/>
          <w14:textFill>
            <w14:solidFill>
              <w14:schemeClr w14:val="tx1"/>
            </w14:solidFill>
          </w14:textFill>
        </w:rPr>
        <w:t>： 日  期：</w:t>
      </w:r>
    </w:p>
    <w:p w14:paraId="74845319">
      <w:pPr>
        <w:rPr>
          <w:rFonts w:ascii="Arial" w:hAnsi="Arial" w:cs="Arial"/>
          <w:color w:val="000000" w:themeColor="text1"/>
          <w:szCs w:val="21"/>
          <w14:textFill>
            <w14:solidFill>
              <w14:schemeClr w14:val="tx1"/>
            </w14:solidFill>
          </w14:textFill>
        </w:rPr>
      </w:pPr>
    </w:p>
    <w:p w14:paraId="2C44F544">
      <w:pPr>
        <w:rPr>
          <w:rFonts w:ascii="Arial" w:hAnsi="Arial" w:cs="Arial"/>
          <w:color w:val="000000" w:themeColor="text1"/>
          <w:szCs w:val="21"/>
          <w14:textFill>
            <w14:solidFill>
              <w14:schemeClr w14:val="tx1"/>
            </w14:solidFill>
          </w14:textFill>
        </w:rPr>
      </w:pPr>
      <w:bookmarkStart w:id="173" w:name="_Hlk19115689"/>
      <w:r>
        <w:rPr>
          <w:rFonts w:ascii="Arial" w:hAnsi="Arial" w:cs="Arial"/>
          <w:color w:val="000000" w:themeColor="text1"/>
          <w:szCs w:val="21"/>
          <w14:textFill>
            <w14:solidFill>
              <w14:schemeClr w14:val="tx1"/>
            </w14:solidFill>
          </w14:textFill>
        </w:rPr>
        <w:t>3．投标货物或产品的质量保证说明</w:t>
      </w:r>
    </w:p>
    <w:p w14:paraId="3B4C993A">
      <w:pPr>
        <w:rPr>
          <w:rFonts w:ascii="Arial" w:hAnsi="Arial" w:cs="Arial"/>
          <w:color w:val="000000" w:themeColor="text1"/>
          <w:szCs w:val="21"/>
          <w14:textFill>
            <w14:solidFill>
              <w14:schemeClr w14:val="tx1"/>
            </w14:solidFill>
          </w14:textFill>
        </w:rPr>
      </w:pPr>
    </w:p>
    <w:p w14:paraId="50338932">
      <w:pPr>
        <w:rPr>
          <w:rFonts w:ascii="Arial" w:hAnsi="Arial" w:cs="Arial"/>
          <w:color w:val="000000" w:themeColor="text1"/>
          <w:szCs w:val="21"/>
          <w14:textFill>
            <w14:solidFill>
              <w14:schemeClr w14:val="tx1"/>
            </w14:solidFill>
          </w14:textFill>
        </w:rPr>
      </w:pPr>
    </w:p>
    <w:p w14:paraId="79237175">
      <w:pPr>
        <w:jc w:val="left"/>
        <w:rPr>
          <w:rFonts w:ascii="Arial" w:hAnsi="Arial" w:cs="Arial"/>
          <w:color w:val="000000" w:themeColor="text1"/>
          <w:szCs w:val="21"/>
          <w14:textFill>
            <w14:solidFill>
              <w14:schemeClr w14:val="tx1"/>
            </w14:solidFill>
          </w14:textFill>
        </w:rPr>
      </w:pPr>
    </w:p>
    <w:p w14:paraId="1A19F549">
      <w:pPr>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4．质保期过后的优惠条件：供应商承诺给予采购人的各种优惠条件，包括货物或产品的售后服务、备品备件、专用耗材等方面的优惠条件。</w:t>
      </w:r>
    </w:p>
    <w:p w14:paraId="30F09D33">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常用的、容易损坏的备品备件及易损件的优惠价格清单</w:t>
      </w:r>
    </w:p>
    <w:tbl>
      <w:tblPr>
        <w:tblStyle w:val="54"/>
        <w:tblW w:w="897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50"/>
        <w:gridCol w:w="3124"/>
        <w:gridCol w:w="2276"/>
        <w:gridCol w:w="1639"/>
        <w:gridCol w:w="1083"/>
      </w:tblGrid>
      <w:tr w14:paraId="658C84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2" w:hRule="atLeast"/>
        </w:trPr>
        <w:tc>
          <w:tcPr>
            <w:tcW w:w="8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1D67DC3">
            <w:pP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序号</w:t>
            </w:r>
          </w:p>
        </w:tc>
        <w:tc>
          <w:tcPr>
            <w:tcW w:w="3124" w:type="dxa"/>
            <w:tcBorders>
              <w:top w:val="single" w:color="auto" w:sz="4" w:space="0"/>
              <w:left w:val="single" w:color="auto" w:sz="4" w:space="0"/>
              <w:bottom w:val="single" w:color="auto" w:sz="2" w:space="0"/>
              <w:right w:val="single" w:color="auto" w:sz="4" w:space="0"/>
            </w:tcBorders>
            <w:vAlign w:val="center"/>
          </w:tcPr>
          <w:p w14:paraId="4649B2DA">
            <w:pPr>
              <w:snapToGrid w:val="0"/>
              <w:spacing w:before="50" w:after="50" w:line="440" w:lineRule="exact"/>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备品备件、专用耗材名称</w:t>
            </w:r>
          </w:p>
        </w:tc>
        <w:tc>
          <w:tcPr>
            <w:tcW w:w="2276" w:type="dxa"/>
            <w:tcBorders>
              <w:top w:val="single" w:color="auto" w:sz="4" w:space="0"/>
              <w:left w:val="single" w:color="auto" w:sz="4" w:space="0"/>
              <w:bottom w:val="single" w:color="auto" w:sz="2" w:space="0"/>
              <w:right w:val="single" w:color="auto" w:sz="4" w:space="0"/>
            </w:tcBorders>
            <w:vAlign w:val="center"/>
          </w:tcPr>
          <w:p w14:paraId="7D063A39">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适用于何种投标货物（产品）名称及规格型号</w:t>
            </w:r>
          </w:p>
        </w:tc>
        <w:tc>
          <w:tcPr>
            <w:tcW w:w="1639" w:type="dxa"/>
            <w:tcBorders>
              <w:top w:val="single" w:color="auto" w:sz="4" w:space="0"/>
              <w:left w:val="single" w:color="auto" w:sz="4" w:space="0"/>
              <w:bottom w:val="single" w:color="auto" w:sz="2" w:space="0"/>
              <w:right w:val="single" w:color="auto" w:sz="4" w:space="0"/>
            </w:tcBorders>
            <w:vAlign w:val="center"/>
          </w:tcPr>
          <w:p w14:paraId="726CAE7D">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优惠内容</w:t>
            </w:r>
          </w:p>
        </w:tc>
        <w:tc>
          <w:tcPr>
            <w:tcW w:w="1083"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14:paraId="3639F6D7">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优惠单价</w:t>
            </w:r>
          </w:p>
        </w:tc>
      </w:tr>
      <w:tr w14:paraId="5293A8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0" w:hRule="atLeast"/>
        </w:trPr>
        <w:tc>
          <w:tcPr>
            <w:tcW w:w="850"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7DD195BF">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w:t>
            </w:r>
          </w:p>
        </w:tc>
        <w:tc>
          <w:tcPr>
            <w:tcW w:w="3124" w:type="dxa"/>
            <w:tcBorders>
              <w:top w:val="single" w:color="auto" w:sz="2" w:space="0"/>
              <w:left w:val="single" w:color="auto" w:sz="2" w:space="0"/>
              <w:bottom w:val="single" w:color="auto" w:sz="6" w:space="0"/>
              <w:right w:val="single" w:color="auto" w:sz="4" w:space="0"/>
            </w:tcBorders>
            <w:vAlign w:val="center"/>
          </w:tcPr>
          <w:p w14:paraId="4164D269">
            <w:pPr>
              <w:rPr>
                <w:rFonts w:ascii="Arial" w:hAnsi="Arial" w:cs="Arial"/>
                <w:color w:val="000000" w:themeColor="text1"/>
                <w:szCs w:val="21"/>
                <w14:textFill>
                  <w14:solidFill>
                    <w14:schemeClr w14:val="tx1"/>
                  </w14:solidFill>
                </w14:textFill>
              </w:rPr>
            </w:pPr>
          </w:p>
        </w:tc>
        <w:tc>
          <w:tcPr>
            <w:tcW w:w="2276" w:type="dxa"/>
            <w:tcBorders>
              <w:top w:val="single" w:color="auto" w:sz="2" w:space="0"/>
              <w:left w:val="single" w:color="auto" w:sz="4" w:space="0"/>
              <w:bottom w:val="single" w:color="auto" w:sz="6" w:space="0"/>
              <w:right w:val="single" w:color="auto" w:sz="6" w:space="0"/>
            </w:tcBorders>
            <w:vAlign w:val="center"/>
          </w:tcPr>
          <w:p w14:paraId="58B69B24">
            <w:pPr>
              <w:rPr>
                <w:rFonts w:ascii="Arial" w:hAnsi="Arial" w:cs="Arial"/>
                <w:color w:val="000000" w:themeColor="text1"/>
                <w:szCs w:val="21"/>
                <w14:textFill>
                  <w14:solidFill>
                    <w14:schemeClr w14:val="tx1"/>
                  </w14:solidFill>
                </w14:textFill>
              </w:rPr>
            </w:pPr>
          </w:p>
        </w:tc>
        <w:tc>
          <w:tcPr>
            <w:tcW w:w="1639" w:type="dxa"/>
            <w:tcBorders>
              <w:top w:val="single" w:color="auto" w:sz="2" w:space="0"/>
              <w:left w:val="single" w:color="auto" w:sz="6" w:space="0"/>
              <w:bottom w:val="single" w:color="auto" w:sz="6" w:space="0"/>
              <w:right w:val="single" w:color="auto" w:sz="6" w:space="0"/>
            </w:tcBorders>
          </w:tcPr>
          <w:p w14:paraId="2FE66E61">
            <w:pPr>
              <w:rPr>
                <w:rFonts w:ascii="Arial" w:hAnsi="Arial" w:cs="Arial"/>
                <w:color w:val="000000" w:themeColor="text1"/>
                <w:szCs w:val="21"/>
                <w14:textFill>
                  <w14:solidFill>
                    <w14:schemeClr w14:val="tx1"/>
                  </w14:solidFill>
                </w14:textFill>
              </w:rPr>
            </w:pPr>
          </w:p>
        </w:tc>
        <w:tc>
          <w:tcPr>
            <w:tcW w:w="1083"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14:paraId="59A89540">
            <w:pPr>
              <w:rPr>
                <w:rFonts w:ascii="Arial" w:hAnsi="Arial" w:cs="Arial"/>
                <w:color w:val="000000" w:themeColor="text1"/>
                <w:szCs w:val="21"/>
                <w14:textFill>
                  <w14:solidFill>
                    <w14:schemeClr w14:val="tx1"/>
                  </w14:solidFill>
                </w14:textFill>
              </w:rPr>
            </w:pPr>
          </w:p>
        </w:tc>
      </w:tr>
      <w:tr w14:paraId="60DD4C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0" w:hRule="atLeast"/>
        </w:trPr>
        <w:tc>
          <w:tcPr>
            <w:tcW w:w="850"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42C7F7A0">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w:t>
            </w:r>
          </w:p>
        </w:tc>
        <w:tc>
          <w:tcPr>
            <w:tcW w:w="3124" w:type="dxa"/>
            <w:tcBorders>
              <w:top w:val="single" w:color="auto" w:sz="6" w:space="0"/>
              <w:left w:val="single" w:color="auto" w:sz="2" w:space="0"/>
              <w:bottom w:val="single" w:color="auto" w:sz="6" w:space="0"/>
              <w:right w:val="single" w:color="auto" w:sz="4" w:space="0"/>
            </w:tcBorders>
            <w:vAlign w:val="center"/>
          </w:tcPr>
          <w:p w14:paraId="38A5C749">
            <w:pPr>
              <w:rPr>
                <w:rFonts w:ascii="Arial" w:hAnsi="Arial" w:cs="Arial"/>
                <w:color w:val="000000" w:themeColor="text1"/>
                <w:szCs w:val="21"/>
                <w14:textFill>
                  <w14:solidFill>
                    <w14:schemeClr w14:val="tx1"/>
                  </w14:solidFill>
                </w14:textFill>
              </w:rPr>
            </w:pPr>
          </w:p>
        </w:tc>
        <w:tc>
          <w:tcPr>
            <w:tcW w:w="2276" w:type="dxa"/>
            <w:tcBorders>
              <w:top w:val="single" w:color="auto" w:sz="6" w:space="0"/>
              <w:left w:val="single" w:color="auto" w:sz="4" w:space="0"/>
              <w:bottom w:val="single" w:color="auto" w:sz="6" w:space="0"/>
              <w:right w:val="single" w:color="auto" w:sz="6" w:space="0"/>
            </w:tcBorders>
            <w:vAlign w:val="center"/>
          </w:tcPr>
          <w:p w14:paraId="299760A8">
            <w:pPr>
              <w:rPr>
                <w:rFonts w:ascii="Arial" w:hAnsi="Arial" w:cs="Arial"/>
                <w:color w:val="000000" w:themeColor="text1"/>
                <w:szCs w:val="21"/>
                <w14:textFill>
                  <w14:solidFill>
                    <w14:schemeClr w14:val="tx1"/>
                  </w14:solidFill>
                </w14:textFill>
              </w:rPr>
            </w:pPr>
          </w:p>
        </w:tc>
        <w:tc>
          <w:tcPr>
            <w:tcW w:w="1639" w:type="dxa"/>
            <w:tcBorders>
              <w:top w:val="single" w:color="auto" w:sz="6" w:space="0"/>
              <w:left w:val="single" w:color="auto" w:sz="6" w:space="0"/>
              <w:bottom w:val="single" w:color="auto" w:sz="6" w:space="0"/>
              <w:right w:val="single" w:color="auto" w:sz="6" w:space="0"/>
            </w:tcBorders>
          </w:tcPr>
          <w:p w14:paraId="1C1F3A13">
            <w:pPr>
              <w:rPr>
                <w:rFonts w:ascii="Arial" w:hAnsi="Arial" w:cs="Arial"/>
                <w:color w:val="000000" w:themeColor="text1"/>
                <w:szCs w:val="21"/>
                <w14:textFill>
                  <w14:solidFill>
                    <w14:schemeClr w14:val="tx1"/>
                  </w14:solidFill>
                </w14:textFill>
              </w:rPr>
            </w:pPr>
          </w:p>
        </w:tc>
        <w:tc>
          <w:tcPr>
            <w:tcW w:w="1083"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75006BBC">
            <w:pPr>
              <w:rPr>
                <w:rFonts w:ascii="Arial" w:hAnsi="Arial" w:cs="Arial"/>
                <w:color w:val="000000" w:themeColor="text1"/>
                <w:szCs w:val="21"/>
                <w14:textFill>
                  <w14:solidFill>
                    <w14:schemeClr w14:val="tx1"/>
                  </w14:solidFill>
                </w14:textFill>
              </w:rPr>
            </w:pPr>
          </w:p>
        </w:tc>
      </w:tr>
      <w:tr w14:paraId="315E62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0" w:hRule="atLeast"/>
        </w:trPr>
        <w:tc>
          <w:tcPr>
            <w:tcW w:w="850"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773375E6">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w:t>
            </w:r>
          </w:p>
        </w:tc>
        <w:tc>
          <w:tcPr>
            <w:tcW w:w="3124" w:type="dxa"/>
            <w:tcBorders>
              <w:top w:val="single" w:color="auto" w:sz="6" w:space="0"/>
              <w:left w:val="single" w:color="auto" w:sz="2" w:space="0"/>
              <w:bottom w:val="single" w:color="auto" w:sz="6" w:space="0"/>
              <w:right w:val="single" w:color="auto" w:sz="4" w:space="0"/>
            </w:tcBorders>
            <w:vAlign w:val="center"/>
          </w:tcPr>
          <w:p w14:paraId="219AC613">
            <w:pPr>
              <w:rPr>
                <w:rFonts w:ascii="Arial" w:hAnsi="Arial" w:cs="Arial"/>
                <w:color w:val="000000" w:themeColor="text1"/>
                <w:szCs w:val="21"/>
                <w14:textFill>
                  <w14:solidFill>
                    <w14:schemeClr w14:val="tx1"/>
                  </w14:solidFill>
                </w14:textFill>
              </w:rPr>
            </w:pPr>
          </w:p>
        </w:tc>
        <w:tc>
          <w:tcPr>
            <w:tcW w:w="2276" w:type="dxa"/>
            <w:tcBorders>
              <w:top w:val="single" w:color="auto" w:sz="6" w:space="0"/>
              <w:left w:val="single" w:color="auto" w:sz="4" w:space="0"/>
              <w:bottom w:val="single" w:color="auto" w:sz="6" w:space="0"/>
              <w:right w:val="single" w:color="auto" w:sz="6" w:space="0"/>
            </w:tcBorders>
            <w:vAlign w:val="center"/>
          </w:tcPr>
          <w:p w14:paraId="3B0ADA6B">
            <w:pPr>
              <w:rPr>
                <w:rFonts w:ascii="Arial" w:hAnsi="Arial" w:cs="Arial"/>
                <w:color w:val="000000" w:themeColor="text1"/>
                <w:szCs w:val="21"/>
                <w14:textFill>
                  <w14:solidFill>
                    <w14:schemeClr w14:val="tx1"/>
                  </w14:solidFill>
                </w14:textFill>
              </w:rPr>
            </w:pPr>
          </w:p>
        </w:tc>
        <w:tc>
          <w:tcPr>
            <w:tcW w:w="1639" w:type="dxa"/>
            <w:tcBorders>
              <w:top w:val="single" w:color="auto" w:sz="6" w:space="0"/>
              <w:left w:val="single" w:color="auto" w:sz="6" w:space="0"/>
              <w:bottom w:val="single" w:color="auto" w:sz="6" w:space="0"/>
              <w:right w:val="single" w:color="auto" w:sz="6" w:space="0"/>
            </w:tcBorders>
          </w:tcPr>
          <w:p w14:paraId="5CD32579">
            <w:pPr>
              <w:rPr>
                <w:rFonts w:ascii="Arial" w:hAnsi="Arial" w:cs="Arial"/>
                <w:color w:val="000000" w:themeColor="text1"/>
                <w:szCs w:val="21"/>
                <w14:textFill>
                  <w14:solidFill>
                    <w14:schemeClr w14:val="tx1"/>
                  </w14:solidFill>
                </w14:textFill>
              </w:rPr>
            </w:pPr>
          </w:p>
        </w:tc>
        <w:tc>
          <w:tcPr>
            <w:tcW w:w="1083"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79F97D07">
            <w:pPr>
              <w:rPr>
                <w:rFonts w:ascii="Arial" w:hAnsi="Arial" w:cs="Arial"/>
                <w:color w:val="000000" w:themeColor="text1"/>
                <w:szCs w:val="21"/>
                <w14:textFill>
                  <w14:solidFill>
                    <w14:schemeClr w14:val="tx1"/>
                  </w14:solidFill>
                </w14:textFill>
              </w:rPr>
            </w:pPr>
          </w:p>
        </w:tc>
      </w:tr>
    </w:tbl>
    <w:p w14:paraId="0AFA6D20">
      <w:pPr>
        <w:rPr>
          <w:rFonts w:ascii="Arial" w:hAnsi="Arial" w:cs="Arial"/>
          <w:color w:val="000000" w:themeColor="text1"/>
          <w:spacing w:val="20"/>
          <w:szCs w:val="21"/>
          <w:u w:val="single"/>
          <w14:textFill>
            <w14:solidFill>
              <w14:schemeClr w14:val="tx1"/>
            </w14:solidFill>
          </w14:textFill>
        </w:rPr>
      </w:pPr>
      <w:r>
        <w:rPr>
          <w:rFonts w:ascii="Arial" w:hAnsi="Arial" w:cs="Arial"/>
          <w:color w:val="000000" w:themeColor="text1"/>
          <w:szCs w:val="21"/>
          <w14:textFill>
            <w14:solidFill>
              <w14:schemeClr w14:val="tx1"/>
            </w14:solidFill>
          </w14:textFill>
        </w:rPr>
        <w:t>法定代表人或授权代表签字或个人CA签章</w:t>
      </w:r>
      <w:r>
        <w:rPr>
          <w:rFonts w:ascii="Arial" w:hAnsi="Arial" w:cs="Arial"/>
          <w:color w:val="000000" w:themeColor="text1"/>
          <w:spacing w:val="20"/>
          <w:szCs w:val="21"/>
          <w14:textFill>
            <w14:solidFill>
              <w14:schemeClr w14:val="tx1"/>
            </w14:solidFill>
          </w14:textFill>
        </w:rPr>
        <w:t>：</w:t>
      </w:r>
    </w:p>
    <w:p w14:paraId="16DC82E0">
      <w:pPr>
        <w:rPr>
          <w:rFonts w:ascii="Arial" w:hAnsi="Arial" w:cs="Arial"/>
          <w:color w:val="000000" w:themeColor="text1"/>
          <w:spacing w:val="20"/>
          <w:szCs w:val="21"/>
          <w14:textFill>
            <w14:solidFill>
              <w14:schemeClr w14:val="tx1"/>
            </w14:solidFill>
          </w14:textFill>
        </w:rPr>
      </w:pPr>
      <w:r>
        <w:rPr>
          <w:rFonts w:ascii="Arial" w:hAnsi="Arial" w:cs="Arial"/>
          <w:color w:val="000000" w:themeColor="text1"/>
          <w:spacing w:val="20"/>
          <w:szCs w:val="21"/>
          <w14:textFill>
            <w14:solidFill>
              <w14:schemeClr w14:val="tx1"/>
            </w14:solidFill>
          </w14:textFill>
        </w:rPr>
        <w:t>供应商公章</w:t>
      </w:r>
      <w:r>
        <w:rPr>
          <w:rFonts w:ascii="Arial" w:hAnsi="Arial" w:cs="Arial"/>
          <w:color w:val="000000" w:themeColor="text1"/>
          <w:szCs w:val="21"/>
          <w14:textFill>
            <w14:solidFill>
              <w14:schemeClr w14:val="tx1"/>
            </w14:solidFill>
          </w14:textFill>
        </w:rPr>
        <w:t>（CA签章）</w:t>
      </w:r>
      <w:r>
        <w:rPr>
          <w:rFonts w:ascii="Arial" w:hAnsi="Arial" w:cs="Arial"/>
          <w:color w:val="000000" w:themeColor="text1"/>
          <w:spacing w:val="20"/>
          <w:szCs w:val="21"/>
          <w14:textFill>
            <w14:solidFill>
              <w14:schemeClr w14:val="tx1"/>
            </w14:solidFill>
          </w14:textFill>
        </w:rPr>
        <w:t>：</w:t>
      </w:r>
    </w:p>
    <w:p w14:paraId="56FF2CD7">
      <w:pPr>
        <w:rPr>
          <w:rFonts w:ascii="Arial" w:hAnsi="Arial" w:cs="Arial"/>
          <w:color w:val="000000" w:themeColor="text1"/>
          <w:szCs w:val="21"/>
          <w14:textFill>
            <w14:solidFill>
              <w14:schemeClr w14:val="tx1"/>
            </w14:solidFill>
          </w14:textFill>
        </w:rPr>
      </w:pPr>
      <w:r>
        <w:rPr>
          <w:rFonts w:ascii="Arial" w:hAnsi="Arial" w:cs="Arial"/>
          <w:color w:val="000000" w:themeColor="text1"/>
          <w:spacing w:val="20"/>
          <w:szCs w:val="21"/>
          <w14:textFill>
            <w14:solidFill>
              <w14:schemeClr w14:val="tx1"/>
            </w14:solidFill>
          </w14:textFill>
        </w:rPr>
        <w:t>日 期：</w:t>
      </w:r>
    </w:p>
    <w:bookmarkEnd w:id="173"/>
    <w:p w14:paraId="54330A4C">
      <w:pPr>
        <w:rPr>
          <w:rFonts w:ascii="Arial" w:hAnsi="Arial" w:cs="Arial"/>
          <w:color w:val="000000" w:themeColor="text1"/>
          <w:szCs w:val="21"/>
          <w14:textFill>
            <w14:solidFill>
              <w14:schemeClr w14:val="tx1"/>
            </w14:solidFill>
          </w14:textFill>
        </w:rPr>
      </w:pPr>
    </w:p>
    <w:p w14:paraId="79806FFD">
      <w:pPr>
        <w:rPr>
          <w:rFonts w:ascii="Arial" w:hAnsi="Arial" w:cs="Arial"/>
          <w:color w:val="000000" w:themeColor="text1"/>
          <w:szCs w:val="21"/>
          <w14:textFill>
            <w14:solidFill>
              <w14:schemeClr w14:val="tx1"/>
            </w14:solidFill>
          </w14:textFill>
        </w:rPr>
      </w:pPr>
    </w:p>
    <w:p w14:paraId="467A4777">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5．产品出厂标准、质量检测报告。</w:t>
      </w:r>
    </w:p>
    <w:p w14:paraId="782B7A55">
      <w:pPr>
        <w:rPr>
          <w:rFonts w:ascii="Arial" w:hAnsi="Arial" w:cs="Arial"/>
          <w:color w:val="000000" w:themeColor="text1"/>
          <w:szCs w:val="21"/>
          <w14:textFill>
            <w14:solidFill>
              <w14:schemeClr w14:val="tx1"/>
            </w14:solidFill>
          </w14:textFill>
        </w:rPr>
      </w:pPr>
    </w:p>
    <w:p w14:paraId="5E57D1F2">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6．原厂出厂配置表及原厂中文使用说明书。</w:t>
      </w:r>
    </w:p>
    <w:p w14:paraId="7389691F">
      <w:pPr>
        <w:rPr>
          <w:rFonts w:ascii="Arial" w:hAnsi="Arial" w:cs="Arial"/>
          <w:color w:val="000000" w:themeColor="text1"/>
          <w:szCs w:val="21"/>
          <w14:textFill>
            <w14:solidFill>
              <w14:schemeClr w14:val="tx1"/>
            </w14:solidFill>
          </w14:textFill>
        </w:rPr>
      </w:pPr>
    </w:p>
    <w:p w14:paraId="74BB1269">
      <w:pPr>
        <w:rPr>
          <w:rFonts w:ascii="Arial" w:hAnsi="Arial" w:cs="Arial"/>
          <w:color w:val="000000" w:themeColor="text1"/>
          <w:szCs w:val="21"/>
          <w14:textFill>
            <w14:solidFill>
              <w14:schemeClr w14:val="tx1"/>
            </w14:solidFill>
          </w14:textFill>
        </w:rPr>
      </w:pPr>
    </w:p>
    <w:p w14:paraId="222194EE">
      <w:pP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7．供应商建议的安装、调试、验收方法或方案。</w:t>
      </w:r>
    </w:p>
    <w:p w14:paraId="16EF883D">
      <w:pPr>
        <w:rPr>
          <w:rFonts w:ascii="Arial" w:hAnsi="Arial" w:cs="Arial"/>
          <w:color w:val="000000" w:themeColor="text1"/>
          <w:szCs w:val="21"/>
          <w14:textFill>
            <w14:solidFill>
              <w14:schemeClr w14:val="tx1"/>
            </w14:solidFill>
          </w14:textFill>
        </w:rPr>
      </w:pPr>
    </w:p>
    <w:p w14:paraId="596D6573">
      <w:pPr>
        <w:rPr>
          <w:rFonts w:ascii="Arial" w:hAnsi="Arial" w:cs="Arial"/>
          <w:color w:val="000000" w:themeColor="text1"/>
          <w:szCs w:val="21"/>
          <w14:textFill>
            <w14:solidFill>
              <w14:schemeClr w14:val="tx1"/>
            </w14:solidFill>
          </w14:textFill>
        </w:rPr>
      </w:pPr>
    </w:p>
    <w:p w14:paraId="07D9BEF9">
      <w:pP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8．项目实施人员一览表。</w:t>
      </w:r>
    </w:p>
    <w:p w14:paraId="4EC21CF2">
      <w:pPr>
        <w:rPr>
          <w:rFonts w:ascii="Arial" w:hAnsi="Arial" w:cs="Arial"/>
          <w:color w:val="000000" w:themeColor="text1"/>
          <w:szCs w:val="21"/>
          <w14:textFill>
            <w14:solidFill>
              <w14:schemeClr w14:val="tx1"/>
            </w14:solidFill>
          </w14:textFill>
        </w:rPr>
      </w:pPr>
    </w:p>
    <w:p w14:paraId="698ABB9E">
      <w:pPr>
        <w:snapToGrid w:val="0"/>
        <w:spacing w:before="120" w:beforeLines="50" w:after="50" w:line="400" w:lineRule="exact"/>
        <w:jc w:val="center"/>
        <w:rPr>
          <w:rFonts w:ascii="Arial" w:hAnsi="Arial" w:cs="Arial"/>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项目实施人员（主要从业人员及其技术资格）一览表</w:t>
      </w:r>
    </w:p>
    <w:tbl>
      <w:tblPr>
        <w:tblStyle w:val="54"/>
        <w:tblW w:w="914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31"/>
        <w:gridCol w:w="1260"/>
        <w:gridCol w:w="1440"/>
        <w:gridCol w:w="1516"/>
        <w:gridCol w:w="1620"/>
        <w:gridCol w:w="1980"/>
      </w:tblGrid>
      <w:tr w14:paraId="2EFD45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vAlign w:val="center"/>
          </w:tcPr>
          <w:p w14:paraId="22E4A660">
            <w:pPr>
              <w:snapToGrid w:val="0"/>
              <w:spacing w:before="120" w:beforeLines="50" w:after="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姓名</w:t>
            </w:r>
          </w:p>
        </w:tc>
        <w:tc>
          <w:tcPr>
            <w:tcW w:w="1260" w:type="dxa"/>
            <w:tcBorders>
              <w:top w:val="single" w:color="auto" w:sz="4" w:space="0"/>
              <w:left w:val="single" w:color="auto" w:sz="4" w:space="0"/>
              <w:bottom w:val="single" w:color="auto" w:sz="4" w:space="0"/>
              <w:right w:val="single" w:color="auto" w:sz="4" w:space="0"/>
            </w:tcBorders>
            <w:vAlign w:val="center"/>
          </w:tcPr>
          <w:p w14:paraId="70F27DA7">
            <w:pPr>
              <w:snapToGrid w:val="0"/>
              <w:spacing w:before="120" w:beforeLines="50" w:after="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职务</w:t>
            </w:r>
          </w:p>
        </w:tc>
        <w:tc>
          <w:tcPr>
            <w:tcW w:w="1440" w:type="dxa"/>
            <w:tcBorders>
              <w:top w:val="single" w:color="auto" w:sz="4" w:space="0"/>
              <w:left w:val="single" w:color="auto" w:sz="4" w:space="0"/>
              <w:bottom w:val="single" w:color="auto" w:sz="4" w:space="0"/>
              <w:right w:val="single" w:color="auto" w:sz="4" w:space="0"/>
            </w:tcBorders>
            <w:vAlign w:val="center"/>
          </w:tcPr>
          <w:p w14:paraId="06DFFE33">
            <w:pPr>
              <w:snapToGrid w:val="0"/>
              <w:spacing w:before="120" w:beforeLines="50" w:after="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专业技术资格</w:t>
            </w:r>
          </w:p>
        </w:tc>
        <w:tc>
          <w:tcPr>
            <w:tcW w:w="1516" w:type="dxa"/>
            <w:tcBorders>
              <w:top w:val="single" w:color="auto" w:sz="4" w:space="0"/>
              <w:left w:val="single" w:color="auto" w:sz="4" w:space="0"/>
              <w:bottom w:val="single" w:color="auto" w:sz="4" w:space="0"/>
              <w:right w:val="single" w:color="auto" w:sz="4" w:space="0"/>
            </w:tcBorders>
            <w:vAlign w:val="center"/>
          </w:tcPr>
          <w:p w14:paraId="3CB8D6B7">
            <w:pPr>
              <w:snapToGrid w:val="0"/>
              <w:spacing w:before="120" w:beforeLines="50" w:after="50"/>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证书编号</w:t>
            </w:r>
          </w:p>
        </w:tc>
        <w:tc>
          <w:tcPr>
            <w:tcW w:w="1620" w:type="dxa"/>
            <w:tcBorders>
              <w:top w:val="single" w:color="auto" w:sz="4" w:space="0"/>
              <w:left w:val="single" w:color="auto" w:sz="4" w:space="0"/>
              <w:bottom w:val="single" w:color="auto" w:sz="4" w:space="0"/>
              <w:right w:val="single" w:color="auto" w:sz="4" w:space="0"/>
            </w:tcBorders>
            <w:vAlign w:val="center"/>
          </w:tcPr>
          <w:p w14:paraId="65023AE3">
            <w:pPr>
              <w:snapToGrid w:val="0"/>
              <w:spacing w:before="120" w:beforeLines="50" w:after="50"/>
              <w:jc w:val="center"/>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参加本单位工作时间</w:t>
            </w:r>
          </w:p>
        </w:tc>
        <w:tc>
          <w:tcPr>
            <w:tcW w:w="1980" w:type="dxa"/>
            <w:tcBorders>
              <w:top w:val="single" w:color="auto" w:sz="4" w:space="0"/>
              <w:left w:val="single" w:color="auto" w:sz="4" w:space="0"/>
              <w:bottom w:val="single" w:color="auto" w:sz="4" w:space="0"/>
              <w:right w:val="single" w:color="auto" w:sz="4" w:space="0"/>
            </w:tcBorders>
            <w:vAlign w:val="center"/>
          </w:tcPr>
          <w:p w14:paraId="25F6FF5C">
            <w:pPr>
              <w:snapToGrid w:val="0"/>
              <w:spacing w:before="120" w:beforeLines="50" w:after="50"/>
              <w:jc w:val="center"/>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劳动合同编号</w:t>
            </w:r>
          </w:p>
        </w:tc>
      </w:tr>
      <w:tr w14:paraId="31EEC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tcPr>
          <w:p w14:paraId="73ED42D2">
            <w:pPr>
              <w:snapToGrid w:val="0"/>
              <w:spacing w:before="120" w:beforeLines="50" w:after="50"/>
              <w:rPr>
                <w:rFonts w:ascii="Arial" w:hAnsi="Arial" w:cs="Arial"/>
                <w:color w:val="000000" w:themeColor="text1"/>
                <w:szCs w:val="2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14:paraId="3AE80D33">
            <w:pPr>
              <w:snapToGrid w:val="0"/>
              <w:spacing w:before="120" w:beforeLines="50" w:after="50"/>
              <w:rPr>
                <w:rFonts w:ascii="Arial" w:hAnsi="Arial" w:cs="Arial"/>
                <w:color w:val="000000" w:themeColor="text1"/>
                <w:szCs w:val="21"/>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14:paraId="7FC77491">
            <w:pPr>
              <w:snapToGrid w:val="0"/>
              <w:spacing w:before="120" w:beforeLines="50" w:after="50"/>
              <w:rPr>
                <w:rFonts w:ascii="Arial" w:hAnsi="Arial" w:cs="Arial"/>
                <w:color w:val="000000" w:themeColor="text1"/>
                <w:szCs w:val="21"/>
                <w14:textFill>
                  <w14:solidFill>
                    <w14:schemeClr w14:val="tx1"/>
                  </w14:solidFill>
                </w14:textFill>
              </w:rPr>
            </w:pPr>
          </w:p>
        </w:tc>
        <w:tc>
          <w:tcPr>
            <w:tcW w:w="1516" w:type="dxa"/>
            <w:tcBorders>
              <w:top w:val="single" w:color="auto" w:sz="4" w:space="0"/>
              <w:left w:val="single" w:color="auto" w:sz="4" w:space="0"/>
              <w:bottom w:val="single" w:color="auto" w:sz="4" w:space="0"/>
              <w:right w:val="single" w:color="auto" w:sz="4" w:space="0"/>
            </w:tcBorders>
          </w:tcPr>
          <w:p w14:paraId="5E90FCE5">
            <w:pPr>
              <w:snapToGrid w:val="0"/>
              <w:spacing w:before="120" w:beforeLines="50" w:after="50"/>
              <w:rPr>
                <w:rFonts w:ascii="Arial" w:hAnsi="Arial" w:cs="Arial"/>
                <w:color w:val="000000" w:themeColor="text1"/>
                <w:szCs w:val="21"/>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tcPr>
          <w:p w14:paraId="5D05307F">
            <w:pPr>
              <w:snapToGrid w:val="0"/>
              <w:spacing w:before="120" w:beforeLines="50" w:after="50"/>
              <w:rPr>
                <w:rFonts w:ascii="Arial" w:hAnsi="Arial" w:cs="Arial"/>
                <w:color w:val="000000" w:themeColor="text1"/>
                <w:szCs w:val="21"/>
                <w14:textFill>
                  <w14:solidFill>
                    <w14:schemeClr w14:val="tx1"/>
                  </w14:solidFill>
                </w14:textFill>
              </w:rPr>
            </w:pPr>
          </w:p>
        </w:tc>
        <w:tc>
          <w:tcPr>
            <w:tcW w:w="1980" w:type="dxa"/>
            <w:tcBorders>
              <w:top w:val="single" w:color="auto" w:sz="4" w:space="0"/>
              <w:left w:val="single" w:color="auto" w:sz="4" w:space="0"/>
              <w:bottom w:val="single" w:color="auto" w:sz="4" w:space="0"/>
              <w:right w:val="single" w:color="auto" w:sz="4" w:space="0"/>
            </w:tcBorders>
          </w:tcPr>
          <w:p w14:paraId="55807E7C">
            <w:pPr>
              <w:snapToGrid w:val="0"/>
              <w:spacing w:before="120" w:beforeLines="50" w:after="50"/>
              <w:rPr>
                <w:rFonts w:ascii="Arial" w:hAnsi="Arial" w:cs="Arial"/>
                <w:color w:val="000000" w:themeColor="text1"/>
                <w:szCs w:val="21"/>
                <w14:textFill>
                  <w14:solidFill>
                    <w14:schemeClr w14:val="tx1"/>
                  </w14:solidFill>
                </w14:textFill>
              </w:rPr>
            </w:pPr>
          </w:p>
        </w:tc>
      </w:tr>
      <w:tr w14:paraId="753B96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tcPr>
          <w:p w14:paraId="384886F2">
            <w:pPr>
              <w:snapToGrid w:val="0"/>
              <w:spacing w:before="120" w:beforeLines="50" w:after="50"/>
              <w:rPr>
                <w:rFonts w:ascii="Arial" w:hAnsi="Arial" w:cs="Arial"/>
                <w:color w:val="000000" w:themeColor="text1"/>
                <w:szCs w:val="2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14:paraId="21177D77">
            <w:pPr>
              <w:snapToGrid w:val="0"/>
              <w:spacing w:before="120" w:beforeLines="50" w:after="50"/>
              <w:rPr>
                <w:rFonts w:ascii="Arial" w:hAnsi="Arial" w:cs="Arial"/>
                <w:color w:val="000000" w:themeColor="text1"/>
                <w:szCs w:val="21"/>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14:paraId="5DCD119E">
            <w:pPr>
              <w:snapToGrid w:val="0"/>
              <w:spacing w:before="120" w:beforeLines="50" w:after="50"/>
              <w:rPr>
                <w:rFonts w:ascii="Arial" w:hAnsi="Arial" w:cs="Arial"/>
                <w:color w:val="000000" w:themeColor="text1"/>
                <w:szCs w:val="21"/>
                <w14:textFill>
                  <w14:solidFill>
                    <w14:schemeClr w14:val="tx1"/>
                  </w14:solidFill>
                </w14:textFill>
              </w:rPr>
            </w:pPr>
          </w:p>
        </w:tc>
        <w:tc>
          <w:tcPr>
            <w:tcW w:w="1516" w:type="dxa"/>
            <w:tcBorders>
              <w:top w:val="single" w:color="auto" w:sz="4" w:space="0"/>
              <w:left w:val="single" w:color="auto" w:sz="4" w:space="0"/>
              <w:bottom w:val="single" w:color="auto" w:sz="4" w:space="0"/>
              <w:right w:val="single" w:color="auto" w:sz="4" w:space="0"/>
            </w:tcBorders>
          </w:tcPr>
          <w:p w14:paraId="5A06C214">
            <w:pPr>
              <w:snapToGrid w:val="0"/>
              <w:spacing w:before="120" w:beforeLines="50" w:after="50"/>
              <w:rPr>
                <w:rFonts w:ascii="Arial" w:hAnsi="Arial" w:cs="Arial"/>
                <w:color w:val="000000" w:themeColor="text1"/>
                <w:szCs w:val="21"/>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tcPr>
          <w:p w14:paraId="6CD51920">
            <w:pPr>
              <w:snapToGrid w:val="0"/>
              <w:spacing w:before="120" w:beforeLines="50" w:after="50"/>
              <w:rPr>
                <w:rFonts w:ascii="Arial" w:hAnsi="Arial" w:cs="Arial"/>
                <w:color w:val="000000" w:themeColor="text1"/>
                <w:szCs w:val="21"/>
                <w14:textFill>
                  <w14:solidFill>
                    <w14:schemeClr w14:val="tx1"/>
                  </w14:solidFill>
                </w14:textFill>
              </w:rPr>
            </w:pPr>
          </w:p>
        </w:tc>
        <w:tc>
          <w:tcPr>
            <w:tcW w:w="1980" w:type="dxa"/>
            <w:tcBorders>
              <w:top w:val="single" w:color="auto" w:sz="4" w:space="0"/>
              <w:left w:val="single" w:color="auto" w:sz="4" w:space="0"/>
              <w:bottom w:val="single" w:color="auto" w:sz="4" w:space="0"/>
              <w:right w:val="single" w:color="auto" w:sz="4" w:space="0"/>
            </w:tcBorders>
          </w:tcPr>
          <w:p w14:paraId="63A9C700">
            <w:pPr>
              <w:snapToGrid w:val="0"/>
              <w:spacing w:before="120" w:beforeLines="50" w:after="50"/>
              <w:rPr>
                <w:rFonts w:ascii="Arial" w:hAnsi="Arial" w:cs="Arial"/>
                <w:color w:val="000000" w:themeColor="text1"/>
                <w:szCs w:val="21"/>
                <w14:textFill>
                  <w14:solidFill>
                    <w14:schemeClr w14:val="tx1"/>
                  </w14:solidFill>
                </w14:textFill>
              </w:rPr>
            </w:pPr>
          </w:p>
        </w:tc>
      </w:tr>
      <w:tr w14:paraId="6EAD44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tcPr>
          <w:p w14:paraId="2A250CF7">
            <w:pPr>
              <w:snapToGrid w:val="0"/>
              <w:spacing w:before="120" w:beforeLines="50" w:after="50"/>
              <w:rPr>
                <w:rFonts w:ascii="Arial" w:hAnsi="Arial" w:cs="Arial"/>
                <w:color w:val="000000" w:themeColor="text1"/>
                <w:szCs w:val="2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14:paraId="25B3EF80">
            <w:pPr>
              <w:snapToGrid w:val="0"/>
              <w:spacing w:before="120" w:beforeLines="50" w:after="50"/>
              <w:rPr>
                <w:rFonts w:ascii="Arial" w:hAnsi="Arial" w:cs="Arial"/>
                <w:color w:val="000000" w:themeColor="text1"/>
                <w:szCs w:val="21"/>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14:paraId="1FA5E04A">
            <w:pPr>
              <w:pStyle w:val="32"/>
              <w:snapToGrid w:val="0"/>
              <w:spacing w:before="120" w:beforeLines="50" w:after="50"/>
              <w:ind w:left="5670" w:hanging="420"/>
              <w:rPr>
                <w:rFonts w:ascii="Arial" w:hAnsi="Arial" w:cs="Arial"/>
                <w:color w:val="000000" w:themeColor="text1"/>
                <w14:textFill>
                  <w14:solidFill>
                    <w14:schemeClr w14:val="tx1"/>
                  </w14:solidFill>
                </w14:textFill>
              </w:rPr>
            </w:pPr>
          </w:p>
        </w:tc>
        <w:tc>
          <w:tcPr>
            <w:tcW w:w="1516" w:type="dxa"/>
            <w:tcBorders>
              <w:top w:val="single" w:color="auto" w:sz="4" w:space="0"/>
              <w:left w:val="single" w:color="auto" w:sz="4" w:space="0"/>
              <w:bottom w:val="single" w:color="auto" w:sz="4" w:space="0"/>
              <w:right w:val="single" w:color="auto" w:sz="4" w:space="0"/>
            </w:tcBorders>
          </w:tcPr>
          <w:p w14:paraId="6477464E">
            <w:pPr>
              <w:snapToGrid w:val="0"/>
              <w:spacing w:before="120" w:beforeLines="50" w:after="50"/>
              <w:rPr>
                <w:rFonts w:ascii="Arial" w:hAnsi="Arial" w:cs="Arial"/>
                <w:color w:val="000000" w:themeColor="text1"/>
                <w:szCs w:val="21"/>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tcPr>
          <w:p w14:paraId="54FAA132">
            <w:pPr>
              <w:snapToGrid w:val="0"/>
              <w:spacing w:before="120" w:beforeLines="50" w:after="50"/>
              <w:rPr>
                <w:rFonts w:ascii="Arial" w:hAnsi="Arial" w:cs="Arial"/>
                <w:color w:val="000000" w:themeColor="text1"/>
                <w:szCs w:val="21"/>
                <w14:textFill>
                  <w14:solidFill>
                    <w14:schemeClr w14:val="tx1"/>
                  </w14:solidFill>
                </w14:textFill>
              </w:rPr>
            </w:pPr>
          </w:p>
        </w:tc>
        <w:tc>
          <w:tcPr>
            <w:tcW w:w="1980" w:type="dxa"/>
            <w:tcBorders>
              <w:top w:val="single" w:color="auto" w:sz="4" w:space="0"/>
              <w:left w:val="single" w:color="auto" w:sz="4" w:space="0"/>
              <w:bottom w:val="single" w:color="auto" w:sz="4" w:space="0"/>
              <w:right w:val="single" w:color="auto" w:sz="4" w:space="0"/>
            </w:tcBorders>
          </w:tcPr>
          <w:p w14:paraId="5BBA8849">
            <w:pPr>
              <w:snapToGrid w:val="0"/>
              <w:spacing w:before="120" w:beforeLines="50" w:after="50"/>
              <w:rPr>
                <w:rFonts w:ascii="Arial" w:hAnsi="Arial" w:cs="Arial"/>
                <w:color w:val="000000" w:themeColor="text1"/>
                <w:szCs w:val="21"/>
                <w14:textFill>
                  <w14:solidFill>
                    <w14:schemeClr w14:val="tx1"/>
                  </w14:solidFill>
                </w14:textFill>
              </w:rPr>
            </w:pPr>
          </w:p>
        </w:tc>
      </w:tr>
    </w:tbl>
    <w:p w14:paraId="4D4C8A2C">
      <w:pPr>
        <w:snapToGrid w:val="0"/>
        <w:spacing w:before="50" w:after="120" w:afterLines="50" w:line="440" w:lineRule="exact"/>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注：在填写时，如本表格不适合投标单位的实际情况，可根据本表格式自行划表填写。</w:t>
      </w:r>
    </w:p>
    <w:p w14:paraId="0EC2370E">
      <w:pPr>
        <w:snapToGrid w:val="0"/>
        <w:spacing w:before="50" w:after="50" w:line="440" w:lineRule="exact"/>
        <w:rPr>
          <w:rFonts w:ascii="Arial" w:hAnsi="Arial" w:cs="Arial"/>
          <w:color w:val="000000" w:themeColor="text1"/>
          <w:spacing w:val="20"/>
          <w:szCs w:val="21"/>
          <w:u w:val="single"/>
          <w14:textFill>
            <w14:solidFill>
              <w14:schemeClr w14:val="tx1"/>
            </w14:solidFill>
          </w14:textFill>
        </w:rPr>
      </w:pPr>
      <w:r>
        <w:rPr>
          <w:rFonts w:ascii="Arial" w:hAnsi="Arial" w:cs="Arial"/>
          <w:color w:val="000000" w:themeColor="text1"/>
          <w:szCs w:val="21"/>
          <w14:textFill>
            <w14:solidFill>
              <w14:schemeClr w14:val="tx1"/>
            </w14:solidFill>
          </w14:textFill>
        </w:rPr>
        <w:t>法定代表人或授权代表签字或个人CA签章</w:t>
      </w:r>
      <w:r>
        <w:rPr>
          <w:rFonts w:ascii="Arial" w:hAnsi="Arial" w:cs="Arial"/>
          <w:color w:val="000000" w:themeColor="text1"/>
          <w:spacing w:val="20"/>
          <w:szCs w:val="21"/>
          <w14:textFill>
            <w14:solidFill>
              <w14:schemeClr w14:val="tx1"/>
            </w14:solidFill>
          </w14:textFill>
        </w:rPr>
        <w:t>：</w:t>
      </w:r>
      <w:r>
        <w:rPr>
          <w:rFonts w:ascii="Arial" w:hAnsi="Arial" w:cs="Arial"/>
          <w:color w:val="000000" w:themeColor="text1"/>
          <w:spacing w:val="20"/>
          <w:szCs w:val="21"/>
          <w:u w:val="single"/>
          <w14:textFill>
            <w14:solidFill>
              <w14:schemeClr w14:val="tx1"/>
            </w14:solidFill>
          </w14:textFill>
        </w:rPr>
        <w:t xml:space="preserve">  </w:t>
      </w:r>
    </w:p>
    <w:p w14:paraId="632307CF">
      <w:pPr>
        <w:rPr>
          <w:rFonts w:ascii="Arial" w:hAnsi="Arial" w:cs="Arial"/>
          <w:color w:val="000000" w:themeColor="text1"/>
          <w:spacing w:val="20"/>
          <w:szCs w:val="21"/>
          <w:u w:val="single"/>
          <w14:textFill>
            <w14:solidFill>
              <w14:schemeClr w14:val="tx1"/>
            </w14:solidFill>
          </w14:textFill>
        </w:rPr>
      </w:pPr>
      <w:r>
        <w:rPr>
          <w:rFonts w:ascii="Arial" w:hAnsi="Arial" w:cs="Arial"/>
          <w:color w:val="000000" w:themeColor="text1"/>
          <w:spacing w:val="20"/>
          <w:szCs w:val="21"/>
          <w14:textFill>
            <w14:solidFill>
              <w14:schemeClr w14:val="tx1"/>
            </w14:solidFill>
          </w14:textFill>
        </w:rPr>
        <w:t>供应商公章</w:t>
      </w:r>
      <w:r>
        <w:rPr>
          <w:rFonts w:ascii="Arial" w:hAnsi="Arial" w:cs="Arial"/>
          <w:color w:val="000000" w:themeColor="text1"/>
          <w:szCs w:val="21"/>
          <w14:textFill>
            <w14:solidFill>
              <w14:schemeClr w14:val="tx1"/>
            </w14:solidFill>
          </w14:textFill>
        </w:rPr>
        <w:t>（CA签章）</w:t>
      </w:r>
      <w:r>
        <w:rPr>
          <w:rFonts w:ascii="Arial" w:hAnsi="Arial" w:cs="Arial"/>
          <w:color w:val="000000" w:themeColor="text1"/>
          <w:spacing w:val="20"/>
          <w:szCs w:val="21"/>
          <w14:textFill>
            <w14:solidFill>
              <w14:schemeClr w14:val="tx1"/>
            </w14:solidFill>
          </w14:textFill>
        </w:rPr>
        <w:t>：日  期：</w:t>
      </w:r>
    </w:p>
    <w:p w14:paraId="7778A314">
      <w:pPr>
        <w:rPr>
          <w:rFonts w:ascii="Arial" w:hAnsi="Arial" w:cs="Arial"/>
          <w:color w:val="000000" w:themeColor="text1"/>
          <w:szCs w:val="21"/>
          <w14:textFill>
            <w14:solidFill>
              <w14:schemeClr w14:val="tx1"/>
            </w14:solidFill>
          </w14:textFill>
        </w:rPr>
      </w:pPr>
    </w:p>
    <w:p w14:paraId="553A55CB">
      <w:pPr>
        <w:rPr>
          <w:rFonts w:ascii="Arial" w:hAnsi="Arial" w:cs="Arial"/>
          <w:color w:val="000000" w:themeColor="text1"/>
          <w:szCs w:val="21"/>
          <w14:textFill>
            <w14:solidFill>
              <w14:schemeClr w14:val="tx1"/>
            </w14:solidFill>
          </w14:textFill>
        </w:rPr>
      </w:pPr>
    </w:p>
    <w:p w14:paraId="20B3DB18">
      <w:pP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9．技术服务、技术培训、售后服务的内容和措施。</w:t>
      </w:r>
    </w:p>
    <w:p w14:paraId="02585956">
      <w:pPr>
        <w:rPr>
          <w:rFonts w:ascii="Arial" w:hAnsi="Arial" w:cs="Arial"/>
          <w:color w:val="000000" w:themeColor="text1"/>
          <w:szCs w:val="21"/>
          <w14:textFill>
            <w14:solidFill>
              <w14:schemeClr w14:val="tx1"/>
            </w14:solidFill>
          </w14:textFill>
        </w:rPr>
      </w:pPr>
    </w:p>
    <w:p w14:paraId="6C722CEB">
      <w:pPr>
        <w:rPr>
          <w:rFonts w:ascii="Arial" w:hAnsi="Arial" w:cs="Arial"/>
          <w:color w:val="000000" w:themeColor="text1"/>
          <w:szCs w:val="21"/>
          <w14:textFill>
            <w14:solidFill>
              <w14:schemeClr w14:val="tx1"/>
            </w14:solidFill>
          </w14:textFill>
        </w:rPr>
      </w:pPr>
    </w:p>
    <w:p w14:paraId="54CCE0D0">
      <w:pP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10．供应商对本项目的合理化建议和改进措施。</w:t>
      </w:r>
    </w:p>
    <w:p w14:paraId="30F569E5">
      <w:pPr>
        <w:rPr>
          <w:rFonts w:ascii="Arial" w:hAnsi="Arial" w:cs="Arial"/>
          <w:color w:val="000000" w:themeColor="text1"/>
          <w:szCs w:val="21"/>
          <w14:textFill>
            <w14:solidFill>
              <w14:schemeClr w14:val="tx1"/>
            </w14:solidFill>
          </w14:textFill>
        </w:rPr>
      </w:pPr>
    </w:p>
    <w:p w14:paraId="21E16505">
      <w:pPr>
        <w:rPr>
          <w:rFonts w:ascii="Arial" w:hAnsi="Arial" w:cs="Arial"/>
          <w:color w:val="000000" w:themeColor="text1"/>
          <w:szCs w:val="21"/>
          <w14:textFill>
            <w14:solidFill>
              <w14:schemeClr w14:val="tx1"/>
            </w14:solidFill>
          </w14:textFill>
        </w:rPr>
      </w:pPr>
    </w:p>
    <w:p w14:paraId="5FBBDC03">
      <w:pP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11．供应商需要说明的其他文件和说明。</w:t>
      </w:r>
    </w:p>
    <w:p w14:paraId="7F7D971C">
      <w:pPr>
        <w:jc w:val="center"/>
        <w:rPr>
          <w:rFonts w:ascii="Arial" w:hAnsi="Arial" w:cs="Arial"/>
          <w:b/>
          <w:bCs/>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br w:type="page"/>
      </w:r>
      <w:r>
        <w:rPr>
          <w:rFonts w:ascii="Arial" w:hAnsi="Arial" w:cs="Arial"/>
          <w:b/>
          <w:bCs/>
          <w:color w:val="000000" w:themeColor="text1"/>
          <w:szCs w:val="21"/>
          <w14:textFill>
            <w14:solidFill>
              <w14:schemeClr w14:val="tx1"/>
            </w14:solidFill>
          </w14:textFill>
        </w:rPr>
        <w:t xml:space="preserve"> </w:t>
      </w:r>
    </w:p>
    <w:p w14:paraId="34CDBCDA">
      <w:pPr>
        <w:snapToGrid w:val="0"/>
        <w:spacing w:before="120" w:beforeLines="50" w:after="50" w:line="440" w:lineRule="exact"/>
        <w:jc w:val="center"/>
        <w:outlineLvl w:val="1"/>
        <w:rPr>
          <w:rFonts w:ascii="Arial" w:hAnsi="Arial" w:cs="Arial"/>
          <w:bCs/>
          <w:color w:val="000000" w:themeColor="text1"/>
          <w:sz w:val="24"/>
          <w14:textFill>
            <w14:solidFill>
              <w14:schemeClr w14:val="tx1"/>
            </w14:solidFill>
          </w14:textFill>
        </w:rPr>
      </w:pPr>
      <w:r>
        <w:rPr>
          <w:rFonts w:ascii="Arial" w:hAnsi="Arial" w:cs="Arial"/>
          <w:bCs/>
          <w:color w:val="000000" w:themeColor="text1"/>
          <w:sz w:val="24"/>
          <w14:textFill>
            <w14:solidFill>
              <w14:schemeClr w14:val="tx1"/>
            </w14:solidFill>
          </w14:textFill>
        </w:rPr>
        <w:t>第三部分 报价文件</w:t>
      </w:r>
    </w:p>
    <w:p w14:paraId="6ED13413">
      <w:pPr>
        <w:jc w:val="center"/>
        <w:rPr>
          <w:rFonts w:ascii="Arial" w:hAnsi="Arial" w:cs="Arial"/>
          <w:b/>
          <w:bCs/>
          <w:color w:val="000000" w:themeColor="text1"/>
          <w:szCs w:val="21"/>
          <w14:textFill>
            <w14:solidFill>
              <w14:schemeClr w14:val="tx1"/>
            </w14:solidFill>
          </w14:textFill>
        </w:rPr>
      </w:pPr>
    </w:p>
    <w:p w14:paraId="20B49343">
      <w:pPr>
        <w:rPr>
          <w:rFonts w:ascii="Arial" w:hAnsi="Arial" w:cs="Arial"/>
          <w:color w:val="000000" w:themeColor="text1"/>
          <w14:textFill>
            <w14:solidFill>
              <w14:schemeClr w14:val="tx1"/>
            </w14:solidFill>
          </w14:textFill>
        </w:rPr>
      </w:pPr>
      <w:bookmarkStart w:id="174" w:name="_Hlk19115777"/>
      <w:r>
        <w:rPr>
          <w:rFonts w:ascii="Arial" w:hAnsi="Arial" w:cs="Arial"/>
          <w:color w:val="000000" w:themeColor="text1"/>
          <w14:textFill>
            <w14:solidFill>
              <w14:schemeClr w14:val="tx1"/>
            </w14:solidFill>
          </w14:textFill>
        </w:rPr>
        <w:t>1．投标函格式</w:t>
      </w:r>
      <w:r>
        <w:rPr>
          <w:rFonts w:ascii="Arial" w:hAnsi="Arial" w:cs="Arial"/>
          <w:b/>
          <w:color w:val="000000" w:themeColor="text1"/>
          <w14:textFill>
            <w14:solidFill>
              <w14:schemeClr w14:val="tx1"/>
            </w14:solidFill>
          </w14:textFill>
        </w:rPr>
        <w:t>（</w:t>
      </w:r>
      <w:r>
        <w:rPr>
          <w:rFonts w:ascii="Arial" w:hAnsi="Arial" w:cs="Arial"/>
          <w:b/>
          <w:color w:val="000000" w:themeColor="text1"/>
          <w:szCs w:val="21"/>
          <w14:textFill>
            <w14:solidFill>
              <w14:schemeClr w14:val="tx1"/>
            </w14:solidFill>
          </w14:textFill>
        </w:rPr>
        <w:t>必须提供</w:t>
      </w:r>
      <w:r>
        <w:rPr>
          <w:rFonts w:ascii="Arial" w:hAnsi="Arial" w:cs="Arial"/>
          <w:b/>
          <w:color w:val="000000" w:themeColor="text1"/>
          <w14:textFill>
            <w14:solidFill>
              <w14:schemeClr w14:val="tx1"/>
            </w14:solidFill>
          </w14:textFill>
        </w:rPr>
        <w:t>）</w:t>
      </w:r>
      <w:r>
        <w:rPr>
          <w:rFonts w:ascii="Arial" w:hAnsi="Arial" w:cs="Arial"/>
          <w:color w:val="000000" w:themeColor="text1"/>
          <w14:textFill>
            <w14:solidFill>
              <w14:schemeClr w14:val="tx1"/>
            </w14:solidFill>
          </w14:textFill>
        </w:rPr>
        <w:t>：</w:t>
      </w:r>
    </w:p>
    <w:p w14:paraId="3AFB6CDE">
      <w:pPr>
        <w:jc w:val="center"/>
        <w:rPr>
          <w:rFonts w:ascii="Arial" w:hAnsi="Arial" w:cs="Arial"/>
          <w:b/>
          <w:color w:val="000000" w:themeColor="text1"/>
          <w:szCs w:val="21"/>
          <w14:textFill>
            <w14:solidFill>
              <w14:schemeClr w14:val="tx1"/>
            </w14:solidFill>
          </w14:textFill>
        </w:rPr>
      </w:pPr>
    </w:p>
    <w:p w14:paraId="6A35753A">
      <w:pPr>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投 标 函</w:t>
      </w:r>
    </w:p>
    <w:p w14:paraId="4002C4BA">
      <w:pPr>
        <w:rPr>
          <w:rFonts w:ascii="Arial" w:hAnsi="Arial" w:cs="Arial"/>
          <w:b/>
          <w:color w:val="000000" w:themeColor="text1"/>
          <w:szCs w:val="21"/>
          <w14:textFill>
            <w14:solidFill>
              <w14:schemeClr w14:val="tx1"/>
            </w14:solidFill>
          </w14:textFill>
        </w:rPr>
      </w:pPr>
    </w:p>
    <w:p w14:paraId="5CE91C61">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致：</w:t>
      </w:r>
      <w:bookmarkStart w:id="175" w:name="_Hlk19051378"/>
      <w:r>
        <w:rPr>
          <w:rFonts w:ascii="Arial" w:hAnsi="Arial" w:cs="Arial"/>
          <w:color w:val="000000" w:themeColor="text1"/>
          <w:szCs w:val="21"/>
          <w14:textFill>
            <w14:solidFill>
              <w14:schemeClr w14:val="tx1"/>
            </w14:solidFill>
          </w14:textFill>
        </w:rPr>
        <w:t>_</w:t>
      </w:r>
      <w:r>
        <w:rPr>
          <w:rFonts w:ascii="Arial" w:hAnsi="Arial" w:cs="Arial"/>
          <w:i/>
          <w:iCs/>
          <w:color w:val="000000" w:themeColor="text1"/>
          <w:szCs w:val="21"/>
          <w:u w:val="single"/>
          <w14:textFill>
            <w14:solidFill>
              <w14:schemeClr w14:val="tx1"/>
            </w14:solidFill>
          </w14:textFill>
        </w:rPr>
        <w:t>（采购人名称）</w:t>
      </w:r>
      <w:r>
        <w:rPr>
          <w:rFonts w:ascii="Arial" w:hAnsi="Arial" w:cs="Arial"/>
          <w:i/>
          <w:iCs/>
          <w:color w:val="000000" w:themeColor="text1"/>
          <w:szCs w:val="21"/>
          <w14:textFill>
            <w14:solidFill>
              <w14:schemeClr w14:val="tx1"/>
            </w14:solidFill>
          </w14:textFill>
        </w:rPr>
        <w:t>_</w:t>
      </w:r>
      <w:bookmarkEnd w:id="175"/>
      <w:r>
        <w:rPr>
          <w:rFonts w:ascii="Arial" w:hAnsi="Arial" w:cs="Arial"/>
          <w:color w:val="000000" w:themeColor="text1"/>
          <w:szCs w:val="21"/>
          <w14:textFill>
            <w14:solidFill>
              <w14:schemeClr w14:val="tx1"/>
            </w14:solidFill>
          </w14:textFill>
        </w:rPr>
        <w:t>：</w:t>
      </w:r>
    </w:p>
    <w:p w14:paraId="198691A7">
      <w:pPr>
        <w:spacing w:line="360"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我方已仔细研究了</w:t>
      </w:r>
      <w:bookmarkStart w:id="176" w:name="_Hlk19051388"/>
      <w:r>
        <w:rPr>
          <w:rFonts w:ascii="Arial" w:hAnsi="Arial" w:cs="Arial"/>
          <w:i/>
          <w:iCs/>
          <w:color w:val="000000" w:themeColor="text1"/>
          <w:szCs w:val="21"/>
          <w:u w:val="single"/>
          <w14:textFill>
            <w14:solidFill>
              <w14:schemeClr w14:val="tx1"/>
            </w14:solidFill>
          </w14:textFill>
        </w:rPr>
        <w:t>（项目名称）</w:t>
      </w:r>
      <w:bookmarkEnd w:id="176"/>
      <w:r>
        <w:rPr>
          <w:rFonts w:ascii="Arial" w:hAnsi="Arial" w:cs="Arial"/>
          <w:color w:val="000000" w:themeColor="text1"/>
          <w:szCs w:val="21"/>
          <w14:textFill>
            <w14:solidFill>
              <w14:schemeClr w14:val="tx1"/>
            </w14:solidFill>
          </w14:textFill>
        </w:rPr>
        <w:t>的招标文件的全部内容。签字代表</w:t>
      </w:r>
      <w:bookmarkStart w:id="177" w:name="_Hlk19051393"/>
      <w:r>
        <w:rPr>
          <w:rFonts w:ascii="Arial" w:hAnsi="Arial" w:cs="Arial"/>
          <w:i/>
          <w:iCs/>
          <w:color w:val="000000" w:themeColor="text1"/>
          <w:szCs w:val="21"/>
          <w:u w:val="single"/>
          <w14:textFill>
            <w14:solidFill>
              <w14:schemeClr w14:val="tx1"/>
            </w14:solidFill>
          </w14:textFill>
        </w:rPr>
        <w:t>（授权代表姓名）</w:t>
      </w:r>
      <w:bookmarkEnd w:id="177"/>
      <w:r>
        <w:rPr>
          <w:rFonts w:ascii="Arial" w:hAnsi="Arial" w:cs="Arial"/>
          <w:color w:val="000000" w:themeColor="text1"/>
          <w:szCs w:val="21"/>
          <w14:textFill>
            <w14:solidFill>
              <w14:schemeClr w14:val="tx1"/>
            </w14:solidFill>
          </w14:textFill>
        </w:rPr>
        <w:t>经正式授权并代表供应商_</w:t>
      </w:r>
      <w:bookmarkStart w:id="178" w:name="_Hlk19051402"/>
      <w:r>
        <w:rPr>
          <w:rFonts w:ascii="Arial" w:hAnsi="Arial" w:cs="Arial"/>
          <w:i/>
          <w:iCs/>
          <w:color w:val="000000" w:themeColor="text1"/>
          <w:szCs w:val="21"/>
          <w:u w:val="single"/>
          <w14:textFill>
            <w14:solidFill>
              <w14:schemeClr w14:val="tx1"/>
            </w14:solidFill>
          </w14:textFill>
        </w:rPr>
        <w:t>（供应商名称）</w:t>
      </w:r>
      <w:bookmarkEnd w:id="178"/>
      <w:r>
        <w:rPr>
          <w:rFonts w:ascii="Arial" w:hAnsi="Arial" w:cs="Arial"/>
          <w:color w:val="000000" w:themeColor="text1"/>
          <w:szCs w:val="21"/>
          <w14:textFill>
            <w14:solidFill>
              <w14:schemeClr w14:val="tx1"/>
            </w14:solidFill>
          </w14:textFill>
        </w:rPr>
        <w:t>提交投标文件。</w:t>
      </w:r>
    </w:p>
    <w:p w14:paraId="5BC312E7">
      <w:pPr>
        <w:spacing w:line="360" w:lineRule="auto"/>
        <w:ind w:firstLine="420" w:firstLineChars="20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据此函，签字代表宣布同意如下：</w:t>
      </w:r>
    </w:p>
    <w:p w14:paraId="5D76E89F">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（1）我方已详细审查全部“招标文件”，包括修改文件（如有的话）以及全部参考资料和有关附件，已经了解我方对于招标文件、采购过程、采购结果有依法进行询问、质疑、投诉的权利及相关渠道和要求。</w:t>
      </w:r>
    </w:p>
    <w:p w14:paraId="123C5CE0">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（2）我方在投标之前已经与贵方进行了充分的沟通，完全理解并接受招标文件的各项规定和要求，对招标文件的合理性、合法性不再有异议。</w:t>
      </w:r>
    </w:p>
    <w:p w14:paraId="76311604">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（3）本投标有效期自投标截止之日起</w:t>
      </w:r>
      <w:r>
        <w:rPr>
          <w:rFonts w:ascii="Arial" w:hAnsi="Arial" w:cs="Arial"/>
          <w:color w:val="000000" w:themeColor="text1"/>
          <w:szCs w:val="21"/>
          <w:u w:val="single"/>
          <w14:textFill>
            <w14:solidFill>
              <w14:schemeClr w14:val="tx1"/>
            </w14:solidFill>
          </w14:textFill>
        </w:rPr>
        <w:t xml:space="preserve"> 90  </w:t>
      </w:r>
      <w:r>
        <w:rPr>
          <w:rFonts w:ascii="Arial" w:hAnsi="Arial" w:cs="Arial"/>
          <w:color w:val="000000" w:themeColor="text1"/>
          <w:szCs w:val="21"/>
          <w14:textFill>
            <w14:solidFill>
              <w14:schemeClr w14:val="tx1"/>
            </w14:solidFill>
          </w14:textFill>
        </w:rPr>
        <w:t>天。</w:t>
      </w:r>
    </w:p>
    <w:p w14:paraId="3F9B3F7A">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（4）如中标，本投标文件至本项目合同履行完毕止均保持有效，我方将按“招标文件”及政府采购法律、法规的规定履行合同责任和义务，并承诺不分包及转包他人。</w:t>
      </w:r>
    </w:p>
    <w:p w14:paraId="77B99AEB">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（5）我方同意按照贵方要求提供与投标有关的一切数据或资料。</w:t>
      </w:r>
    </w:p>
    <w:p w14:paraId="742C004F">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（6）与本项目有关的一切正式往来信函请寄：</w:t>
      </w:r>
    </w:p>
    <w:p w14:paraId="1F04379C">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地址：</w:t>
      </w:r>
      <w:r>
        <w:rPr>
          <w:rFonts w:ascii="Arial" w:hAnsi="Arial" w:cs="Arial"/>
          <w:color w:val="000000" w:themeColor="text1"/>
          <w:szCs w:val="21"/>
          <w:u w:val="single"/>
          <w14:textFill>
            <w14:solidFill>
              <w14:schemeClr w14:val="tx1"/>
            </w14:solidFill>
          </w14:textFill>
        </w:rPr>
        <w:t xml:space="preserve">    </w:t>
      </w:r>
      <w:r>
        <w:rPr>
          <w:rFonts w:ascii="Arial" w:hAnsi="Arial" w:cs="Arial"/>
          <w:color w:val="000000" w:themeColor="text1"/>
          <w:szCs w:val="21"/>
          <w14:textFill>
            <w14:solidFill>
              <w14:schemeClr w14:val="tx1"/>
            </w14:solidFill>
          </w14:textFill>
        </w:rPr>
        <w:t>邮编： 电话：</w:t>
      </w:r>
      <w:r>
        <w:rPr>
          <w:rFonts w:ascii="Arial" w:hAnsi="Arial" w:cs="Arial"/>
          <w:color w:val="000000" w:themeColor="text1"/>
          <w:szCs w:val="21"/>
          <w:u w:val="single"/>
          <w14:textFill>
            <w14:solidFill>
              <w14:schemeClr w14:val="tx1"/>
            </w14:solidFill>
          </w14:textFill>
        </w:rPr>
        <w:t xml:space="preserve">    </w:t>
      </w:r>
    </w:p>
    <w:p w14:paraId="5ACDDB23">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传真：</w:t>
      </w:r>
    </w:p>
    <w:p w14:paraId="5A96F38B">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供应商代表姓名 职务：邮箱：</w:t>
      </w:r>
    </w:p>
    <w:bookmarkEnd w:id="174"/>
    <w:p w14:paraId="021DC1A9">
      <w:pPr>
        <w:spacing w:line="360" w:lineRule="auto"/>
        <w:rPr>
          <w:rFonts w:ascii="Arial" w:hAnsi="Arial" w:cs="Arial"/>
          <w:color w:val="000000" w:themeColor="text1"/>
          <w:szCs w:val="21"/>
          <w14:textFill>
            <w14:solidFill>
              <w14:schemeClr w14:val="tx1"/>
            </w14:solidFill>
          </w14:textFill>
        </w:rPr>
      </w:pPr>
    </w:p>
    <w:p w14:paraId="38B00E4B">
      <w:pPr>
        <w:spacing w:line="360" w:lineRule="auto"/>
        <w:rPr>
          <w:rFonts w:ascii="Arial" w:hAnsi="Arial" w:cs="Arial"/>
          <w:color w:val="000000" w:themeColor="text1"/>
          <w:szCs w:val="21"/>
          <w14:textFill>
            <w14:solidFill>
              <w14:schemeClr w14:val="tx1"/>
            </w14:solidFill>
          </w14:textFill>
        </w:rPr>
      </w:pPr>
    </w:p>
    <w:p w14:paraId="39982A39">
      <w:pPr>
        <w:spacing w:line="360" w:lineRule="auto"/>
        <w:rPr>
          <w:rFonts w:ascii="Arial" w:hAnsi="Arial" w:cs="Arial"/>
          <w:color w:val="000000" w:themeColor="text1"/>
          <w:szCs w:val="21"/>
          <w:u w:val="single"/>
          <w14:textFill>
            <w14:solidFill>
              <w14:schemeClr w14:val="tx1"/>
            </w14:solidFill>
          </w14:textFill>
        </w:rPr>
      </w:pPr>
      <w:r>
        <w:rPr>
          <w:rFonts w:ascii="Arial" w:hAnsi="Arial" w:cs="Arial"/>
          <w:color w:val="000000" w:themeColor="text1"/>
          <w:szCs w:val="21"/>
          <w14:textFill>
            <w14:solidFill>
              <w14:schemeClr w14:val="tx1"/>
            </w14:solidFill>
          </w14:textFill>
        </w:rPr>
        <w:t>供应商名称(公章)（CA签章）：</w:t>
      </w:r>
    </w:p>
    <w:p w14:paraId="1816CEE1">
      <w:pPr>
        <w:spacing w:line="360" w:lineRule="auto"/>
        <w:rPr>
          <w:rFonts w:ascii="Arial" w:hAnsi="Arial" w:cs="Arial"/>
          <w:color w:val="000000" w:themeColor="text1"/>
          <w:szCs w:val="21"/>
          <w14:textFill>
            <w14:solidFill>
              <w14:schemeClr w14:val="tx1"/>
            </w14:solidFill>
          </w14:textFill>
        </w:rPr>
      </w:pPr>
    </w:p>
    <w:p w14:paraId="3216C81B">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法定代表人或授权代表签字或个人CA签章： </w:t>
      </w:r>
    </w:p>
    <w:p w14:paraId="56F7106E">
      <w:pPr>
        <w:spacing w:line="360" w:lineRule="auto"/>
        <w:rPr>
          <w:rFonts w:ascii="Arial" w:hAnsi="Arial" w:cs="Arial"/>
          <w:color w:val="000000" w:themeColor="text1"/>
          <w:szCs w:val="21"/>
          <w14:textFill>
            <w14:solidFill>
              <w14:schemeClr w14:val="tx1"/>
            </w14:solidFill>
          </w14:textFill>
        </w:rPr>
      </w:pPr>
    </w:p>
    <w:p w14:paraId="1D3BBB13">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日期：</w:t>
      </w:r>
      <w:r>
        <w:rPr>
          <w:rFonts w:ascii="Arial" w:hAnsi="Arial" w:cs="Arial"/>
          <w:color w:val="000000" w:themeColor="text1"/>
          <w:szCs w:val="21"/>
          <w:u w:val="single"/>
          <w14:textFill>
            <w14:solidFill>
              <w14:schemeClr w14:val="tx1"/>
            </w14:solidFill>
          </w14:textFill>
        </w:rPr>
        <w:t xml:space="preserve">    </w:t>
      </w:r>
      <w:r>
        <w:rPr>
          <w:rFonts w:ascii="Arial" w:hAnsi="Arial" w:cs="Arial"/>
          <w:color w:val="000000" w:themeColor="text1"/>
          <w:szCs w:val="21"/>
          <w14:textFill>
            <w14:solidFill>
              <w14:schemeClr w14:val="tx1"/>
            </w14:solidFill>
          </w14:textFill>
        </w:rPr>
        <w:t>年</w:t>
      </w:r>
      <w:r>
        <w:rPr>
          <w:rFonts w:ascii="Arial" w:hAnsi="Arial" w:cs="Arial"/>
          <w:color w:val="000000" w:themeColor="text1"/>
          <w:szCs w:val="21"/>
          <w:u w:val="single"/>
          <w14:textFill>
            <w14:solidFill>
              <w14:schemeClr w14:val="tx1"/>
            </w14:solidFill>
          </w14:textFill>
        </w:rPr>
        <w:t xml:space="preserve">    </w:t>
      </w:r>
      <w:r>
        <w:rPr>
          <w:rFonts w:ascii="Arial" w:hAnsi="Arial" w:cs="Arial"/>
          <w:color w:val="000000" w:themeColor="text1"/>
          <w:szCs w:val="21"/>
          <w14:textFill>
            <w14:solidFill>
              <w14:schemeClr w14:val="tx1"/>
            </w14:solidFill>
          </w14:textFill>
        </w:rPr>
        <w:t>月</w:t>
      </w:r>
      <w:r>
        <w:rPr>
          <w:rFonts w:ascii="Arial" w:hAnsi="Arial" w:cs="Arial"/>
          <w:color w:val="000000" w:themeColor="text1"/>
          <w:szCs w:val="21"/>
          <w:u w:val="single"/>
          <w14:textFill>
            <w14:solidFill>
              <w14:schemeClr w14:val="tx1"/>
            </w14:solidFill>
          </w14:textFill>
        </w:rPr>
        <w:t xml:space="preserve">    </w:t>
      </w:r>
      <w:r>
        <w:rPr>
          <w:rFonts w:ascii="Arial" w:hAnsi="Arial" w:cs="Arial"/>
          <w:color w:val="000000" w:themeColor="text1"/>
          <w:szCs w:val="21"/>
          <w14:textFill>
            <w14:solidFill>
              <w14:schemeClr w14:val="tx1"/>
            </w14:solidFill>
          </w14:textFill>
        </w:rPr>
        <w:t>日</w:t>
      </w:r>
    </w:p>
    <w:p w14:paraId="37047CEB">
      <w:pPr>
        <w:rPr>
          <w:rFonts w:ascii="Arial" w:hAnsi="Arial" w:cs="Arial"/>
          <w:color w:val="000000" w:themeColor="text1"/>
          <w14:textFill>
            <w14:solidFill>
              <w14:schemeClr w14:val="tx1"/>
            </w14:solidFill>
          </w14:textFill>
        </w:rPr>
      </w:pPr>
      <w:r>
        <w:rPr>
          <w:rFonts w:ascii="Arial" w:hAnsi="Arial" w:cs="Arial"/>
          <w:b/>
          <w:color w:val="000000" w:themeColor="text1"/>
          <w:szCs w:val="21"/>
          <w14:textFill>
            <w14:solidFill>
              <w14:schemeClr w14:val="tx1"/>
            </w14:solidFill>
          </w14:textFill>
        </w:rPr>
        <w:br w:type="page"/>
      </w:r>
      <w:r>
        <w:rPr>
          <w:rFonts w:ascii="Arial" w:hAnsi="Arial" w:cs="Arial"/>
          <w:color w:val="000000" w:themeColor="text1"/>
          <w14:textFill>
            <w14:solidFill>
              <w14:schemeClr w14:val="tx1"/>
            </w14:solidFill>
          </w14:textFill>
        </w:rPr>
        <w:t>2．投标报价明细表格式：</w:t>
      </w:r>
    </w:p>
    <w:p w14:paraId="04CF715C">
      <w:pPr>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投标报价明细表</w:t>
      </w:r>
    </w:p>
    <w:p w14:paraId="6128DA15">
      <w:pPr>
        <w:ind w:firstLine="2415" w:firstLineChars="115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 金额单位：人民币（元）                  </w:t>
      </w:r>
    </w:p>
    <w:tbl>
      <w:tblPr>
        <w:tblStyle w:val="54"/>
        <w:tblW w:w="1044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620"/>
        <w:gridCol w:w="1080"/>
        <w:gridCol w:w="1440"/>
        <w:gridCol w:w="1440"/>
        <w:gridCol w:w="1620"/>
        <w:gridCol w:w="1260"/>
        <w:gridCol w:w="1440"/>
      </w:tblGrid>
      <w:tr w14:paraId="5090B5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851" w:hRule="exact"/>
          <w:jc w:val="center"/>
        </w:trPr>
        <w:tc>
          <w:tcPr>
            <w:tcW w:w="540" w:type="dxa"/>
            <w:tcBorders>
              <w:top w:val="single" w:color="auto" w:sz="4" w:space="0"/>
              <w:left w:val="single" w:color="auto" w:sz="4" w:space="0"/>
              <w:bottom w:val="single" w:color="auto" w:sz="4" w:space="0"/>
              <w:right w:val="single" w:color="auto" w:sz="4" w:space="0"/>
            </w:tcBorders>
            <w:vAlign w:val="center"/>
          </w:tcPr>
          <w:p w14:paraId="36D52452">
            <w:pPr>
              <w:jc w:val="center"/>
              <w:rPr>
                <w:rFonts w:ascii="Arial" w:hAnsi="Arial" w:cs="Arial"/>
                <w:color w:val="000000" w:themeColor="text1"/>
                <w:spacing w:val="20"/>
                <w:szCs w:val="21"/>
                <w14:textFill>
                  <w14:solidFill>
                    <w14:schemeClr w14:val="tx1"/>
                  </w14:solidFill>
                </w14:textFill>
              </w:rPr>
            </w:pPr>
            <w:r>
              <w:rPr>
                <w:rFonts w:ascii="Arial" w:hAnsi="Arial" w:cs="Arial"/>
                <w:color w:val="000000" w:themeColor="text1"/>
                <w:szCs w:val="21"/>
                <w14:textFill>
                  <w14:solidFill>
                    <w14:schemeClr w14:val="tx1"/>
                  </w14:solidFill>
                </w14:textFill>
              </w:rPr>
              <w:t>序号</w:t>
            </w:r>
          </w:p>
        </w:tc>
        <w:tc>
          <w:tcPr>
            <w:tcW w:w="1620" w:type="dxa"/>
            <w:tcBorders>
              <w:top w:val="single" w:color="auto" w:sz="4" w:space="0"/>
              <w:left w:val="single" w:color="auto" w:sz="4" w:space="0"/>
              <w:bottom w:val="single" w:color="auto" w:sz="4" w:space="0"/>
              <w:right w:val="single" w:color="auto" w:sz="4" w:space="0"/>
            </w:tcBorders>
            <w:vAlign w:val="center"/>
          </w:tcPr>
          <w:p w14:paraId="365DFD1F">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产品名称</w:t>
            </w:r>
          </w:p>
        </w:tc>
        <w:tc>
          <w:tcPr>
            <w:tcW w:w="1080" w:type="dxa"/>
            <w:tcBorders>
              <w:top w:val="single" w:color="auto" w:sz="4" w:space="0"/>
              <w:left w:val="single" w:color="auto" w:sz="4" w:space="0"/>
              <w:bottom w:val="single" w:color="auto" w:sz="4" w:space="0"/>
              <w:right w:val="single" w:color="auto" w:sz="4" w:space="0"/>
            </w:tcBorders>
            <w:vAlign w:val="center"/>
          </w:tcPr>
          <w:p w14:paraId="64BA1DDD">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制造商</w:t>
            </w:r>
          </w:p>
        </w:tc>
        <w:tc>
          <w:tcPr>
            <w:tcW w:w="1440" w:type="dxa"/>
            <w:tcBorders>
              <w:top w:val="single" w:color="auto" w:sz="4" w:space="0"/>
              <w:left w:val="single" w:color="auto" w:sz="4" w:space="0"/>
              <w:bottom w:val="single" w:color="auto" w:sz="4" w:space="0"/>
              <w:right w:val="single" w:color="auto" w:sz="4" w:space="0"/>
            </w:tcBorders>
            <w:vAlign w:val="center"/>
          </w:tcPr>
          <w:p w14:paraId="165EB0E3">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品牌</w:t>
            </w:r>
          </w:p>
        </w:tc>
        <w:tc>
          <w:tcPr>
            <w:tcW w:w="1440" w:type="dxa"/>
            <w:tcBorders>
              <w:top w:val="single" w:color="auto" w:sz="4" w:space="0"/>
              <w:left w:val="single" w:color="auto" w:sz="4" w:space="0"/>
              <w:bottom w:val="single" w:color="auto" w:sz="4" w:space="0"/>
              <w:right w:val="single" w:color="auto" w:sz="4" w:space="0"/>
            </w:tcBorders>
            <w:vAlign w:val="center"/>
          </w:tcPr>
          <w:p w14:paraId="3538DC57">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规格型号</w:t>
            </w:r>
          </w:p>
        </w:tc>
        <w:tc>
          <w:tcPr>
            <w:tcW w:w="1620" w:type="dxa"/>
            <w:tcBorders>
              <w:top w:val="single" w:color="auto" w:sz="4" w:space="0"/>
              <w:left w:val="single" w:color="auto" w:sz="4" w:space="0"/>
              <w:bottom w:val="single" w:color="auto" w:sz="4" w:space="0"/>
              <w:right w:val="single" w:color="auto" w:sz="4" w:space="0"/>
            </w:tcBorders>
            <w:vAlign w:val="center"/>
          </w:tcPr>
          <w:p w14:paraId="32EA5E52">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单位及数量</w:t>
            </w:r>
          </w:p>
        </w:tc>
        <w:tc>
          <w:tcPr>
            <w:tcW w:w="1260" w:type="dxa"/>
            <w:tcBorders>
              <w:top w:val="single" w:color="auto" w:sz="4" w:space="0"/>
              <w:left w:val="single" w:color="auto" w:sz="4" w:space="0"/>
              <w:bottom w:val="single" w:color="auto" w:sz="4" w:space="0"/>
              <w:right w:val="single" w:color="auto" w:sz="4" w:space="0"/>
            </w:tcBorders>
            <w:vAlign w:val="center"/>
          </w:tcPr>
          <w:p w14:paraId="098D33B9">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单价</w:t>
            </w:r>
          </w:p>
        </w:tc>
        <w:tc>
          <w:tcPr>
            <w:tcW w:w="1440" w:type="dxa"/>
            <w:tcBorders>
              <w:top w:val="single" w:color="auto" w:sz="4" w:space="0"/>
              <w:left w:val="single" w:color="auto" w:sz="4" w:space="0"/>
              <w:bottom w:val="single" w:color="auto" w:sz="4" w:space="0"/>
              <w:right w:val="single" w:color="auto" w:sz="4" w:space="0"/>
            </w:tcBorders>
            <w:vAlign w:val="center"/>
          </w:tcPr>
          <w:p w14:paraId="62E6E9BF">
            <w:pPr>
              <w:jc w:val="cente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金额</w:t>
            </w:r>
          </w:p>
        </w:tc>
      </w:tr>
      <w:tr w14:paraId="753C0A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540" w:type="dxa"/>
            <w:tcBorders>
              <w:top w:val="single" w:color="auto" w:sz="4" w:space="0"/>
              <w:left w:val="single" w:color="auto" w:sz="4" w:space="0"/>
              <w:bottom w:val="single" w:color="auto" w:sz="4" w:space="0"/>
              <w:right w:val="single" w:color="auto" w:sz="4" w:space="0"/>
            </w:tcBorders>
            <w:vAlign w:val="center"/>
          </w:tcPr>
          <w:p w14:paraId="6E27B482">
            <w:pPr>
              <w:jc w:val="center"/>
              <w:rPr>
                <w:rFonts w:ascii="Arial" w:hAnsi="Arial" w:cs="Arial"/>
                <w:color w:val="000000" w:themeColor="text1"/>
                <w:spacing w:val="20"/>
                <w:szCs w:val="21"/>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vAlign w:val="center"/>
          </w:tcPr>
          <w:p w14:paraId="0535F2A4">
            <w:pPr>
              <w:jc w:val="center"/>
              <w:rPr>
                <w:rFonts w:ascii="Arial" w:hAnsi="Arial" w:cs="Arial"/>
                <w:color w:val="000000" w:themeColor="text1"/>
                <w:spacing w:val="20"/>
                <w:szCs w:val="2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08978034">
            <w:pPr>
              <w:jc w:val="center"/>
              <w:rPr>
                <w:rFonts w:ascii="Arial" w:hAnsi="Arial" w:cs="Arial"/>
                <w:color w:val="000000" w:themeColor="text1"/>
                <w:spacing w:val="20"/>
                <w:szCs w:val="21"/>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vAlign w:val="center"/>
          </w:tcPr>
          <w:p w14:paraId="6F900AC3">
            <w:pPr>
              <w:jc w:val="center"/>
              <w:rPr>
                <w:rFonts w:ascii="Arial" w:hAnsi="Arial" w:cs="Arial"/>
                <w:color w:val="000000" w:themeColor="text1"/>
                <w:spacing w:val="20"/>
                <w:szCs w:val="21"/>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vAlign w:val="center"/>
          </w:tcPr>
          <w:p w14:paraId="0C081EB0">
            <w:pPr>
              <w:jc w:val="center"/>
              <w:rPr>
                <w:rFonts w:ascii="Arial" w:hAnsi="Arial" w:cs="Arial"/>
                <w:color w:val="000000" w:themeColor="text1"/>
                <w:spacing w:val="20"/>
                <w:szCs w:val="21"/>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vAlign w:val="center"/>
          </w:tcPr>
          <w:p w14:paraId="5F48A862">
            <w:pPr>
              <w:jc w:val="center"/>
              <w:rPr>
                <w:rFonts w:ascii="Arial" w:hAnsi="Arial" w:cs="Arial"/>
                <w:color w:val="000000" w:themeColor="text1"/>
                <w:spacing w:val="20"/>
                <w:szCs w:val="2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32D3ED63">
            <w:pPr>
              <w:jc w:val="center"/>
              <w:rPr>
                <w:rFonts w:ascii="Arial" w:hAnsi="Arial" w:cs="Arial"/>
                <w:color w:val="000000" w:themeColor="text1"/>
                <w:spacing w:val="20"/>
                <w:szCs w:val="21"/>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vAlign w:val="center"/>
          </w:tcPr>
          <w:p w14:paraId="79D949C8">
            <w:pPr>
              <w:jc w:val="center"/>
              <w:rPr>
                <w:rFonts w:ascii="Arial" w:hAnsi="Arial" w:cs="Arial"/>
                <w:color w:val="000000" w:themeColor="text1"/>
                <w:spacing w:val="20"/>
                <w:szCs w:val="21"/>
                <w14:textFill>
                  <w14:solidFill>
                    <w14:schemeClr w14:val="tx1"/>
                  </w14:solidFill>
                </w14:textFill>
              </w:rPr>
            </w:pPr>
          </w:p>
        </w:tc>
      </w:tr>
      <w:tr w14:paraId="3F4F6E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540" w:type="dxa"/>
            <w:tcBorders>
              <w:top w:val="single" w:color="auto" w:sz="4" w:space="0"/>
              <w:left w:val="single" w:color="auto" w:sz="4" w:space="0"/>
              <w:bottom w:val="single" w:color="auto" w:sz="4" w:space="0"/>
              <w:right w:val="single" w:color="auto" w:sz="4" w:space="0"/>
            </w:tcBorders>
            <w:vAlign w:val="center"/>
          </w:tcPr>
          <w:p w14:paraId="581B9EC8">
            <w:pPr>
              <w:jc w:val="center"/>
              <w:rPr>
                <w:rFonts w:ascii="Arial" w:hAnsi="Arial" w:cs="Arial"/>
                <w:color w:val="000000" w:themeColor="text1"/>
                <w:spacing w:val="20"/>
                <w:szCs w:val="21"/>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vAlign w:val="center"/>
          </w:tcPr>
          <w:p w14:paraId="2954C97F">
            <w:pPr>
              <w:jc w:val="center"/>
              <w:rPr>
                <w:rFonts w:ascii="Arial" w:hAnsi="Arial" w:cs="Arial"/>
                <w:color w:val="000000" w:themeColor="text1"/>
                <w:spacing w:val="20"/>
                <w:szCs w:val="2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40703BC1">
            <w:pPr>
              <w:jc w:val="center"/>
              <w:rPr>
                <w:rFonts w:ascii="Arial" w:hAnsi="Arial" w:cs="Arial"/>
                <w:color w:val="000000" w:themeColor="text1"/>
                <w:spacing w:val="20"/>
                <w:szCs w:val="21"/>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vAlign w:val="center"/>
          </w:tcPr>
          <w:p w14:paraId="4CA633E8">
            <w:pPr>
              <w:jc w:val="center"/>
              <w:rPr>
                <w:rFonts w:ascii="Arial" w:hAnsi="Arial" w:cs="Arial"/>
                <w:color w:val="000000" w:themeColor="text1"/>
                <w:spacing w:val="20"/>
                <w:szCs w:val="21"/>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vAlign w:val="center"/>
          </w:tcPr>
          <w:p w14:paraId="2F9941BA">
            <w:pPr>
              <w:jc w:val="center"/>
              <w:rPr>
                <w:rFonts w:ascii="Arial" w:hAnsi="Arial" w:cs="Arial"/>
                <w:color w:val="000000" w:themeColor="text1"/>
                <w:spacing w:val="20"/>
                <w:szCs w:val="21"/>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vAlign w:val="center"/>
          </w:tcPr>
          <w:p w14:paraId="307E1C68">
            <w:pPr>
              <w:jc w:val="center"/>
              <w:rPr>
                <w:rFonts w:ascii="Arial" w:hAnsi="Arial" w:cs="Arial"/>
                <w:color w:val="000000" w:themeColor="text1"/>
                <w:spacing w:val="20"/>
                <w:szCs w:val="2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37AE4BC1">
            <w:pPr>
              <w:jc w:val="center"/>
              <w:rPr>
                <w:rFonts w:ascii="Arial" w:hAnsi="Arial" w:cs="Arial"/>
                <w:color w:val="000000" w:themeColor="text1"/>
                <w:spacing w:val="20"/>
                <w:szCs w:val="21"/>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vAlign w:val="center"/>
          </w:tcPr>
          <w:p w14:paraId="6885AA0F">
            <w:pPr>
              <w:jc w:val="center"/>
              <w:rPr>
                <w:rFonts w:ascii="Arial" w:hAnsi="Arial" w:cs="Arial"/>
                <w:color w:val="000000" w:themeColor="text1"/>
                <w:spacing w:val="20"/>
                <w:szCs w:val="21"/>
                <w14:textFill>
                  <w14:solidFill>
                    <w14:schemeClr w14:val="tx1"/>
                  </w14:solidFill>
                </w14:textFill>
              </w:rPr>
            </w:pPr>
          </w:p>
        </w:tc>
      </w:tr>
      <w:tr w14:paraId="288817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851" w:hRule="exact"/>
          <w:jc w:val="center"/>
        </w:trPr>
        <w:tc>
          <w:tcPr>
            <w:tcW w:w="540" w:type="dxa"/>
            <w:tcBorders>
              <w:top w:val="single" w:color="auto" w:sz="4" w:space="0"/>
              <w:left w:val="single" w:color="auto" w:sz="4" w:space="0"/>
              <w:bottom w:val="single" w:color="auto" w:sz="4" w:space="0"/>
              <w:right w:val="single" w:color="auto" w:sz="4" w:space="0"/>
            </w:tcBorders>
            <w:vAlign w:val="center"/>
          </w:tcPr>
          <w:p w14:paraId="3909D53A">
            <w:pPr>
              <w:jc w:val="center"/>
              <w:rPr>
                <w:rFonts w:ascii="Arial" w:hAnsi="Arial" w:cs="Arial"/>
                <w:color w:val="000000" w:themeColor="text1"/>
                <w:spacing w:val="20"/>
                <w:szCs w:val="21"/>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vAlign w:val="center"/>
          </w:tcPr>
          <w:p w14:paraId="245FA000">
            <w:pPr>
              <w:jc w:val="center"/>
              <w:rPr>
                <w:rFonts w:ascii="Arial" w:hAnsi="Arial" w:cs="Arial"/>
                <w:color w:val="000000" w:themeColor="text1"/>
                <w:spacing w:val="20"/>
                <w:szCs w:val="21"/>
                <w14:textFill>
                  <w14:solidFill>
                    <w14:schemeClr w14:val="tx1"/>
                  </w14:solidFill>
                </w14:textFill>
              </w:rPr>
            </w:pPr>
            <w:r>
              <w:rPr>
                <w:rFonts w:ascii="Arial" w:hAnsi="Arial" w:cs="Arial"/>
                <w:color w:val="000000" w:themeColor="text1"/>
                <w:spacing w:val="20"/>
                <w:szCs w:val="21"/>
                <w14:textFill>
                  <w14:solidFill>
                    <w14:schemeClr w14:val="tx1"/>
                  </w14:solidFill>
                </w14:textFill>
              </w:rPr>
              <w:t>……</w:t>
            </w:r>
          </w:p>
        </w:tc>
        <w:tc>
          <w:tcPr>
            <w:tcW w:w="1080" w:type="dxa"/>
            <w:tcBorders>
              <w:top w:val="single" w:color="auto" w:sz="4" w:space="0"/>
              <w:left w:val="single" w:color="auto" w:sz="4" w:space="0"/>
              <w:bottom w:val="single" w:color="auto" w:sz="4" w:space="0"/>
              <w:right w:val="single" w:color="auto" w:sz="4" w:space="0"/>
            </w:tcBorders>
            <w:vAlign w:val="center"/>
          </w:tcPr>
          <w:p w14:paraId="4D5228B2">
            <w:pPr>
              <w:jc w:val="center"/>
              <w:rPr>
                <w:rFonts w:ascii="Arial" w:hAnsi="Arial" w:cs="Arial"/>
                <w:color w:val="000000" w:themeColor="text1"/>
                <w:spacing w:val="20"/>
                <w:szCs w:val="21"/>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vAlign w:val="center"/>
          </w:tcPr>
          <w:p w14:paraId="6686E081">
            <w:pPr>
              <w:jc w:val="center"/>
              <w:rPr>
                <w:rFonts w:ascii="Arial" w:hAnsi="Arial" w:cs="Arial"/>
                <w:color w:val="000000" w:themeColor="text1"/>
                <w:spacing w:val="20"/>
                <w:szCs w:val="21"/>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vAlign w:val="center"/>
          </w:tcPr>
          <w:p w14:paraId="3E80148A">
            <w:pPr>
              <w:jc w:val="center"/>
              <w:rPr>
                <w:rFonts w:ascii="Arial" w:hAnsi="Arial" w:cs="Arial"/>
                <w:color w:val="000000" w:themeColor="text1"/>
                <w:spacing w:val="20"/>
                <w:szCs w:val="21"/>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vAlign w:val="center"/>
          </w:tcPr>
          <w:p w14:paraId="40653E7E">
            <w:pPr>
              <w:jc w:val="center"/>
              <w:rPr>
                <w:rFonts w:ascii="Arial" w:hAnsi="Arial" w:cs="Arial"/>
                <w:color w:val="000000" w:themeColor="text1"/>
                <w:spacing w:val="20"/>
                <w:szCs w:val="2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46F9BDB3">
            <w:pPr>
              <w:jc w:val="center"/>
              <w:rPr>
                <w:rFonts w:ascii="Arial" w:hAnsi="Arial" w:cs="Arial"/>
                <w:color w:val="000000" w:themeColor="text1"/>
                <w:spacing w:val="20"/>
                <w:szCs w:val="21"/>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vAlign w:val="center"/>
          </w:tcPr>
          <w:p w14:paraId="5CF480A5">
            <w:pPr>
              <w:jc w:val="center"/>
              <w:rPr>
                <w:rFonts w:ascii="Arial" w:hAnsi="Arial" w:cs="Arial"/>
                <w:color w:val="000000" w:themeColor="text1"/>
                <w:spacing w:val="20"/>
                <w:szCs w:val="21"/>
                <w14:textFill>
                  <w14:solidFill>
                    <w14:schemeClr w14:val="tx1"/>
                  </w14:solidFill>
                </w14:textFill>
              </w:rPr>
            </w:pPr>
          </w:p>
        </w:tc>
      </w:tr>
      <w:tr w14:paraId="76057E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851" w:hRule="exact"/>
          <w:jc w:val="center"/>
        </w:trPr>
        <w:tc>
          <w:tcPr>
            <w:tcW w:w="10440" w:type="dxa"/>
            <w:gridSpan w:val="8"/>
            <w:tcBorders>
              <w:top w:val="single" w:color="auto" w:sz="4" w:space="0"/>
              <w:left w:val="single" w:color="auto" w:sz="4" w:space="0"/>
              <w:bottom w:val="single" w:color="auto" w:sz="4" w:space="0"/>
              <w:right w:val="single" w:color="auto" w:sz="4" w:space="0"/>
            </w:tcBorders>
            <w:vAlign w:val="center"/>
          </w:tcPr>
          <w:p w14:paraId="432CD2D6">
            <w:pPr>
              <w:jc w:val="left"/>
              <w:rPr>
                <w:rFonts w:ascii="Arial" w:hAnsi="Arial" w:cs="Arial"/>
                <w:color w:val="000000" w:themeColor="text1"/>
                <w:spacing w:val="20"/>
                <w:szCs w:val="21"/>
                <w14:textFill>
                  <w14:solidFill>
                    <w14:schemeClr w14:val="tx1"/>
                  </w14:solidFill>
                </w14:textFill>
              </w:rPr>
            </w:pPr>
            <w:r>
              <w:rPr>
                <w:rFonts w:ascii="Arial" w:hAnsi="Arial" w:cs="Arial"/>
                <w:color w:val="000000" w:themeColor="text1"/>
                <w:spacing w:val="20"/>
                <w:szCs w:val="21"/>
                <w14:textFill>
                  <w14:solidFill>
                    <w14:schemeClr w14:val="tx1"/>
                  </w14:solidFill>
                </w14:textFill>
              </w:rPr>
              <w:t>投标总价：大写                 小写</w:t>
            </w:r>
          </w:p>
        </w:tc>
      </w:tr>
    </w:tbl>
    <w:p w14:paraId="12E6A4C0">
      <w:pPr>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注：本表可扩展，并逐页签字及盖章</w:t>
      </w:r>
    </w:p>
    <w:p w14:paraId="6747906C">
      <w:pPr>
        <w:spacing w:line="360" w:lineRule="auto"/>
        <w:rPr>
          <w:rFonts w:ascii="Arial" w:hAnsi="Arial" w:cs="Arial"/>
          <w:color w:val="000000" w:themeColor="text1"/>
          <w:spacing w:val="20"/>
          <w:szCs w:val="21"/>
          <w14:textFill>
            <w14:solidFill>
              <w14:schemeClr w14:val="tx1"/>
            </w14:solidFill>
          </w14:textFill>
        </w:rPr>
      </w:pPr>
    </w:p>
    <w:p w14:paraId="48E8ECE1">
      <w:pPr>
        <w:spacing w:line="360" w:lineRule="auto"/>
        <w:rPr>
          <w:rFonts w:ascii="Arial" w:hAnsi="Arial" w:cs="Arial"/>
          <w:color w:val="000000" w:themeColor="text1"/>
          <w:spacing w:val="20"/>
          <w:szCs w:val="21"/>
          <w:u w:val="single"/>
          <w14:textFill>
            <w14:solidFill>
              <w14:schemeClr w14:val="tx1"/>
            </w14:solidFill>
          </w14:textFill>
        </w:rPr>
      </w:pPr>
      <w:r>
        <w:rPr>
          <w:rFonts w:ascii="Arial" w:hAnsi="Arial" w:cs="Arial"/>
          <w:color w:val="000000" w:themeColor="text1"/>
          <w:szCs w:val="21"/>
          <w14:textFill>
            <w14:solidFill>
              <w14:schemeClr w14:val="tx1"/>
            </w14:solidFill>
          </w14:textFill>
        </w:rPr>
        <w:t>法定代表人或授权代表（签字或个人CA签章）</w:t>
      </w:r>
      <w:r>
        <w:rPr>
          <w:rFonts w:ascii="Arial" w:hAnsi="Arial" w:cs="Arial"/>
          <w:color w:val="000000" w:themeColor="text1"/>
          <w:spacing w:val="20"/>
          <w:szCs w:val="21"/>
          <w14:textFill>
            <w14:solidFill>
              <w14:schemeClr w14:val="tx1"/>
            </w14:solidFill>
          </w14:textFill>
        </w:rPr>
        <w:t>：</w:t>
      </w:r>
      <w:r>
        <w:rPr>
          <w:rFonts w:ascii="Arial" w:hAnsi="Arial" w:cs="Arial"/>
          <w:color w:val="000000" w:themeColor="text1"/>
          <w:spacing w:val="20"/>
          <w:szCs w:val="21"/>
          <w:u w:val="single"/>
          <w14:textFill>
            <w14:solidFill>
              <w14:schemeClr w14:val="tx1"/>
            </w14:solidFill>
          </w14:textFill>
        </w:rPr>
        <w:t xml:space="preserve">           </w:t>
      </w:r>
    </w:p>
    <w:p w14:paraId="790F0C44">
      <w:pPr>
        <w:spacing w:line="360" w:lineRule="auto"/>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 xml:space="preserve">供应商名称（公章）（CA签章）： </w:t>
      </w:r>
      <w:r>
        <w:rPr>
          <w:rFonts w:ascii="Arial" w:hAnsi="Arial" w:cs="Arial"/>
          <w:color w:val="000000" w:themeColor="text1"/>
          <w:szCs w:val="21"/>
          <w:u w:val="single"/>
          <w14:textFill>
            <w14:solidFill>
              <w14:schemeClr w14:val="tx1"/>
            </w14:solidFill>
          </w14:textFill>
        </w:rPr>
        <w:t xml:space="preserve">           </w:t>
      </w:r>
    </w:p>
    <w:p w14:paraId="5436904F">
      <w:pPr>
        <w:spacing w:line="360" w:lineRule="auto"/>
        <w:rPr>
          <w:rFonts w:ascii="Arial" w:hAnsi="Arial" w:cs="Arial"/>
          <w:color w:val="000000" w:themeColor="text1"/>
          <w:spacing w:val="20"/>
          <w:szCs w:val="21"/>
          <w:u w:val="single"/>
          <w14:textFill>
            <w14:solidFill>
              <w14:schemeClr w14:val="tx1"/>
            </w14:solidFill>
          </w14:textFill>
        </w:rPr>
      </w:pPr>
      <w:r>
        <w:rPr>
          <w:rFonts w:ascii="Arial" w:hAnsi="Arial" w:cs="Arial"/>
          <w:color w:val="000000" w:themeColor="text1"/>
          <w:szCs w:val="21"/>
          <w14:textFill>
            <w14:solidFill>
              <w14:schemeClr w14:val="tx1"/>
            </w14:solidFill>
          </w14:textFill>
        </w:rPr>
        <w:t xml:space="preserve">日  期：   年  月   日 </w:t>
      </w:r>
    </w:p>
    <w:p w14:paraId="7C1EA771">
      <w:pPr>
        <w:snapToGrid w:val="0"/>
        <w:spacing w:before="50" w:after="120" w:afterLines="50"/>
        <w:jc w:val="lef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14:textFill>
            <w14:solidFill>
              <w14:schemeClr w14:val="tx1"/>
            </w14:solidFill>
          </w14:textFill>
        </w:rPr>
        <w:br w:type="page"/>
      </w:r>
      <w:bookmarkStart w:id="179" w:name="_Hlk19115862"/>
      <w:r>
        <w:rPr>
          <w:rFonts w:ascii="Arial" w:hAnsi="Arial" w:cs="Arial"/>
          <w:color w:val="000000" w:themeColor="text1"/>
          <w:szCs w:val="21"/>
          <w:highlight w:val="none"/>
          <w14:textFill>
            <w14:solidFill>
              <w14:schemeClr w14:val="tx1"/>
            </w14:solidFill>
          </w14:textFill>
        </w:rPr>
        <w:t>3．过低报价合理性的说明。（如有）</w:t>
      </w:r>
    </w:p>
    <w:bookmarkEnd w:id="179"/>
    <w:p w14:paraId="11EB573B">
      <w:pPr>
        <w:spacing w:line="360" w:lineRule="auto"/>
        <w:ind w:firstLine="420" w:firstLineChars="200"/>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评审委员会认为的报价</w:t>
      </w:r>
      <w:r>
        <w:rPr>
          <w:rFonts w:hint="eastAsia"/>
          <w:color w:val="000000" w:themeColor="text1"/>
          <w:szCs w:val="21"/>
          <w:highlight w:val="none"/>
          <w:lang w:val="en-US" w:eastAsia="zh-CN"/>
          <w14:textFill>
            <w14:solidFill>
              <w14:schemeClr w14:val="tx1"/>
            </w14:solidFill>
          </w14:textFill>
        </w:rPr>
        <w:t>存在异常低价问题的情形</w:t>
      </w:r>
      <w:r>
        <w:rPr>
          <w:color w:val="000000" w:themeColor="text1"/>
          <w:szCs w:val="21"/>
          <w:highlight w:val="none"/>
          <w14:textFill>
            <w14:solidFill>
              <w14:schemeClr w14:val="tx1"/>
            </w14:solidFill>
          </w14:textFill>
        </w:rPr>
        <w:t>，供应商将被要求以书面方式提供</w:t>
      </w:r>
      <w:r>
        <w:rPr>
          <w:rFonts w:hint="eastAsia"/>
          <w:color w:val="000000" w:themeColor="text1"/>
          <w:szCs w:val="21"/>
          <w:highlight w:val="none"/>
          <w:lang w:val="en-US" w:eastAsia="zh-CN"/>
          <w14:textFill>
            <w14:solidFill>
              <w14:schemeClr w14:val="tx1"/>
            </w14:solidFill>
          </w14:textFill>
        </w:rPr>
        <w:t>项目具体成本测算等与报价合理性相关的书面说明及必要的证明材料</w:t>
      </w:r>
      <w:r>
        <w:rPr>
          <w:color w:val="000000" w:themeColor="text1"/>
          <w:szCs w:val="21"/>
          <w:highlight w:val="none"/>
          <w14:textFill>
            <w14:solidFill>
              <w14:schemeClr w14:val="tx1"/>
            </w14:solidFill>
          </w14:textFill>
        </w:rPr>
        <w:t>。为避免在评审现场因未能及时提供说明而导致被评审委员会作为无效投标，供应商</w:t>
      </w:r>
      <w:r>
        <w:rPr>
          <w:rFonts w:hint="eastAsia"/>
          <w:color w:val="000000" w:themeColor="text1"/>
          <w:highlight w:val="none"/>
          <w14:textFill>
            <w14:solidFill>
              <w14:schemeClr w14:val="tx1"/>
            </w14:solidFill>
          </w14:textFill>
        </w:rPr>
        <w:t>自行决定是否</w:t>
      </w:r>
      <w:r>
        <w:rPr>
          <w:color w:val="000000" w:themeColor="text1"/>
          <w:kern w:val="1"/>
          <w:szCs w:val="21"/>
          <w:highlight w:val="none"/>
          <w14:textFill>
            <w14:solidFill>
              <w14:schemeClr w14:val="tx1"/>
            </w14:solidFill>
          </w14:textFill>
        </w:rPr>
        <w:t>直接在</w:t>
      </w:r>
      <w:r>
        <w:rPr>
          <w:color w:val="000000" w:themeColor="text1"/>
          <w:szCs w:val="21"/>
          <w:highlight w:val="none"/>
          <w14:textFill>
            <w14:solidFill>
              <w14:schemeClr w14:val="tx1"/>
            </w14:solidFill>
          </w14:textFill>
        </w:rPr>
        <w:t>此处</w:t>
      </w:r>
      <w:r>
        <w:rPr>
          <w:rFonts w:hint="eastAsia"/>
          <w:color w:val="000000" w:themeColor="text1"/>
          <w:szCs w:val="21"/>
          <w:highlight w:val="none"/>
          <w14:textFill>
            <w14:solidFill>
              <w14:schemeClr w14:val="tx1"/>
            </w14:solidFill>
          </w14:textFill>
        </w:rPr>
        <w:t>进行陈述</w:t>
      </w:r>
      <w:r>
        <w:rPr>
          <w:color w:val="000000" w:themeColor="text1"/>
          <w:szCs w:val="21"/>
          <w:highlight w:val="none"/>
          <w14:textFill>
            <w14:solidFill>
              <w14:schemeClr w14:val="tx1"/>
            </w14:solidFill>
          </w14:textFill>
        </w:rPr>
        <w:t>。格式自拟。</w:t>
      </w:r>
      <w:r>
        <w:rPr>
          <w:rFonts w:hint="eastAsia"/>
          <w:color w:val="000000" w:themeColor="text1"/>
          <w:szCs w:val="21"/>
          <w:highlight w:val="none"/>
          <w14:textFill>
            <w14:solidFill>
              <w14:schemeClr w14:val="tx1"/>
            </w14:solidFill>
          </w14:textFill>
        </w:rPr>
        <w:t>（</w:t>
      </w:r>
      <w:r>
        <w:rPr>
          <w:rFonts w:hint="eastAsia"/>
          <w:color w:val="000000" w:themeColor="text1"/>
          <w:kern w:val="1"/>
          <w:szCs w:val="21"/>
          <w:highlight w:val="none"/>
          <w14:textFill>
            <w14:solidFill>
              <w14:schemeClr w14:val="tx1"/>
            </w14:solidFill>
          </w14:textFill>
        </w:rPr>
        <w:t>具体要求详见第四章评审方法及标准“过低报价合理性的审查”</w:t>
      </w:r>
      <w:r>
        <w:rPr>
          <w:rFonts w:hint="eastAsia"/>
          <w:color w:val="000000" w:themeColor="text1"/>
          <w:szCs w:val="21"/>
          <w:highlight w:val="none"/>
          <w14:textFill>
            <w14:solidFill>
              <w14:schemeClr w14:val="tx1"/>
            </w14:solidFill>
          </w14:textFill>
        </w:rPr>
        <w:t>）</w:t>
      </w:r>
    </w:p>
    <w:p w14:paraId="783E9B9E">
      <w:pPr>
        <w:pStyle w:val="202"/>
        <w:jc w:val="center"/>
        <w:rPr>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产品成本测算表（参考格式）</w:t>
      </w:r>
    </w:p>
    <w:p w14:paraId="2DB889C3">
      <w:pPr>
        <w:spacing w:line="360" w:lineRule="auto"/>
        <w:rPr>
          <w:color w:val="000000" w:themeColor="text1"/>
          <w:highlight w:val="none"/>
          <w14:textFill>
            <w14:solidFill>
              <w14:schemeClr w14:val="tx1"/>
            </w14:solidFill>
          </w14:textFill>
        </w:rPr>
      </w:pPr>
    </w:p>
    <w:tbl>
      <w:tblPr>
        <w:tblStyle w:val="54"/>
        <w:tblW w:w="452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26"/>
        <w:gridCol w:w="348"/>
        <w:gridCol w:w="660"/>
        <w:gridCol w:w="490"/>
        <w:gridCol w:w="830"/>
        <w:gridCol w:w="1202"/>
        <w:gridCol w:w="972"/>
        <w:gridCol w:w="887"/>
        <w:gridCol w:w="1052"/>
        <w:gridCol w:w="780"/>
        <w:gridCol w:w="1019"/>
      </w:tblGrid>
      <w:tr w14:paraId="643B52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98" w:hRule="atLeast"/>
          <w:jc w:val="center"/>
        </w:trPr>
        <w:tc>
          <w:tcPr>
            <w:tcW w:w="245" w:type="pct"/>
            <w:shd w:val="clear" w:color="C3BD96" w:themeColor="background2" w:themeShade="BF" w:fill="auto"/>
            <w:vAlign w:val="center"/>
          </w:tcPr>
          <w:p w14:paraId="3E050D07">
            <w:pPr>
              <w:ind w:left="-105" w:leftChars="-50" w:right="-105" w:rightChars="-50"/>
              <w:jc w:val="center"/>
              <w:rPr>
                <w:rFonts w:cs="宋体"/>
                <w:b/>
                <w:color w:val="000000" w:themeColor="text1"/>
                <w:highlight w:val="none"/>
                <w14:textFill>
                  <w14:solidFill>
                    <w14:schemeClr w14:val="tx1"/>
                  </w14:solidFill>
                </w14:textFill>
              </w:rPr>
            </w:pPr>
            <w:r>
              <w:rPr>
                <w:rFonts w:hint="eastAsia" w:cs="仿宋_GB2312"/>
                <w:b/>
                <w:color w:val="000000" w:themeColor="text1"/>
                <w:szCs w:val="24"/>
                <w:highlight w:val="none"/>
                <w14:textFill>
                  <w14:solidFill>
                    <w14:schemeClr w14:val="tx1"/>
                  </w14:solidFill>
                </w14:textFill>
              </w:rPr>
              <w:t>序号</w:t>
            </w:r>
          </w:p>
        </w:tc>
        <w:tc>
          <w:tcPr>
            <w:tcW w:w="201" w:type="pct"/>
            <w:shd w:val="clear" w:color="C3BD96" w:themeColor="background2" w:themeShade="BF" w:fill="auto"/>
            <w:vAlign w:val="center"/>
          </w:tcPr>
          <w:p w14:paraId="41F004A5">
            <w:pPr>
              <w:spacing w:line="360" w:lineRule="auto"/>
              <w:ind w:left="-48" w:leftChars="-23" w:right="-65" w:rightChars="-31"/>
              <w:jc w:val="center"/>
              <w:rPr>
                <w:rFonts w:cs="宋体"/>
                <w:b/>
                <w:color w:val="000000" w:themeColor="text1"/>
                <w:highlight w:val="none"/>
                <w14:textFill>
                  <w14:solidFill>
                    <w14:schemeClr w14:val="tx1"/>
                  </w14:solidFill>
                </w14:textFill>
              </w:rPr>
            </w:pPr>
            <w:r>
              <w:rPr>
                <w:rFonts w:hint="eastAsia" w:cs="宋体"/>
                <w:b/>
                <w:color w:val="000000" w:themeColor="text1"/>
                <w:highlight w:val="none"/>
                <w14:textFill>
                  <w14:solidFill>
                    <w14:schemeClr w14:val="tx1"/>
                  </w14:solidFill>
                </w14:textFill>
              </w:rPr>
              <w:t>名称</w:t>
            </w:r>
          </w:p>
        </w:tc>
        <w:tc>
          <w:tcPr>
            <w:tcW w:w="380" w:type="pct"/>
            <w:shd w:val="clear" w:color="C3BD96" w:themeColor="background2" w:themeShade="BF" w:fill="auto"/>
            <w:vAlign w:val="center"/>
          </w:tcPr>
          <w:p w14:paraId="56B5E2B5">
            <w:pPr>
              <w:spacing w:line="360" w:lineRule="auto"/>
              <w:ind w:left="-48" w:leftChars="-23" w:right="-65" w:rightChars="-31"/>
              <w:jc w:val="center"/>
              <w:rPr>
                <w:rFonts w:cs="宋体"/>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品牌规格型号</w:t>
            </w:r>
          </w:p>
        </w:tc>
        <w:tc>
          <w:tcPr>
            <w:tcW w:w="282" w:type="pct"/>
            <w:tcBorders>
              <w:left w:val="single" w:color="auto" w:sz="4" w:space="0"/>
            </w:tcBorders>
            <w:shd w:val="clear" w:color="C3BD96" w:themeColor="background2" w:themeShade="BF" w:fill="auto"/>
            <w:vAlign w:val="center"/>
          </w:tcPr>
          <w:p w14:paraId="68FAEDED">
            <w:pPr>
              <w:spacing w:line="360" w:lineRule="auto"/>
              <w:ind w:left="-48" w:leftChars="-23" w:right="-65" w:rightChars="-31"/>
              <w:jc w:val="center"/>
              <w:rPr>
                <w:rFonts w:cs="宋体"/>
                <w:b/>
                <w:color w:val="000000" w:themeColor="text1"/>
                <w:highlight w:val="none"/>
                <w14:textFill>
                  <w14:solidFill>
                    <w14:schemeClr w14:val="tx1"/>
                  </w14:solidFill>
                </w14:textFill>
              </w:rPr>
            </w:pPr>
            <w:r>
              <w:rPr>
                <w:rFonts w:hint="eastAsia" w:cs="宋体"/>
                <w:b/>
                <w:color w:val="000000" w:themeColor="text1"/>
                <w:highlight w:val="none"/>
                <w14:textFill>
                  <w14:solidFill>
                    <w14:schemeClr w14:val="tx1"/>
                  </w14:solidFill>
                </w14:textFill>
              </w:rPr>
              <w:t>单位</w:t>
            </w:r>
          </w:p>
        </w:tc>
        <w:tc>
          <w:tcPr>
            <w:tcW w:w="478" w:type="pct"/>
            <w:tcBorders>
              <w:right w:val="single" w:color="auto" w:sz="4" w:space="0"/>
            </w:tcBorders>
            <w:shd w:val="clear" w:color="C3BD96" w:themeColor="background2" w:themeShade="BF" w:fill="auto"/>
            <w:vAlign w:val="center"/>
          </w:tcPr>
          <w:p w14:paraId="4A7D5C6E">
            <w:pPr>
              <w:spacing w:line="360" w:lineRule="auto"/>
              <w:ind w:left="-48" w:leftChars="-23" w:right="-65" w:rightChars="-31"/>
              <w:jc w:val="center"/>
              <w:rPr>
                <w:rFonts w:cs="宋体"/>
                <w:b/>
                <w:color w:val="000000" w:themeColor="text1"/>
                <w:highlight w:val="none"/>
                <w14:textFill>
                  <w14:solidFill>
                    <w14:schemeClr w14:val="tx1"/>
                  </w14:solidFill>
                </w14:textFill>
              </w:rPr>
            </w:pPr>
            <w:r>
              <w:rPr>
                <w:rFonts w:hint="eastAsia" w:cs="宋体"/>
                <w:b/>
                <w:color w:val="000000" w:themeColor="text1"/>
                <w:highlight w:val="none"/>
                <w:lang w:val="en-US" w:eastAsia="zh-CN"/>
                <w14:textFill>
                  <w14:solidFill>
                    <w14:schemeClr w14:val="tx1"/>
                  </w14:solidFill>
                </w14:textFill>
              </w:rPr>
              <w:t>报价</w:t>
            </w:r>
            <w:r>
              <w:rPr>
                <w:rFonts w:hint="eastAsia" w:cs="宋体"/>
                <w:b/>
                <w:color w:val="000000" w:themeColor="text1"/>
                <w:highlight w:val="none"/>
                <w14:textFill>
                  <w14:solidFill>
                    <w14:schemeClr w14:val="tx1"/>
                  </w14:solidFill>
                </w14:textFill>
              </w:rPr>
              <w:t>单价（</w:t>
            </w:r>
            <w:r>
              <w:rPr>
                <w:rFonts w:cs="宋体"/>
                <w:b/>
                <w:color w:val="000000" w:themeColor="text1"/>
                <w:highlight w:val="none"/>
                <w14:textFill>
                  <w14:solidFill>
                    <w14:schemeClr w14:val="tx1"/>
                  </w14:solidFill>
                </w14:textFill>
              </w:rPr>
              <w:t>元）</w:t>
            </w:r>
          </w:p>
        </w:tc>
        <w:tc>
          <w:tcPr>
            <w:tcW w:w="692" w:type="pct"/>
            <w:shd w:val="clear" w:color="C3BD96" w:themeColor="background2" w:themeShade="BF" w:fill="auto"/>
            <w:vAlign w:val="center"/>
          </w:tcPr>
          <w:p w14:paraId="4810EFDE">
            <w:pPr>
              <w:spacing w:line="360" w:lineRule="auto"/>
              <w:ind w:left="-48" w:leftChars="-23" w:right="-65" w:rightChars="-31"/>
              <w:jc w:val="center"/>
              <w:rPr>
                <w:rFonts w:hint="default" w:eastAsia="宋体" w:cs="宋体"/>
                <w:b/>
                <w:color w:val="000000" w:themeColor="text1"/>
                <w:highlight w:val="none"/>
                <w:lang w:val="en-US" w:eastAsia="zh-CN"/>
                <w14:textFill>
                  <w14:solidFill>
                    <w14:schemeClr w14:val="tx1"/>
                  </w14:solidFill>
                </w14:textFill>
              </w:rPr>
            </w:pPr>
            <w:r>
              <w:rPr>
                <w:rFonts w:hint="eastAsia" w:cs="宋体"/>
                <w:b/>
                <w:color w:val="000000" w:themeColor="text1"/>
                <w:highlight w:val="none"/>
                <w:lang w:val="en-US" w:eastAsia="zh-CN"/>
                <w14:textFill>
                  <w14:solidFill>
                    <w14:schemeClr w14:val="tx1"/>
                  </w14:solidFill>
                </w14:textFill>
              </w:rPr>
              <w:t>成本项目</w:t>
            </w:r>
          </w:p>
          <w:p w14:paraId="5AD3EE4D">
            <w:pPr>
              <w:spacing w:line="360" w:lineRule="auto"/>
              <w:ind w:right="-65" w:rightChars="-31"/>
              <w:jc w:val="both"/>
              <w:rPr>
                <w:rFonts w:hint="default" w:cs="宋体"/>
                <w:b/>
                <w:color w:val="000000" w:themeColor="text1"/>
                <w:highlight w:val="none"/>
                <w:lang w:val="en-US" w:eastAsia="zh-CN"/>
                <w14:textFill>
                  <w14:solidFill>
                    <w14:schemeClr w14:val="tx1"/>
                  </w14:solidFill>
                </w14:textFill>
              </w:rPr>
            </w:pPr>
          </w:p>
        </w:tc>
        <w:tc>
          <w:tcPr>
            <w:tcW w:w="560" w:type="pct"/>
            <w:shd w:val="clear" w:color="C3BD96" w:themeColor="background2" w:themeShade="BF" w:fill="auto"/>
            <w:vAlign w:val="center"/>
          </w:tcPr>
          <w:p w14:paraId="09333A32">
            <w:pPr>
              <w:spacing w:line="360" w:lineRule="auto"/>
              <w:ind w:left="-48" w:leftChars="-23" w:right="-65" w:rightChars="-31"/>
              <w:jc w:val="center"/>
              <w:rPr>
                <w:rFonts w:hint="eastAsia" w:cs="宋体"/>
                <w:b/>
                <w:color w:val="000000" w:themeColor="text1"/>
                <w:highlight w:val="none"/>
                <w:lang w:val="en-US" w:eastAsia="zh-CN"/>
                <w14:textFill>
                  <w14:solidFill>
                    <w14:schemeClr w14:val="tx1"/>
                  </w14:solidFill>
                </w14:textFill>
              </w:rPr>
            </w:pPr>
            <w:r>
              <w:rPr>
                <w:rFonts w:hint="eastAsia" w:cs="宋体"/>
                <w:b/>
                <w:color w:val="000000" w:themeColor="text1"/>
                <w:highlight w:val="none"/>
                <w:lang w:val="en-US" w:eastAsia="zh-CN"/>
                <w14:textFill>
                  <w14:solidFill>
                    <w14:schemeClr w14:val="tx1"/>
                  </w14:solidFill>
                </w14:textFill>
              </w:rPr>
              <w:t>具体明细</w:t>
            </w:r>
          </w:p>
          <w:p w14:paraId="7EF200FF">
            <w:pPr>
              <w:spacing w:line="360" w:lineRule="auto"/>
              <w:ind w:left="-48" w:leftChars="-23" w:right="-65" w:rightChars="-31"/>
              <w:jc w:val="center"/>
              <w:rPr>
                <w:rFonts w:hint="eastAsia" w:cs="宋体"/>
                <w:b/>
                <w:color w:val="000000" w:themeColor="text1"/>
                <w:highlight w:val="none"/>
                <w:lang w:val="en-US" w:eastAsia="zh-CN"/>
                <w14:textFill>
                  <w14:solidFill>
                    <w14:schemeClr w14:val="tx1"/>
                  </w14:solidFill>
                </w14:textFill>
              </w:rPr>
            </w:pPr>
          </w:p>
        </w:tc>
        <w:tc>
          <w:tcPr>
            <w:tcW w:w="511" w:type="pct"/>
            <w:shd w:val="clear" w:color="C3BD96" w:themeColor="background2" w:themeShade="BF" w:fill="auto"/>
            <w:vAlign w:val="center"/>
          </w:tcPr>
          <w:p w14:paraId="68567C70">
            <w:pPr>
              <w:spacing w:line="360" w:lineRule="auto"/>
              <w:ind w:left="-48" w:leftChars="-23" w:right="-65" w:rightChars="-31"/>
              <w:jc w:val="center"/>
              <w:rPr>
                <w:rFonts w:hint="eastAsia" w:cs="宋体"/>
                <w:b/>
                <w:color w:val="000000" w:themeColor="text1"/>
                <w:highlight w:val="none"/>
                <w:lang w:val="en-US" w:eastAsia="zh-CN"/>
                <w14:textFill>
                  <w14:solidFill>
                    <w14:schemeClr w14:val="tx1"/>
                  </w14:solidFill>
                </w14:textFill>
              </w:rPr>
            </w:pPr>
            <w:r>
              <w:rPr>
                <w:rFonts w:hint="eastAsia" w:cs="宋体"/>
                <w:b/>
                <w:color w:val="000000" w:themeColor="text1"/>
                <w:highlight w:val="none"/>
                <w:lang w:val="en-US" w:eastAsia="zh-CN"/>
                <w14:textFill>
                  <w14:solidFill>
                    <w14:schemeClr w14:val="tx1"/>
                  </w14:solidFill>
                </w14:textFill>
              </w:rPr>
              <w:t>单位产品用量</w:t>
            </w:r>
          </w:p>
          <w:p w14:paraId="27DC558F">
            <w:pPr>
              <w:spacing w:line="360" w:lineRule="auto"/>
              <w:ind w:left="-48" w:leftChars="-23" w:right="-65" w:rightChars="-31"/>
              <w:jc w:val="center"/>
              <w:rPr>
                <w:rFonts w:hint="eastAsia" w:cs="宋体"/>
                <w:b/>
                <w:color w:val="000000" w:themeColor="text1"/>
                <w:highlight w:val="none"/>
                <w:lang w:val="en-US" w:eastAsia="zh-CN"/>
                <w14:textFill>
                  <w14:solidFill>
                    <w14:schemeClr w14:val="tx1"/>
                  </w14:solidFill>
                </w14:textFill>
              </w:rPr>
            </w:pPr>
          </w:p>
        </w:tc>
        <w:tc>
          <w:tcPr>
            <w:tcW w:w="606" w:type="pct"/>
            <w:shd w:val="clear" w:color="C3BD96" w:themeColor="background2" w:themeShade="BF" w:fill="auto"/>
            <w:vAlign w:val="center"/>
          </w:tcPr>
          <w:p w14:paraId="5FE0F8B4">
            <w:pPr>
              <w:spacing w:line="360" w:lineRule="auto"/>
              <w:ind w:left="-48" w:leftChars="-23" w:right="-65" w:rightChars="-31"/>
              <w:jc w:val="center"/>
              <w:rPr>
                <w:rFonts w:hint="eastAsia" w:cs="宋体"/>
                <w:b/>
                <w:color w:val="000000" w:themeColor="text1"/>
                <w:highlight w:val="none"/>
                <w:lang w:val="en-US" w:eastAsia="zh-CN"/>
                <w14:textFill>
                  <w14:solidFill>
                    <w14:schemeClr w14:val="tx1"/>
                  </w14:solidFill>
                </w14:textFill>
              </w:rPr>
            </w:pPr>
            <w:r>
              <w:rPr>
                <w:rFonts w:hint="eastAsia" w:cs="宋体"/>
                <w:b/>
                <w:color w:val="000000" w:themeColor="text1"/>
                <w:highlight w:val="none"/>
                <w:lang w:val="en-US" w:eastAsia="zh-CN"/>
                <w14:textFill>
                  <w14:solidFill>
                    <w14:schemeClr w14:val="tx1"/>
                  </w14:solidFill>
                </w14:textFill>
              </w:rPr>
              <w:t>单位成本（元）</w:t>
            </w:r>
          </w:p>
        </w:tc>
        <w:tc>
          <w:tcPr>
            <w:tcW w:w="449" w:type="pct"/>
            <w:tcBorders>
              <w:left w:val="single" w:color="auto" w:sz="4" w:space="0"/>
            </w:tcBorders>
            <w:shd w:val="clear" w:color="C3BD96" w:themeColor="background2" w:themeShade="BF" w:fill="auto"/>
            <w:vAlign w:val="center"/>
          </w:tcPr>
          <w:p w14:paraId="2A09A13B">
            <w:pPr>
              <w:spacing w:line="360" w:lineRule="auto"/>
              <w:ind w:left="-48" w:leftChars="-23" w:right="-65" w:rightChars="-31"/>
              <w:jc w:val="center"/>
              <w:rPr>
                <w:rFonts w:cs="宋体"/>
                <w:b/>
                <w:color w:val="000000" w:themeColor="text1"/>
                <w:highlight w:val="none"/>
                <w14:textFill>
                  <w14:solidFill>
                    <w14:schemeClr w14:val="tx1"/>
                  </w14:solidFill>
                </w14:textFill>
              </w:rPr>
            </w:pPr>
            <w:r>
              <w:rPr>
                <w:rFonts w:hint="eastAsia" w:cs="宋体"/>
                <w:b/>
                <w:color w:val="000000" w:themeColor="text1"/>
                <w:highlight w:val="none"/>
                <w14:textFill>
                  <w14:solidFill>
                    <w14:schemeClr w14:val="tx1"/>
                  </w14:solidFill>
                </w14:textFill>
              </w:rPr>
              <w:t>成本</w:t>
            </w:r>
            <w:r>
              <w:rPr>
                <w:rFonts w:cs="宋体"/>
                <w:b/>
                <w:color w:val="000000" w:themeColor="text1"/>
                <w:highlight w:val="none"/>
                <w14:textFill>
                  <w14:solidFill>
                    <w14:schemeClr w14:val="tx1"/>
                  </w14:solidFill>
                </w14:textFill>
              </w:rPr>
              <w:t>合计（元）</w:t>
            </w:r>
          </w:p>
        </w:tc>
        <w:tc>
          <w:tcPr>
            <w:tcW w:w="587" w:type="pct"/>
            <w:tcBorders>
              <w:left w:val="single" w:color="auto" w:sz="4" w:space="0"/>
            </w:tcBorders>
            <w:shd w:val="clear" w:color="C3BD96" w:themeColor="background2" w:themeShade="BF" w:fill="auto"/>
            <w:vAlign w:val="center"/>
          </w:tcPr>
          <w:p w14:paraId="4F7624BA">
            <w:pPr>
              <w:spacing w:line="360" w:lineRule="auto"/>
              <w:ind w:left="-48" w:leftChars="-23" w:right="-65" w:rightChars="-31"/>
              <w:jc w:val="center"/>
              <w:rPr>
                <w:rFonts w:hint="eastAsia" w:cs="宋体"/>
                <w:b/>
                <w:color w:val="000000" w:themeColor="text1"/>
                <w:highlight w:val="none"/>
                <w14:textFill>
                  <w14:solidFill>
                    <w14:schemeClr w14:val="tx1"/>
                  </w14:solidFill>
                </w14:textFill>
              </w:rPr>
            </w:pPr>
            <w:r>
              <w:rPr>
                <w:rFonts w:hint="eastAsia" w:cs="宋体"/>
                <w:b/>
                <w:color w:val="000000" w:themeColor="text1"/>
                <w:highlight w:val="none"/>
                <w:lang w:val="en-US" w:eastAsia="zh-CN"/>
                <w14:textFill>
                  <w14:solidFill>
                    <w14:schemeClr w14:val="tx1"/>
                  </w14:solidFill>
                </w14:textFill>
              </w:rPr>
              <w:t>备注（测算依据/证明材料）</w:t>
            </w:r>
          </w:p>
        </w:tc>
      </w:tr>
      <w:tr w14:paraId="137325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restart"/>
            <w:shd w:val="clear" w:color="auto" w:fill="auto"/>
            <w:vAlign w:val="center"/>
          </w:tcPr>
          <w:p w14:paraId="31899164">
            <w:pPr>
              <w:numPr>
                <w:ilvl w:val="0"/>
                <w:numId w:val="1"/>
              </w:numPr>
              <w:tabs>
                <w:tab w:val="left" w:pos="61"/>
              </w:tabs>
              <w:jc w:val="center"/>
              <w:rPr>
                <w:color w:val="000000" w:themeColor="text1"/>
                <w:highlight w:val="none"/>
                <w14:textFill>
                  <w14:solidFill>
                    <w14:schemeClr w14:val="tx1"/>
                  </w14:solidFill>
                </w14:textFill>
              </w:rPr>
            </w:pPr>
          </w:p>
        </w:tc>
        <w:tc>
          <w:tcPr>
            <w:tcW w:w="201" w:type="pct"/>
            <w:vMerge w:val="restart"/>
            <w:shd w:val="clear" w:color="auto" w:fill="auto"/>
            <w:vAlign w:val="center"/>
          </w:tcPr>
          <w:p w14:paraId="65B757C2">
            <w:pPr>
              <w:tabs>
                <w:tab w:val="left" w:pos="0"/>
                <w:tab w:val="left" w:pos="56"/>
              </w:tabs>
              <w:ind w:left="547" w:hanging="478" w:hangingChars="228"/>
              <w:jc w:val="center"/>
              <w:rPr>
                <w:color w:val="000000" w:themeColor="text1"/>
                <w:highlight w:val="none"/>
                <w14:textFill>
                  <w14:solidFill>
                    <w14:schemeClr w14:val="tx1"/>
                  </w14:solidFill>
                </w14:textFill>
              </w:rPr>
            </w:pPr>
          </w:p>
        </w:tc>
        <w:tc>
          <w:tcPr>
            <w:tcW w:w="380" w:type="pct"/>
            <w:vMerge w:val="restart"/>
            <w:shd w:val="clear" w:color="auto" w:fill="auto"/>
            <w:vAlign w:val="center"/>
          </w:tcPr>
          <w:p w14:paraId="58C050D9">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282" w:type="pct"/>
            <w:vMerge w:val="restart"/>
            <w:tcBorders>
              <w:left w:val="single" w:color="auto" w:sz="4" w:space="0"/>
            </w:tcBorders>
            <w:shd w:val="clear" w:color="auto" w:fill="auto"/>
            <w:vAlign w:val="center"/>
          </w:tcPr>
          <w:p w14:paraId="3B157FD4">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78" w:type="pct"/>
            <w:vMerge w:val="restart"/>
            <w:tcBorders>
              <w:left w:val="single" w:color="auto" w:sz="4" w:space="0"/>
              <w:right w:val="single" w:color="auto" w:sz="4" w:space="0"/>
            </w:tcBorders>
            <w:shd w:val="clear" w:color="auto" w:fill="auto"/>
            <w:vAlign w:val="center"/>
          </w:tcPr>
          <w:p w14:paraId="67F6C6EE">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692" w:type="pct"/>
            <w:vMerge w:val="restart"/>
            <w:tcBorders>
              <w:left w:val="single" w:color="auto" w:sz="4" w:space="0"/>
              <w:right w:val="single" w:color="auto" w:sz="4" w:space="0"/>
            </w:tcBorders>
            <w:vAlign w:val="center"/>
          </w:tcPr>
          <w:p w14:paraId="4F6F6858">
            <w:pPr>
              <w:spacing w:line="240" w:lineRule="atLeast"/>
              <w:ind w:left="-48" w:leftChars="-23" w:right="-65" w:rightChars="-31"/>
              <w:jc w:val="left"/>
              <w:rPr>
                <w:rFonts w:cs="宋体"/>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原材料成本</w:t>
            </w:r>
          </w:p>
        </w:tc>
        <w:tc>
          <w:tcPr>
            <w:tcW w:w="560" w:type="pct"/>
            <w:tcBorders>
              <w:left w:val="single" w:color="auto" w:sz="4" w:space="0"/>
            </w:tcBorders>
            <w:shd w:val="clear" w:color="auto" w:fill="auto"/>
            <w:vAlign w:val="center"/>
          </w:tcPr>
          <w:p w14:paraId="33003AD0">
            <w:pPr>
              <w:spacing w:line="240" w:lineRule="atLeast"/>
              <w:ind w:left="-48" w:leftChars="-23" w:right="-65" w:rightChars="-31"/>
              <w:jc w:val="left"/>
              <w:rPr>
                <w:rFonts w:cs="宋体"/>
                <w:color w:val="000000" w:themeColor="text1"/>
                <w:szCs w:val="24"/>
                <w:highlight w:val="none"/>
                <w14:textFill>
                  <w14:solidFill>
                    <w14:schemeClr w14:val="tx1"/>
                  </w14:solidFill>
                </w14:textFill>
              </w:rPr>
            </w:pPr>
            <w:r>
              <w:rPr>
                <w:rFonts w:cs="宋体"/>
                <w:color w:val="000000" w:themeColor="text1"/>
                <w:szCs w:val="24"/>
                <w:highlight w:val="none"/>
                <w:lang w:val="en-US" w:eastAsia="zh-CN"/>
                <w14:textFill>
                  <w14:solidFill>
                    <w14:schemeClr w14:val="tx1"/>
                  </w14:solidFill>
                </w14:textFill>
              </w:rPr>
              <w:t>原材料1</w:t>
            </w:r>
          </w:p>
        </w:tc>
        <w:tc>
          <w:tcPr>
            <w:tcW w:w="511" w:type="pct"/>
            <w:tcBorders>
              <w:left w:val="single" w:color="auto" w:sz="4" w:space="0"/>
            </w:tcBorders>
            <w:shd w:val="clear" w:color="auto" w:fill="auto"/>
            <w:vAlign w:val="center"/>
          </w:tcPr>
          <w:p w14:paraId="2A7EE56F">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606" w:type="pct"/>
            <w:tcBorders>
              <w:left w:val="single" w:color="auto" w:sz="4" w:space="0"/>
            </w:tcBorders>
            <w:shd w:val="clear" w:color="auto" w:fill="auto"/>
            <w:vAlign w:val="center"/>
          </w:tcPr>
          <w:p w14:paraId="00318077">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49" w:type="pct"/>
            <w:vMerge w:val="restart"/>
            <w:tcBorders>
              <w:left w:val="single" w:color="auto" w:sz="4" w:space="0"/>
            </w:tcBorders>
            <w:shd w:val="clear" w:color="auto" w:fill="auto"/>
            <w:vAlign w:val="center"/>
          </w:tcPr>
          <w:p w14:paraId="17873F2F">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587" w:type="pct"/>
            <w:tcBorders>
              <w:left w:val="single" w:color="auto" w:sz="4" w:space="0"/>
            </w:tcBorders>
            <w:shd w:val="clear" w:color="auto" w:fill="auto"/>
            <w:vAlign w:val="center"/>
          </w:tcPr>
          <w:p w14:paraId="71C7FD89">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r>
      <w:tr w14:paraId="700507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7DA847D1">
            <w:pPr>
              <w:numPr>
                <w:ilvl w:val="0"/>
                <w:numId w:val="1"/>
              </w:numPr>
              <w:tabs>
                <w:tab w:val="left" w:pos="61"/>
              </w:tabs>
              <w:jc w:val="center"/>
              <w:rPr>
                <w:color w:val="000000" w:themeColor="text1"/>
                <w:highlight w:val="none"/>
                <w14:textFill>
                  <w14:solidFill>
                    <w14:schemeClr w14:val="tx1"/>
                  </w14:solidFill>
                </w14:textFill>
              </w:rPr>
            </w:pPr>
          </w:p>
        </w:tc>
        <w:tc>
          <w:tcPr>
            <w:tcW w:w="201" w:type="pct"/>
            <w:vMerge w:val="continue"/>
            <w:shd w:val="clear" w:color="auto" w:fill="auto"/>
            <w:vAlign w:val="center"/>
          </w:tcPr>
          <w:p w14:paraId="462E3DFC">
            <w:pPr>
              <w:tabs>
                <w:tab w:val="left" w:pos="0"/>
                <w:tab w:val="left" w:pos="56"/>
              </w:tabs>
              <w:ind w:left="547" w:hanging="478" w:hangingChars="228"/>
              <w:jc w:val="center"/>
              <w:rPr>
                <w:color w:val="000000" w:themeColor="text1"/>
                <w:highlight w:val="none"/>
                <w14:textFill>
                  <w14:solidFill>
                    <w14:schemeClr w14:val="tx1"/>
                  </w14:solidFill>
                </w14:textFill>
              </w:rPr>
            </w:pPr>
          </w:p>
        </w:tc>
        <w:tc>
          <w:tcPr>
            <w:tcW w:w="380" w:type="pct"/>
            <w:vMerge w:val="continue"/>
            <w:shd w:val="clear" w:color="auto" w:fill="auto"/>
            <w:vAlign w:val="center"/>
          </w:tcPr>
          <w:p w14:paraId="2E160B9A">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282" w:type="pct"/>
            <w:vMerge w:val="continue"/>
            <w:tcBorders>
              <w:left w:val="single" w:color="auto" w:sz="4" w:space="0"/>
            </w:tcBorders>
            <w:shd w:val="clear" w:color="auto" w:fill="auto"/>
            <w:vAlign w:val="center"/>
          </w:tcPr>
          <w:p w14:paraId="38DF83C2">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78" w:type="pct"/>
            <w:vMerge w:val="continue"/>
            <w:tcBorders>
              <w:left w:val="single" w:color="auto" w:sz="4" w:space="0"/>
              <w:right w:val="single" w:color="auto" w:sz="4" w:space="0"/>
            </w:tcBorders>
            <w:shd w:val="clear" w:color="auto" w:fill="auto"/>
            <w:vAlign w:val="center"/>
          </w:tcPr>
          <w:p w14:paraId="731170B0">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692" w:type="pct"/>
            <w:vMerge w:val="continue"/>
            <w:tcBorders>
              <w:left w:val="single" w:color="auto" w:sz="4" w:space="0"/>
              <w:right w:val="single" w:color="auto" w:sz="4" w:space="0"/>
            </w:tcBorders>
            <w:vAlign w:val="center"/>
          </w:tcPr>
          <w:p w14:paraId="1F910922">
            <w:pPr>
              <w:spacing w:line="240" w:lineRule="atLeast"/>
              <w:ind w:left="-48" w:leftChars="-23" w:right="-65" w:rightChars="-31"/>
              <w:jc w:val="left"/>
              <w:rPr>
                <w:rFonts w:hint="eastAsia" w:cs="宋体"/>
                <w:color w:val="000000" w:themeColor="text1"/>
                <w:szCs w:val="24"/>
                <w:highlight w:val="none"/>
                <w14:textFill>
                  <w14:solidFill>
                    <w14:schemeClr w14:val="tx1"/>
                  </w14:solidFill>
                </w14:textFill>
              </w:rPr>
            </w:pPr>
          </w:p>
        </w:tc>
        <w:tc>
          <w:tcPr>
            <w:tcW w:w="560" w:type="pct"/>
            <w:tcBorders>
              <w:left w:val="single" w:color="auto" w:sz="4" w:space="0"/>
            </w:tcBorders>
            <w:shd w:val="clear" w:color="auto" w:fill="auto"/>
            <w:vAlign w:val="center"/>
          </w:tcPr>
          <w:p w14:paraId="26F1672B">
            <w:pPr>
              <w:spacing w:line="240" w:lineRule="atLeast"/>
              <w:ind w:left="-48" w:leftChars="-23" w:right="-65" w:rightChars="-31"/>
              <w:jc w:val="left"/>
              <w:rPr>
                <w:rFonts w:hint="default" w:eastAsia="宋体" w:cs="宋体"/>
                <w:color w:val="000000" w:themeColor="text1"/>
                <w:szCs w:val="24"/>
                <w:highlight w:val="none"/>
                <w:lang w:val="en-US" w:eastAsia="zh-CN"/>
                <w14:textFill>
                  <w14:solidFill>
                    <w14:schemeClr w14:val="tx1"/>
                  </w14:solidFill>
                </w14:textFill>
              </w:rPr>
            </w:pPr>
            <w:r>
              <w:rPr>
                <w:rFonts w:hint="eastAsia" w:cs="宋体"/>
                <w:color w:val="000000" w:themeColor="text1"/>
                <w:szCs w:val="24"/>
                <w:highlight w:val="none"/>
                <w:lang w:val="en-US" w:eastAsia="zh-CN"/>
                <w14:textFill>
                  <w14:solidFill>
                    <w14:schemeClr w14:val="tx1"/>
                  </w14:solidFill>
                </w14:textFill>
              </w:rPr>
              <w:t>...</w:t>
            </w:r>
          </w:p>
        </w:tc>
        <w:tc>
          <w:tcPr>
            <w:tcW w:w="511" w:type="pct"/>
            <w:tcBorders>
              <w:left w:val="single" w:color="auto" w:sz="4" w:space="0"/>
            </w:tcBorders>
            <w:shd w:val="clear" w:color="auto" w:fill="auto"/>
            <w:vAlign w:val="center"/>
          </w:tcPr>
          <w:p w14:paraId="539CD006">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606" w:type="pct"/>
            <w:tcBorders>
              <w:left w:val="single" w:color="auto" w:sz="4" w:space="0"/>
            </w:tcBorders>
            <w:shd w:val="clear" w:color="auto" w:fill="auto"/>
            <w:vAlign w:val="center"/>
          </w:tcPr>
          <w:p w14:paraId="0960E9F9">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49" w:type="pct"/>
            <w:vMerge w:val="continue"/>
            <w:tcBorders>
              <w:left w:val="single" w:color="auto" w:sz="4" w:space="0"/>
            </w:tcBorders>
            <w:shd w:val="clear" w:color="auto" w:fill="auto"/>
            <w:vAlign w:val="center"/>
          </w:tcPr>
          <w:p w14:paraId="4AF14547">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587" w:type="pct"/>
            <w:tcBorders>
              <w:left w:val="single" w:color="auto" w:sz="4" w:space="0"/>
            </w:tcBorders>
            <w:shd w:val="clear" w:color="auto" w:fill="auto"/>
            <w:vAlign w:val="center"/>
          </w:tcPr>
          <w:p w14:paraId="580CE386">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r>
      <w:tr w14:paraId="78B1BE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047A0B9B">
            <w:pPr>
              <w:tabs>
                <w:tab w:val="left" w:pos="61"/>
              </w:tabs>
              <w:jc w:val="center"/>
              <w:rPr>
                <w:color w:val="000000" w:themeColor="text1"/>
                <w:highlight w:val="none"/>
                <w14:textFill>
                  <w14:solidFill>
                    <w14:schemeClr w14:val="tx1"/>
                  </w14:solidFill>
                </w14:textFill>
              </w:rPr>
            </w:pPr>
          </w:p>
        </w:tc>
        <w:tc>
          <w:tcPr>
            <w:tcW w:w="201" w:type="pct"/>
            <w:vMerge w:val="continue"/>
            <w:shd w:val="clear" w:color="auto" w:fill="auto"/>
            <w:vAlign w:val="center"/>
          </w:tcPr>
          <w:p w14:paraId="5EEB1F4F">
            <w:pPr>
              <w:tabs>
                <w:tab w:val="left" w:pos="0"/>
                <w:tab w:val="left" w:pos="56"/>
              </w:tabs>
              <w:ind w:left="547" w:hanging="478" w:hangingChars="228"/>
              <w:jc w:val="center"/>
              <w:rPr>
                <w:color w:val="000000" w:themeColor="text1"/>
                <w:highlight w:val="none"/>
                <w14:textFill>
                  <w14:solidFill>
                    <w14:schemeClr w14:val="tx1"/>
                  </w14:solidFill>
                </w14:textFill>
              </w:rPr>
            </w:pPr>
          </w:p>
        </w:tc>
        <w:tc>
          <w:tcPr>
            <w:tcW w:w="380" w:type="pct"/>
            <w:vMerge w:val="continue"/>
            <w:shd w:val="clear" w:color="auto" w:fill="auto"/>
            <w:vAlign w:val="center"/>
          </w:tcPr>
          <w:p w14:paraId="185BAC6B">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282" w:type="pct"/>
            <w:vMerge w:val="continue"/>
            <w:tcBorders>
              <w:left w:val="single" w:color="auto" w:sz="4" w:space="0"/>
            </w:tcBorders>
            <w:shd w:val="clear" w:color="auto" w:fill="auto"/>
            <w:vAlign w:val="center"/>
          </w:tcPr>
          <w:p w14:paraId="5F37CA61">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78" w:type="pct"/>
            <w:vMerge w:val="continue"/>
            <w:tcBorders>
              <w:left w:val="single" w:color="auto" w:sz="4" w:space="0"/>
              <w:right w:val="single" w:color="auto" w:sz="4" w:space="0"/>
            </w:tcBorders>
            <w:shd w:val="clear" w:color="auto" w:fill="auto"/>
            <w:vAlign w:val="center"/>
          </w:tcPr>
          <w:p w14:paraId="28855F02">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692" w:type="pct"/>
            <w:vMerge w:val="restart"/>
            <w:tcBorders>
              <w:left w:val="single" w:color="auto" w:sz="4" w:space="0"/>
              <w:right w:val="single" w:color="auto" w:sz="4" w:space="0"/>
            </w:tcBorders>
            <w:vAlign w:val="center"/>
          </w:tcPr>
          <w:p w14:paraId="4FD27713">
            <w:pPr>
              <w:spacing w:line="240" w:lineRule="atLeast"/>
              <w:ind w:left="-48" w:leftChars="-23" w:right="-65" w:rightChars="-31"/>
              <w:jc w:val="left"/>
              <w:rPr>
                <w:rFonts w:cs="宋体"/>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人工成本</w:t>
            </w:r>
          </w:p>
        </w:tc>
        <w:tc>
          <w:tcPr>
            <w:tcW w:w="560" w:type="pct"/>
            <w:tcBorders>
              <w:left w:val="single" w:color="auto" w:sz="4" w:space="0"/>
            </w:tcBorders>
            <w:shd w:val="clear" w:color="auto" w:fill="auto"/>
            <w:vAlign w:val="center"/>
          </w:tcPr>
          <w:p w14:paraId="3880182C">
            <w:pPr>
              <w:spacing w:line="240" w:lineRule="atLeast"/>
              <w:ind w:left="-48" w:leftChars="-23" w:right="-65" w:rightChars="-31"/>
              <w:jc w:val="left"/>
              <w:rPr>
                <w:rFonts w:cs="宋体"/>
                <w:color w:val="000000" w:themeColor="text1"/>
                <w:szCs w:val="24"/>
                <w:highlight w:val="none"/>
                <w14:textFill>
                  <w14:solidFill>
                    <w14:schemeClr w14:val="tx1"/>
                  </w14:solidFill>
                </w14:textFill>
              </w:rPr>
            </w:pPr>
            <w:r>
              <w:rPr>
                <w:rFonts w:cs="宋体"/>
                <w:color w:val="000000" w:themeColor="text1"/>
                <w:szCs w:val="24"/>
                <w:highlight w:val="none"/>
                <w:lang w:val="en-US" w:eastAsia="zh-CN"/>
                <w14:textFill>
                  <w14:solidFill>
                    <w14:schemeClr w14:val="tx1"/>
                  </w14:solidFill>
                </w14:textFill>
              </w:rPr>
              <w:t>生产工人工资</w:t>
            </w:r>
          </w:p>
        </w:tc>
        <w:tc>
          <w:tcPr>
            <w:tcW w:w="511" w:type="pct"/>
            <w:tcBorders>
              <w:left w:val="single" w:color="auto" w:sz="4" w:space="0"/>
            </w:tcBorders>
            <w:shd w:val="clear" w:color="auto" w:fill="auto"/>
            <w:vAlign w:val="center"/>
          </w:tcPr>
          <w:p w14:paraId="3FC90750">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606" w:type="pct"/>
            <w:tcBorders>
              <w:left w:val="single" w:color="auto" w:sz="4" w:space="0"/>
            </w:tcBorders>
            <w:shd w:val="clear" w:color="auto" w:fill="auto"/>
            <w:vAlign w:val="center"/>
          </w:tcPr>
          <w:p w14:paraId="6A222EF7">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49" w:type="pct"/>
            <w:vMerge w:val="continue"/>
            <w:tcBorders>
              <w:left w:val="single" w:color="auto" w:sz="4" w:space="0"/>
            </w:tcBorders>
            <w:shd w:val="clear" w:color="auto" w:fill="auto"/>
            <w:vAlign w:val="center"/>
          </w:tcPr>
          <w:p w14:paraId="2CB39DE6">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587" w:type="pct"/>
            <w:tcBorders>
              <w:left w:val="single" w:color="auto" w:sz="4" w:space="0"/>
            </w:tcBorders>
            <w:shd w:val="clear" w:color="auto" w:fill="auto"/>
            <w:vAlign w:val="center"/>
          </w:tcPr>
          <w:p w14:paraId="55657EF1">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r>
      <w:tr w14:paraId="3DA39A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6C5D4CED">
            <w:pPr>
              <w:tabs>
                <w:tab w:val="left" w:pos="61"/>
              </w:tabs>
              <w:jc w:val="center"/>
              <w:rPr>
                <w:color w:val="000000" w:themeColor="text1"/>
                <w:highlight w:val="none"/>
                <w14:textFill>
                  <w14:solidFill>
                    <w14:schemeClr w14:val="tx1"/>
                  </w14:solidFill>
                </w14:textFill>
              </w:rPr>
            </w:pPr>
          </w:p>
        </w:tc>
        <w:tc>
          <w:tcPr>
            <w:tcW w:w="201" w:type="pct"/>
            <w:vMerge w:val="continue"/>
            <w:shd w:val="clear" w:color="auto" w:fill="auto"/>
            <w:vAlign w:val="center"/>
          </w:tcPr>
          <w:p w14:paraId="25F98AE1">
            <w:pPr>
              <w:tabs>
                <w:tab w:val="left" w:pos="0"/>
                <w:tab w:val="left" w:pos="56"/>
              </w:tabs>
              <w:ind w:left="547" w:hanging="478" w:hangingChars="228"/>
              <w:jc w:val="center"/>
              <w:rPr>
                <w:color w:val="000000" w:themeColor="text1"/>
                <w:highlight w:val="none"/>
                <w14:textFill>
                  <w14:solidFill>
                    <w14:schemeClr w14:val="tx1"/>
                  </w14:solidFill>
                </w14:textFill>
              </w:rPr>
            </w:pPr>
          </w:p>
        </w:tc>
        <w:tc>
          <w:tcPr>
            <w:tcW w:w="380" w:type="pct"/>
            <w:vMerge w:val="continue"/>
            <w:shd w:val="clear" w:color="auto" w:fill="auto"/>
            <w:vAlign w:val="center"/>
          </w:tcPr>
          <w:p w14:paraId="71F08945">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282" w:type="pct"/>
            <w:vMerge w:val="continue"/>
            <w:tcBorders>
              <w:left w:val="single" w:color="auto" w:sz="4" w:space="0"/>
            </w:tcBorders>
            <w:shd w:val="clear" w:color="auto" w:fill="auto"/>
            <w:vAlign w:val="center"/>
          </w:tcPr>
          <w:p w14:paraId="6A7BEF54">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78" w:type="pct"/>
            <w:vMerge w:val="continue"/>
            <w:tcBorders>
              <w:left w:val="single" w:color="auto" w:sz="4" w:space="0"/>
              <w:right w:val="single" w:color="auto" w:sz="4" w:space="0"/>
            </w:tcBorders>
            <w:shd w:val="clear" w:color="auto" w:fill="auto"/>
            <w:vAlign w:val="center"/>
          </w:tcPr>
          <w:p w14:paraId="6DE32178">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692" w:type="pct"/>
            <w:vMerge w:val="continue"/>
            <w:tcBorders>
              <w:left w:val="single" w:color="auto" w:sz="4" w:space="0"/>
              <w:right w:val="single" w:color="auto" w:sz="4" w:space="0"/>
            </w:tcBorders>
            <w:vAlign w:val="center"/>
          </w:tcPr>
          <w:p w14:paraId="74A0A741">
            <w:pPr>
              <w:spacing w:line="240" w:lineRule="atLeast"/>
              <w:ind w:left="-48" w:leftChars="-23" w:right="-65" w:rightChars="-31"/>
              <w:jc w:val="left"/>
              <w:rPr>
                <w:rFonts w:hint="eastAsia" w:cs="宋体"/>
                <w:color w:val="000000" w:themeColor="text1"/>
                <w:szCs w:val="24"/>
                <w:highlight w:val="none"/>
                <w14:textFill>
                  <w14:solidFill>
                    <w14:schemeClr w14:val="tx1"/>
                  </w14:solidFill>
                </w14:textFill>
              </w:rPr>
            </w:pPr>
          </w:p>
        </w:tc>
        <w:tc>
          <w:tcPr>
            <w:tcW w:w="560" w:type="pct"/>
            <w:tcBorders>
              <w:left w:val="single" w:color="auto" w:sz="4" w:space="0"/>
            </w:tcBorders>
            <w:shd w:val="clear" w:color="auto" w:fill="auto"/>
            <w:vAlign w:val="center"/>
          </w:tcPr>
          <w:p w14:paraId="7C7461BE">
            <w:pPr>
              <w:spacing w:line="240" w:lineRule="atLeast"/>
              <w:ind w:left="-48" w:leftChars="-23" w:right="-65" w:rightChars="-31"/>
              <w:jc w:val="left"/>
              <w:rPr>
                <w:rFonts w:hint="default" w:eastAsia="宋体" w:cs="宋体"/>
                <w:color w:val="000000" w:themeColor="text1"/>
                <w:szCs w:val="24"/>
                <w:highlight w:val="none"/>
                <w:lang w:val="en-US" w:eastAsia="zh-CN"/>
                <w14:textFill>
                  <w14:solidFill>
                    <w14:schemeClr w14:val="tx1"/>
                  </w14:solidFill>
                </w14:textFill>
              </w:rPr>
            </w:pPr>
            <w:r>
              <w:rPr>
                <w:rFonts w:hint="eastAsia" w:cs="宋体"/>
                <w:color w:val="000000" w:themeColor="text1"/>
                <w:szCs w:val="24"/>
                <w:highlight w:val="none"/>
                <w:lang w:val="en-US" w:eastAsia="zh-CN"/>
                <w14:textFill>
                  <w14:solidFill>
                    <w14:schemeClr w14:val="tx1"/>
                  </w14:solidFill>
                </w14:textFill>
              </w:rPr>
              <w:t>....</w:t>
            </w:r>
          </w:p>
        </w:tc>
        <w:tc>
          <w:tcPr>
            <w:tcW w:w="511" w:type="pct"/>
            <w:tcBorders>
              <w:left w:val="single" w:color="auto" w:sz="4" w:space="0"/>
            </w:tcBorders>
            <w:shd w:val="clear" w:color="auto" w:fill="auto"/>
            <w:vAlign w:val="center"/>
          </w:tcPr>
          <w:p w14:paraId="22BA3532">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606" w:type="pct"/>
            <w:tcBorders>
              <w:left w:val="single" w:color="auto" w:sz="4" w:space="0"/>
            </w:tcBorders>
            <w:shd w:val="clear" w:color="auto" w:fill="auto"/>
            <w:vAlign w:val="center"/>
          </w:tcPr>
          <w:p w14:paraId="7735E1B2">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49" w:type="pct"/>
            <w:vMerge w:val="continue"/>
            <w:tcBorders>
              <w:left w:val="single" w:color="auto" w:sz="4" w:space="0"/>
            </w:tcBorders>
            <w:shd w:val="clear" w:color="auto" w:fill="auto"/>
            <w:vAlign w:val="center"/>
          </w:tcPr>
          <w:p w14:paraId="261E1BF4">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587" w:type="pct"/>
            <w:tcBorders>
              <w:left w:val="single" w:color="auto" w:sz="4" w:space="0"/>
            </w:tcBorders>
            <w:shd w:val="clear" w:color="auto" w:fill="auto"/>
            <w:vAlign w:val="center"/>
          </w:tcPr>
          <w:p w14:paraId="421563FB">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r>
      <w:tr w14:paraId="25FAD3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605F5DD7">
            <w:pPr>
              <w:tabs>
                <w:tab w:val="left" w:pos="61"/>
              </w:tabs>
              <w:jc w:val="center"/>
              <w:rPr>
                <w:color w:val="000000" w:themeColor="text1"/>
                <w:highlight w:val="none"/>
                <w14:textFill>
                  <w14:solidFill>
                    <w14:schemeClr w14:val="tx1"/>
                  </w14:solidFill>
                </w14:textFill>
              </w:rPr>
            </w:pPr>
          </w:p>
        </w:tc>
        <w:tc>
          <w:tcPr>
            <w:tcW w:w="201" w:type="pct"/>
            <w:vMerge w:val="continue"/>
            <w:shd w:val="clear" w:color="auto" w:fill="auto"/>
            <w:vAlign w:val="center"/>
          </w:tcPr>
          <w:p w14:paraId="49146DB7">
            <w:pPr>
              <w:tabs>
                <w:tab w:val="left" w:pos="0"/>
                <w:tab w:val="left" w:pos="56"/>
              </w:tabs>
              <w:ind w:left="547" w:hanging="478" w:hangingChars="228"/>
              <w:jc w:val="center"/>
              <w:rPr>
                <w:color w:val="000000" w:themeColor="text1"/>
                <w:highlight w:val="none"/>
                <w14:textFill>
                  <w14:solidFill>
                    <w14:schemeClr w14:val="tx1"/>
                  </w14:solidFill>
                </w14:textFill>
              </w:rPr>
            </w:pPr>
          </w:p>
        </w:tc>
        <w:tc>
          <w:tcPr>
            <w:tcW w:w="380" w:type="pct"/>
            <w:vMerge w:val="continue"/>
            <w:shd w:val="clear" w:color="auto" w:fill="auto"/>
            <w:vAlign w:val="center"/>
          </w:tcPr>
          <w:p w14:paraId="23B4217D">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282" w:type="pct"/>
            <w:vMerge w:val="continue"/>
            <w:tcBorders>
              <w:left w:val="single" w:color="auto" w:sz="4" w:space="0"/>
            </w:tcBorders>
            <w:shd w:val="clear" w:color="auto" w:fill="auto"/>
            <w:vAlign w:val="center"/>
          </w:tcPr>
          <w:p w14:paraId="5F08DA06">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78" w:type="pct"/>
            <w:vMerge w:val="continue"/>
            <w:tcBorders>
              <w:left w:val="single" w:color="auto" w:sz="4" w:space="0"/>
              <w:right w:val="single" w:color="auto" w:sz="4" w:space="0"/>
            </w:tcBorders>
            <w:shd w:val="clear" w:color="auto" w:fill="auto"/>
            <w:vAlign w:val="center"/>
          </w:tcPr>
          <w:p w14:paraId="75B959EE">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692" w:type="pct"/>
            <w:vMerge w:val="restart"/>
            <w:tcBorders>
              <w:left w:val="single" w:color="auto" w:sz="4" w:space="0"/>
              <w:right w:val="single" w:color="auto" w:sz="4" w:space="0"/>
            </w:tcBorders>
            <w:vAlign w:val="center"/>
          </w:tcPr>
          <w:p w14:paraId="6C2F56BC">
            <w:pPr>
              <w:spacing w:line="240" w:lineRule="atLeast"/>
              <w:ind w:left="-48" w:leftChars="-23" w:right="-65" w:rightChars="-31"/>
              <w:jc w:val="left"/>
              <w:rPr>
                <w:rFonts w:hint="eastAsia" w:cs="宋体"/>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制造费用</w:t>
            </w:r>
          </w:p>
        </w:tc>
        <w:tc>
          <w:tcPr>
            <w:tcW w:w="560" w:type="pct"/>
            <w:tcBorders>
              <w:left w:val="single" w:color="auto" w:sz="4" w:space="0"/>
            </w:tcBorders>
            <w:shd w:val="clear" w:color="auto" w:fill="auto"/>
            <w:vAlign w:val="center"/>
          </w:tcPr>
          <w:p w14:paraId="615956BA">
            <w:pPr>
              <w:spacing w:line="240" w:lineRule="atLeast"/>
              <w:ind w:left="-48" w:leftChars="-23" w:right="-65" w:rightChars="-31"/>
              <w:jc w:val="left"/>
              <w:rPr>
                <w:rFonts w:cs="宋体"/>
                <w:color w:val="000000" w:themeColor="text1"/>
                <w:szCs w:val="24"/>
                <w:highlight w:val="none"/>
                <w14:textFill>
                  <w14:solidFill>
                    <w14:schemeClr w14:val="tx1"/>
                  </w14:solidFill>
                </w14:textFill>
              </w:rPr>
            </w:pPr>
            <w:r>
              <w:rPr>
                <w:rFonts w:cs="宋体"/>
                <w:color w:val="000000" w:themeColor="text1"/>
                <w:szCs w:val="24"/>
                <w:highlight w:val="none"/>
                <w:lang w:val="en-US" w:eastAsia="zh-CN"/>
                <w14:textFill>
                  <w14:solidFill>
                    <w14:schemeClr w14:val="tx1"/>
                  </w14:solidFill>
                </w14:textFill>
              </w:rPr>
              <w:t>设备折旧费</w:t>
            </w:r>
          </w:p>
        </w:tc>
        <w:tc>
          <w:tcPr>
            <w:tcW w:w="511" w:type="pct"/>
            <w:tcBorders>
              <w:left w:val="single" w:color="auto" w:sz="4" w:space="0"/>
            </w:tcBorders>
            <w:shd w:val="clear" w:color="auto" w:fill="auto"/>
            <w:vAlign w:val="center"/>
          </w:tcPr>
          <w:p w14:paraId="03C89923">
            <w:pPr>
              <w:spacing w:line="240" w:lineRule="atLeast"/>
              <w:ind w:left="-48" w:leftChars="-23" w:right="-65" w:rightChars="-31"/>
              <w:jc w:val="left"/>
              <w:rPr>
                <w:rFonts w:hint="eastAsia" w:eastAsia="宋体" w:cs="宋体"/>
                <w:color w:val="000000" w:themeColor="text1"/>
                <w:szCs w:val="24"/>
                <w:highlight w:val="none"/>
                <w:lang w:val="en-US" w:eastAsia="zh-CN"/>
                <w14:textFill>
                  <w14:solidFill>
                    <w14:schemeClr w14:val="tx1"/>
                  </w14:solidFill>
                </w14:textFill>
              </w:rPr>
            </w:pPr>
          </w:p>
        </w:tc>
        <w:tc>
          <w:tcPr>
            <w:tcW w:w="606" w:type="pct"/>
            <w:tcBorders>
              <w:left w:val="single" w:color="auto" w:sz="4" w:space="0"/>
            </w:tcBorders>
            <w:shd w:val="clear" w:color="auto" w:fill="auto"/>
            <w:vAlign w:val="center"/>
          </w:tcPr>
          <w:p w14:paraId="38F9C2E1">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49" w:type="pct"/>
            <w:vMerge w:val="continue"/>
            <w:tcBorders>
              <w:left w:val="single" w:color="auto" w:sz="4" w:space="0"/>
            </w:tcBorders>
            <w:shd w:val="clear" w:color="auto" w:fill="auto"/>
            <w:vAlign w:val="center"/>
          </w:tcPr>
          <w:p w14:paraId="2D67D214">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587" w:type="pct"/>
            <w:tcBorders>
              <w:left w:val="single" w:color="auto" w:sz="4" w:space="0"/>
            </w:tcBorders>
            <w:shd w:val="clear" w:color="auto" w:fill="auto"/>
            <w:vAlign w:val="center"/>
          </w:tcPr>
          <w:p w14:paraId="412E883A">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r>
      <w:tr w14:paraId="67AFEB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078DF2BD">
            <w:pPr>
              <w:tabs>
                <w:tab w:val="left" w:pos="61"/>
              </w:tabs>
              <w:jc w:val="center"/>
              <w:rPr>
                <w:color w:val="000000" w:themeColor="text1"/>
                <w:highlight w:val="none"/>
                <w14:textFill>
                  <w14:solidFill>
                    <w14:schemeClr w14:val="tx1"/>
                  </w14:solidFill>
                </w14:textFill>
              </w:rPr>
            </w:pPr>
          </w:p>
        </w:tc>
        <w:tc>
          <w:tcPr>
            <w:tcW w:w="201" w:type="pct"/>
            <w:vMerge w:val="continue"/>
            <w:shd w:val="clear" w:color="auto" w:fill="auto"/>
            <w:vAlign w:val="center"/>
          </w:tcPr>
          <w:p w14:paraId="1D439CE3">
            <w:pPr>
              <w:tabs>
                <w:tab w:val="left" w:pos="0"/>
                <w:tab w:val="left" w:pos="56"/>
              </w:tabs>
              <w:ind w:left="547" w:hanging="478" w:hangingChars="228"/>
              <w:jc w:val="center"/>
              <w:rPr>
                <w:color w:val="000000" w:themeColor="text1"/>
                <w:highlight w:val="none"/>
                <w14:textFill>
                  <w14:solidFill>
                    <w14:schemeClr w14:val="tx1"/>
                  </w14:solidFill>
                </w14:textFill>
              </w:rPr>
            </w:pPr>
          </w:p>
        </w:tc>
        <w:tc>
          <w:tcPr>
            <w:tcW w:w="380" w:type="pct"/>
            <w:vMerge w:val="continue"/>
            <w:shd w:val="clear" w:color="auto" w:fill="auto"/>
            <w:vAlign w:val="center"/>
          </w:tcPr>
          <w:p w14:paraId="71BFE9FA">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282" w:type="pct"/>
            <w:vMerge w:val="continue"/>
            <w:tcBorders>
              <w:left w:val="single" w:color="auto" w:sz="4" w:space="0"/>
            </w:tcBorders>
            <w:shd w:val="clear" w:color="auto" w:fill="auto"/>
            <w:vAlign w:val="center"/>
          </w:tcPr>
          <w:p w14:paraId="56D75B0E">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78" w:type="pct"/>
            <w:vMerge w:val="continue"/>
            <w:tcBorders>
              <w:left w:val="single" w:color="auto" w:sz="4" w:space="0"/>
              <w:right w:val="single" w:color="auto" w:sz="4" w:space="0"/>
            </w:tcBorders>
            <w:shd w:val="clear" w:color="auto" w:fill="auto"/>
            <w:vAlign w:val="center"/>
          </w:tcPr>
          <w:p w14:paraId="2FB42261">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692" w:type="pct"/>
            <w:vMerge w:val="continue"/>
            <w:tcBorders>
              <w:left w:val="single" w:color="auto" w:sz="4" w:space="0"/>
              <w:right w:val="single" w:color="auto" w:sz="4" w:space="0"/>
            </w:tcBorders>
            <w:vAlign w:val="center"/>
          </w:tcPr>
          <w:p w14:paraId="236288DA">
            <w:pPr>
              <w:spacing w:line="240" w:lineRule="atLeast"/>
              <w:ind w:left="-48" w:leftChars="-23" w:right="-65" w:rightChars="-31"/>
              <w:jc w:val="left"/>
              <w:rPr>
                <w:rFonts w:hint="eastAsia" w:cs="宋体"/>
                <w:color w:val="000000" w:themeColor="text1"/>
                <w:szCs w:val="24"/>
                <w:highlight w:val="none"/>
                <w14:textFill>
                  <w14:solidFill>
                    <w14:schemeClr w14:val="tx1"/>
                  </w14:solidFill>
                </w14:textFill>
              </w:rPr>
            </w:pPr>
          </w:p>
        </w:tc>
        <w:tc>
          <w:tcPr>
            <w:tcW w:w="560" w:type="pct"/>
            <w:tcBorders>
              <w:left w:val="single" w:color="auto" w:sz="4" w:space="0"/>
            </w:tcBorders>
            <w:shd w:val="clear" w:color="auto" w:fill="auto"/>
            <w:vAlign w:val="center"/>
          </w:tcPr>
          <w:p w14:paraId="53B24EE4">
            <w:pPr>
              <w:spacing w:line="240" w:lineRule="atLeast"/>
              <w:ind w:left="-48" w:leftChars="-23" w:right="-65" w:rightChars="-31"/>
              <w:jc w:val="left"/>
              <w:rPr>
                <w:rFonts w:hint="default" w:eastAsia="宋体" w:cs="宋体"/>
                <w:color w:val="000000" w:themeColor="text1"/>
                <w:szCs w:val="24"/>
                <w:highlight w:val="none"/>
                <w:lang w:val="en-US" w:eastAsia="zh-CN"/>
                <w14:textFill>
                  <w14:solidFill>
                    <w14:schemeClr w14:val="tx1"/>
                  </w14:solidFill>
                </w14:textFill>
              </w:rPr>
            </w:pPr>
            <w:r>
              <w:rPr>
                <w:rFonts w:hint="eastAsia" w:cs="宋体"/>
                <w:color w:val="000000" w:themeColor="text1"/>
                <w:szCs w:val="24"/>
                <w:highlight w:val="none"/>
                <w:lang w:val="en-US" w:eastAsia="zh-CN"/>
                <w14:textFill>
                  <w14:solidFill>
                    <w14:schemeClr w14:val="tx1"/>
                  </w14:solidFill>
                </w14:textFill>
              </w:rPr>
              <w:t>...</w:t>
            </w:r>
          </w:p>
        </w:tc>
        <w:tc>
          <w:tcPr>
            <w:tcW w:w="511" w:type="pct"/>
            <w:tcBorders>
              <w:left w:val="single" w:color="auto" w:sz="4" w:space="0"/>
            </w:tcBorders>
            <w:shd w:val="clear" w:color="auto" w:fill="auto"/>
            <w:vAlign w:val="center"/>
          </w:tcPr>
          <w:p w14:paraId="2C7EE97E">
            <w:pPr>
              <w:spacing w:line="240" w:lineRule="atLeast"/>
              <w:ind w:left="-48" w:leftChars="-23" w:right="-65" w:rightChars="-31"/>
              <w:jc w:val="left"/>
              <w:rPr>
                <w:rFonts w:hint="eastAsia" w:eastAsia="宋体" w:cs="宋体"/>
                <w:color w:val="000000" w:themeColor="text1"/>
                <w:szCs w:val="24"/>
                <w:highlight w:val="none"/>
                <w:lang w:val="en-US" w:eastAsia="zh-CN"/>
                <w14:textFill>
                  <w14:solidFill>
                    <w14:schemeClr w14:val="tx1"/>
                  </w14:solidFill>
                </w14:textFill>
              </w:rPr>
            </w:pPr>
          </w:p>
        </w:tc>
        <w:tc>
          <w:tcPr>
            <w:tcW w:w="606" w:type="pct"/>
            <w:tcBorders>
              <w:left w:val="single" w:color="auto" w:sz="4" w:space="0"/>
            </w:tcBorders>
            <w:shd w:val="clear" w:color="auto" w:fill="auto"/>
            <w:vAlign w:val="center"/>
          </w:tcPr>
          <w:p w14:paraId="7D55CCBC">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49" w:type="pct"/>
            <w:vMerge w:val="continue"/>
            <w:tcBorders>
              <w:left w:val="single" w:color="auto" w:sz="4" w:space="0"/>
            </w:tcBorders>
            <w:shd w:val="clear" w:color="auto" w:fill="auto"/>
            <w:vAlign w:val="center"/>
          </w:tcPr>
          <w:p w14:paraId="4A3183CF">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587" w:type="pct"/>
            <w:tcBorders>
              <w:left w:val="single" w:color="auto" w:sz="4" w:space="0"/>
            </w:tcBorders>
            <w:shd w:val="clear" w:color="auto" w:fill="auto"/>
            <w:vAlign w:val="center"/>
          </w:tcPr>
          <w:p w14:paraId="689037C1">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r>
      <w:tr w14:paraId="291B38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5818CE3A">
            <w:pPr>
              <w:tabs>
                <w:tab w:val="left" w:pos="61"/>
              </w:tabs>
              <w:jc w:val="center"/>
              <w:rPr>
                <w:color w:val="000000" w:themeColor="text1"/>
                <w:highlight w:val="none"/>
                <w14:textFill>
                  <w14:solidFill>
                    <w14:schemeClr w14:val="tx1"/>
                  </w14:solidFill>
                </w14:textFill>
              </w:rPr>
            </w:pPr>
          </w:p>
        </w:tc>
        <w:tc>
          <w:tcPr>
            <w:tcW w:w="201" w:type="pct"/>
            <w:vMerge w:val="continue"/>
            <w:shd w:val="clear" w:color="auto" w:fill="auto"/>
            <w:vAlign w:val="center"/>
          </w:tcPr>
          <w:p w14:paraId="5530FE59">
            <w:pPr>
              <w:tabs>
                <w:tab w:val="left" w:pos="0"/>
                <w:tab w:val="left" w:pos="56"/>
              </w:tabs>
              <w:ind w:left="547" w:hanging="478" w:hangingChars="228"/>
              <w:jc w:val="center"/>
              <w:rPr>
                <w:color w:val="000000" w:themeColor="text1"/>
                <w:highlight w:val="none"/>
                <w14:textFill>
                  <w14:solidFill>
                    <w14:schemeClr w14:val="tx1"/>
                  </w14:solidFill>
                </w14:textFill>
              </w:rPr>
            </w:pPr>
          </w:p>
        </w:tc>
        <w:tc>
          <w:tcPr>
            <w:tcW w:w="380" w:type="pct"/>
            <w:vMerge w:val="continue"/>
            <w:shd w:val="clear" w:color="auto" w:fill="auto"/>
            <w:vAlign w:val="center"/>
          </w:tcPr>
          <w:p w14:paraId="68A909D4">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282" w:type="pct"/>
            <w:vMerge w:val="continue"/>
            <w:tcBorders>
              <w:left w:val="single" w:color="auto" w:sz="4" w:space="0"/>
            </w:tcBorders>
            <w:shd w:val="clear" w:color="auto" w:fill="auto"/>
            <w:vAlign w:val="center"/>
          </w:tcPr>
          <w:p w14:paraId="3B997D96">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78" w:type="pct"/>
            <w:vMerge w:val="continue"/>
            <w:tcBorders>
              <w:left w:val="single" w:color="auto" w:sz="4" w:space="0"/>
              <w:right w:val="single" w:color="auto" w:sz="4" w:space="0"/>
            </w:tcBorders>
            <w:shd w:val="clear" w:color="auto" w:fill="auto"/>
            <w:vAlign w:val="center"/>
          </w:tcPr>
          <w:p w14:paraId="0915F4C3">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692" w:type="pct"/>
            <w:tcBorders>
              <w:left w:val="single" w:color="auto" w:sz="4" w:space="0"/>
              <w:right w:val="single" w:color="auto" w:sz="4" w:space="0"/>
            </w:tcBorders>
            <w:vAlign w:val="center"/>
          </w:tcPr>
          <w:p w14:paraId="55B3EF5C">
            <w:pPr>
              <w:spacing w:line="240" w:lineRule="atLeast"/>
              <w:ind w:left="-48" w:leftChars="-23" w:right="-65" w:rightChars="-31"/>
              <w:jc w:val="left"/>
              <w:rPr>
                <w:rFonts w:hint="default" w:eastAsia="宋体" w:cs="宋体"/>
                <w:color w:val="000000" w:themeColor="text1"/>
                <w:szCs w:val="24"/>
                <w:highlight w:val="none"/>
                <w:lang w:val="en-US" w:eastAsia="zh-CN"/>
                <w14:textFill>
                  <w14:solidFill>
                    <w14:schemeClr w14:val="tx1"/>
                  </w14:solidFill>
                </w14:textFill>
              </w:rPr>
            </w:pPr>
            <w:r>
              <w:rPr>
                <w:rFonts w:hint="eastAsia" w:cs="宋体"/>
                <w:color w:val="000000" w:themeColor="text1"/>
                <w:szCs w:val="24"/>
                <w:highlight w:val="none"/>
                <w:lang w:val="en-US" w:eastAsia="zh-CN"/>
                <w14:textFill>
                  <w14:solidFill>
                    <w14:schemeClr w14:val="tx1"/>
                  </w14:solidFill>
                </w14:textFill>
              </w:rPr>
              <w:t>其他成本</w:t>
            </w:r>
          </w:p>
        </w:tc>
        <w:tc>
          <w:tcPr>
            <w:tcW w:w="560" w:type="pct"/>
            <w:tcBorders>
              <w:left w:val="single" w:color="auto" w:sz="4" w:space="0"/>
            </w:tcBorders>
            <w:shd w:val="clear" w:color="auto" w:fill="auto"/>
            <w:vAlign w:val="center"/>
          </w:tcPr>
          <w:p w14:paraId="28AD62CC">
            <w:pPr>
              <w:spacing w:line="240" w:lineRule="atLeast"/>
              <w:ind w:left="-48" w:leftChars="-23" w:right="-65" w:rightChars="-31"/>
              <w:jc w:val="left"/>
              <w:rPr>
                <w:rFonts w:hint="eastAsia" w:eastAsia="宋体" w:cs="宋体"/>
                <w:color w:val="000000" w:themeColor="text1"/>
                <w:szCs w:val="24"/>
                <w:highlight w:val="none"/>
                <w:lang w:val="en-US" w:eastAsia="zh-CN"/>
                <w14:textFill>
                  <w14:solidFill>
                    <w14:schemeClr w14:val="tx1"/>
                  </w14:solidFill>
                </w14:textFill>
              </w:rPr>
            </w:pPr>
          </w:p>
        </w:tc>
        <w:tc>
          <w:tcPr>
            <w:tcW w:w="511" w:type="pct"/>
            <w:tcBorders>
              <w:left w:val="single" w:color="auto" w:sz="4" w:space="0"/>
            </w:tcBorders>
            <w:shd w:val="clear" w:color="auto" w:fill="auto"/>
            <w:vAlign w:val="center"/>
          </w:tcPr>
          <w:p w14:paraId="480F1EE7">
            <w:pPr>
              <w:spacing w:line="240" w:lineRule="atLeast"/>
              <w:ind w:left="-48" w:leftChars="-23" w:right="-65" w:rightChars="-31"/>
              <w:jc w:val="left"/>
              <w:rPr>
                <w:rFonts w:hint="eastAsia" w:eastAsia="宋体" w:cs="宋体"/>
                <w:color w:val="000000" w:themeColor="text1"/>
                <w:szCs w:val="24"/>
                <w:highlight w:val="none"/>
                <w:lang w:val="en-US" w:eastAsia="zh-CN"/>
                <w14:textFill>
                  <w14:solidFill>
                    <w14:schemeClr w14:val="tx1"/>
                  </w14:solidFill>
                </w14:textFill>
              </w:rPr>
            </w:pPr>
          </w:p>
        </w:tc>
        <w:tc>
          <w:tcPr>
            <w:tcW w:w="606" w:type="pct"/>
            <w:tcBorders>
              <w:left w:val="single" w:color="auto" w:sz="4" w:space="0"/>
            </w:tcBorders>
            <w:shd w:val="clear" w:color="auto" w:fill="auto"/>
            <w:vAlign w:val="center"/>
          </w:tcPr>
          <w:p w14:paraId="1DFF4C39">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49" w:type="pct"/>
            <w:vMerge w:val="continue"/>
            <w:tcBorders>
              <w:left w:val="single" w:color="auto" w:sz="4" w:space="0"/>
            </w:tcBorders>
            <w:shd w:val="clear" w:color="auto" w:fill="auto"/>
            <w:vAlign w:val="center"/>
          </w:tcPr>
          <w:p w14:paraId="593452B9">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587" w:type="pct"/>
            <w:tcBorders>
              <w:left w:val="single" w:color="auto" w:sz="4" w:space="0"/>
            </w:tcBorders>
            <w:shd w:val="clear" w:color="auto" w:fill="auto"/>
            <w:vAlign w:val="center"/>
          </w:tcPr>
          <w:p w14:paraId="1EA1D96E">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r>
      <w:tr w14:paraId="3AF8D6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shd w:val="clear" w:color="auto" w:fill="auto"/>
            <w:vAlign w:val="center"/>
          </w:tcPr>
          <w:p w14:paraId="14707BF8">
            <w:pPr>
              <w:tabs>
                <w:tab w:val="left" w:pos="61"/>
              </w:tabs>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201" w:type="pct"/>
            <w:shd w:val="clear" w:color="auto" w:fill="auto"/>
            <w:vAlign w:val="center"/>
          </w:tcPr>
          <w:p w14:paraId="2637B63F">
            <w:pPr>
              <w:tabs>
                <w:tab w:val="left" w:pos="0"/>
                <w:tab w:val="left" w:pos="56"/>
              </w:tabs>
              <w:ind w:left="547" w:hanging="478" w:hangingChars="228"/>
              <w:jc w:val="center"/>
              <w:rPr>
                <w:color w:val="000000" w:themeColor="text1"/>
                <w:highlight w:val="none"/>
                <w14:textFill>
                  <w14:solidFill>
                    <w14:schemeClr w14:val="tx1"/>
                  </w14:solidFill>
                </w14:textFill>
              </w:rPr>
            </w:pPr>
          </w:p>
        </w:tc>
        <w:tc>
          <w:tcPr>
            <w:tcW w:w="380" w:type="pct"/>
            <w:shd w:val="clear" w:color="auto" w:fill="auto"/>
            <w:vAlign w:val="center"/>
          </w:tcPr>
          <w:p w14:paraId="2118CF07">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282" w:type="pct"/>
            <w:tcBorders>
              <w:left w:val="single" w:color="auto" w:sz="4" w:space="0"/>
            </w:tcBorders>
            <w:shd w:val="clear" w:color="auto" w:fill="auto"/>
            <w:vAlign w:val="center"/>
          </w:tcPr>
          <w:p w14:paraId="1F00C114">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78" w:type="pct"/>
            <w:tcBorders>
              <w:left w:val="single" w:color="auto" w:sz="4" w:space="0"/>
              <w:right w:val="single" w:color="auto" w:sz="4" w:space="0"/>
            </w:tcBorders>
            <w:shd w:val="clear" w:color="auto" w:fill="auto"/>
            <w:vAlign w:val="center"/>
          </w:tcPr>
          <w:p w14:paraId="39DA2191">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692" w:type="pct"/>
            <w:tcBorders>
              <w:left w:val="single" w:color="auto" w:sz="4" w:space="0"/>
              <w:right w:val="single" w:color="auto" w:sz="4" w:space="0"/>
            </w:tcBorders>
          </w:tcPr>
          <w:p w14:paraId="65D21A97">
            <w:pPr>
              <w:spacing w:line="240" w:lineRule="atLeast"/>
              <w:ind w:left="-48" w:leftChars="-23" w:right="-65" w:rightChars="-31"/>
              <w:jc w:val="left"/>
              <w:rPr>
                <w:rFonts w:hint="eastAsia" w:cs="宋体"/>
                <w:color w:val="000000" w:themeColor="text1"/>
                <w:szCs w:val="24"/>
                <w:highlight w:val="none"/>
                <w14:textFill>
                  <w14:solidFill>
                    <w14:schemeClr w14:val="tx1"/>
                  </w14:solidFill>
                </w14:textFill>
              </w:rPr>
            </w:pPr>
          </w:p>
        </w:tc>
        <w:tc>
          <w:tcPr>
            <w:tcW w:w="560" w:type="pct"/>
            <w:tcBorders>
              <w:left w:val="single" w:color="auto" w:sz="4" w:space="0"/>
            </w:tcBorders>
            <w:shd w:val="clear" w:color="auto" w:fill="auto"/>
            <w:vAlign w:val="center"/>
          </w:tcPr>
          <w:p w14:paraId="488B511B">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511" w:type="pct"/>
            <w:tcBorders>
              <w:left w:val="single" w:color="auto" w:sz="4" w:space="0"/>
            </w:tcBorders>
            <w:shd w:val="clear" w:color="auto" w:fill="auto"/>
            <w:vAlign w:val="center"/>
          </w:tcPr>
          <w:p w14:paraId="630599EE">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606" w:type="pct"/>
            <w:tcBorders>
              <w:left w:val="single" w:color="auto" w:sz="4" w:space="0"/>
            </w:tcBorders>
            <w:shd w:val="clear" w:color="auto" w:fill="auto"/>
            <w:vAlign w:val="center"/>
          </w:tcPr>
          <w:p w14:paraId="2392663E">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49" w:type="pct"/>
            <w:tcBorders>
              <w:left w:val="single" w:color="auto" w:sz="4" w:space="0"/>
            </w:tcBorders>
            <w:shd w:val="clear" w:color="auto" w:fill="auto"/>
            <w:vAlign w:val="center"/>
          </w:tcPr>
          <w:p w14:paraId="729BB8DB">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587" w:type="pct"/>
            <w:tcBorders>
              <w:left w:val="single" w:color="auto" w:sz="4" w:space="0"/>
            </w:tcBorders>
            <w:shd w:val="clear" w:color="auto" w:fill="auto"/>
            <w:vAlign w:val="center"/>
          </w:tcPr>
          <w:p w14:paraId="24ACDC09">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r>
      <w:tr w14:paraId="645FD7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4" w:hRule="atLeast"/>
          <w:jc w:val="center"/>
        </w:trPr>
        <w:tc>
          <w:tcPr>
            <w:tcW w:w="245" w:type="pct"/>
            <w:tcBorders>
              <w:bottom w:val="single" w:color="auto" w:sz="4" w:space="0"/>
            </w:tcBorders>
            <w:shd w:val="clear" w:color="auto" w:fill="auto"/>
            <w:vAlign w:val="center"/>
          </w:tcPr>
          <w:p w14:paraId="563A9DFF">
            <w:pPr>
              <w:tabs>
                <w:tab w:val="left" w:pos="82"/>
              </w:tabs>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01" w:type="pct"/>
            <w:tcBorders>
              <w:bottom w:val="single" w:color="auto" w:sz="4" w:space="0"/>
            </w:tcBorders>
            <w:shd w:val="clear" w:color="auto" w:fill="auto"/>
            <w:vAlign w:val="center"/>
          </w:tcPr>
          <w:p w14:paraId="5E924863">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380" w:type="pct"/>
            <w:tcBorders>
              <w:bottom w:val="single" w:color="auto" w:sz="4" w:space="0"/>
            </w:tcBorders>
            <w:shd w:val="clear" w:color="auto" w:fill="auto"/>
            <w:vAlign w:val="center"/>
          </w:tcPr>
          <w:p w14:paraId="7F8C583D">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282" w:type="pct"/>
            <w:tcBorders>
              <w:left w:val="single" w:color="auto" w:sz="4" w:space="0"/>
              <w:bottom w:val="single" w:color="auto" w:sz="4" w:space="0"/>
            </w:tcBorders>
            <w:shd w:val="clear" w:color="auto" w:fill="auto"/>
            <w:vAlign w:val="center"/>
          </w:tcPr>
          <w:p w14:paraId="4319768C">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478" w:type="pct"/>
            <w:tcBorders>
              <w:left w:val="single" w:color="auto" w:sz="4" w:space="0"/>
              <w:bottom w:val="single" w:color="auto" w:sz="4" w:space="0"/>
              <w:right w:val="single" w:color="auto" w:sz="4" w:space="0"/>
            </w:tcBorders>
            <w:shd w:val="clear" w:color="auto" w:fill="auto"/>
            <w:vAlign w:val="center"/>
          </w:tcPr>
          <w:p w14:paraId="33135464">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692" w:type="pct"/>
            <w:tcBorders>
              <w:left w:val="single" w:color="auto" w:sz="4" w:space="0"/>
              <w:bottom w:val="single" w:color="auto" w:sz="4" w:space="0"/>
              <w:right w:val="single" w:color="auto" w:sz="4" w:space="0"/>
            </w:tcBorders>
          </w:tcPr>
          <w:p w14:paraId="57E57687">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560" w:type="pct"/>
            <w:tcBorders>
              <w:left w:val="single" w:color="auto" w:sz="4" w:space="0"/>
              <w:bottom w:val="single" w:color="auto" w:sz="4" w:space="0"/>
            </w:tcBorders>
            <w:shd w:val="clear" w:color="auto" w:fill="auto"/>
            <w:vAlign w:val="center"/>
          </w:tcPr>
          <w:p w14:paraId="1B29C270">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511" w:type="pct"/>
            <w:tcBorders>
              <w:left w:val="single" w:color="auto" w:sz="4" w:space="0"/>
              <w:bottom w:val="single" w:color="auto" w:sz="4" w:space="0"/>
            </w:tcBorders>
            <w:shd w:val="clear" w:color="auto" w:fill="auto"/>
            <w:vAlign w:val="center"/>
          </w:tcPr>
          <w:p w14:paraId="4EC1DCA5">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p w14:paraId="56BF2198">
            <w:pPr>
              <w:rPr>
                <w:color w:val="000000" w:themeColor="text1"/>
                <w:highlight w:val="none"/>
                <w14:textFill>
                  <w14:solidFill>
                    <w14:schemeClr w14:val="tx1"/>
                  </w14:solidFill>
                </w14:textFill>
              </w:rPr>
            </w:pPr>
          </w:p>
        </w:tc>
        <w:tc>
          <w:tcPr>
            <w:tcW w:w="606" w:type="pct"/>
            <w:tcBorders>
              <w:left w:val="single" w:color="auto" w:sz="4" w:space="0"/>
              <w:bottom w:val="single" w:color="auto" w:sz="4" w:space="0"/>
            </w:tcBorders>
            <w:shd w:val="clear" w:color="auto" w:fill="auto"/>
            <w:vAlign w:val="center"/>
          </w:tcPr>
          <w:p w14:paraId="6DA7B2EB">
            <w:pPr>
              <w:rPr>
                <w:color w:val="000000" w:themeColor="text1"/>
                <w:highlight w:val="none"/>
                <w14:textFill>
                  <w14:solidFill>
                    <w14:schemeClr w14:val="tx1"/>
                  </w14:solidFill>
                </w14:textFill>
              </w:rPr>
            </w:pPr>
          </w:p>
        </w:tc>
        <w:tc>
          <w:tcPr>
            <w:tcW w:w="449" w:type="pct"/>
            <w:tcBorders>
              <w:left w:val="single" w:color="auto" w:sz="4" w:space="0"/>
              <w:bottom w:val="single" w:color="auto" w:sz="4" w:space="0"/>
            </w:tcBorders>
            <w:shd w:val="clear" w:color="auto" w:fill="auto"/>
            <w:vAlign w:val="center"/>
          </w:tcPr>
          <w:p w14:paraId="0D352044">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c>
          <w:tcPr>
            <w:tcW w:w="587" w:type="pct"/>
            <w:tcBorders>
              <w:left w:val="single" w:color="auto" w:sz="4" w:space="0"/>
              <w:bottom w:val="single" w:color="auto" w:sz="4" w:space="0"/>
            </w:tcBorders>
            <w:shd w:val="clear" w:color="auto" w:fill="auto"/>
            <w:vAlign w:val="center"/>
          </w:tcPr>
          <w:p w14:paraId="2EBEC3BF">
            <w:pPr>
              <w:spacing w:line="240" w:lineRule="atLeast"/>
              <w:ind w:left="-48" w:leftChars="-23" w:right="-65" w:rightChars="-31"/>
              <w:jc w:val="left"/>
              <w:rPr>
                <w:rFonts w:cs="宋体"/>
                <w:color w:val="000000" w:themeColor="text1"/>
                <w:szCs w:val="24"/>
                <w:highlight w:val="none"/>
                <w14:textFill>
                  <w14:solidFill>
                    <w14:schemeClr w14:val="tx1"/>
                  </w14:solidFill>
                </w14:textFill>
              </w:rPr>
            </w:pPr>
          </w:p>
        </w:tc>
      </w:tr>
    </w:tbl>
    <w:p w14:paraId="474E7602">
      <w:pPr>
        <w:spacing w:line="360" w:lineRule="auto"/>
        <w:jc w:val="left"/>
        <w:rPr>
          <w:color w:val="000000" w:themeColor="text1"/>
          <w:szCs w:val="21"/>
          <w:highlight w:val="none"/>
          <w14:textFill>
            <w14:solidFill>
              <w14:schemeClr w14:val="tx1"/>
            </w14:solidFill>
          </w14:textFill>
        </w:rPr>
      </w:pPr>
    </w:p>
    <w:p w14:paraId="752808A1">
      <w:pPr>
        <w:spacing w:line="360" w:lineRule="auto"/>
        <w:jc w:val="left"/>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说明：项目具体成本测算等与报价合理性相关的书面说明及必要的证明材料，包括但不限于原材料成本、人工成本、制造费用等</w:t>
      </w:r>
    </w:p>
    <w:p w14:paraId="598510DD">
      <w:pPr>
        <w:spacing w:line="360" w:lineRule="auto"/>
        <w:ind w:firstLine="6090" w:firstLineChars="290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供应商名称（</w:t>
      </w:r>
      <w:r>
        <w:rPr>
          <w:rFonts w:hint="eastAsia"/>
          <w:color w:val="000000" w:themeColor="text1"/>
          <w:szCs w:val="21"/>
          <w:highlight w:val="none"/>
          <w14:textFill>
            <w14:solidFill>
              <w14:schemeClr w14:val="tx1"/>
            </w14:solidFill>
          </w14:textFill>
        </w:rPr>
        <w:t>电子签章</w:t>
      </w:r>
      <w:r>
        <w:rPr>
          <w:color w:val="000000" w:themeColor="text1"/>
          <w:szCs w:val="21"/>
          <w:highlight w:val="none"/>
          <w14:textFill>
            <w14:solidFill>
              <w14:schemeClr w14:val="tx1"/>
            </w14:solidFill>
          </w14:textFill>
        </w:rPr>
        <w:t>）：</w:t>
      </w:r>
      <w:r>
        <w:rPr>
          <w:color w:val="000000" w:themeColor="text1"/>
          <w:szCs w:val="21"/>
          <w:highlight w:val="none"/>
          <w:u w:val="single"/>
          <w14:textFill>
            <w14:solidFill>
              <w14:schemeClr w14:val="tx1"/>
            </w14:solidFill>
          </w14:textFill>
        </w:rPr>
        <w:t xml:space="preserve">                          </w:t>
      </w:r>
    </w:p>
    <w:p w14:paraId="334743E0">
      <w:pPr>
        <w:spacing w:line="360" w:lineRule="auto"/>
        <w:ind w:firstLine="6090" w:firstLineChars="2900"/>
        <w:jc w:val="left"/>
        <w:rPr>
          <w:color w:val="000000" w:themeColor="text1"/>
          <w:szCs w:val="21"/>
          <w:highlight w:val="none"/>
          <w14:textFill>
            <w14:solidFill>
              <w14:schemeClr w14:val="tx1"/>
            </w14:solidFill>
          </w14:textFill>
        </w:rPr>
        <w:sectPr>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r>
        <w:rPr>
          <w:color w:val="000000" w:themeColor="text1"/>
          <w:szCs w:val="21"/>
          <w:highlight w:val="none"/>
          <w14:textFill>
            <w14:solidFill>
              <w14:schemeClr w14:val="tx1"/>
            </w14:solidFill>
          </w14:textFill>
        </w:rPr>
        <w:t>日  期</w:t>
      </w:r>
      <w:r>
        <w:rPr>
          <w:rFonts w:hint="eastAsia" w:eastAsia="宋体"/>
          <w:color w:val="000000" w:themeColor="text1"/>
          <w:szCs w:val="21"/>
          <w:highlight w:val="none"/>
          <w:lang w:eastAsia="zh-CN"/>
          <w14:textFill>
            <w14:solidFill>
              <w14:schemeClr w14:val="tx1"/>
            </w14:solidFill>
          </w14:textFill>
        </w:rPr>
        <w:t>：</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年</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月</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 xml:space="preserve">日 </w:t>
      </w:r>
    </w:p>
    <w:p w14:paraId="738B1451">
      <w:pPr>
        <w:rPr>
          <w:rFonts w:ascii="Arial" w:hAnsi="Arial" w:cs="Arial"/>
          <w:b/>
          <w:color w:val="000000" w:themeColor="text1"/>
          <w:szCs w:val="21"/>
          <w14:textFill>
            <w14:solidFill>
              <w14:schemeClr w14:val="tx1"/>
            </w14:solidFill>
          </w14:textFill>
        </w:rPr>
      </w:pPr>
    </w:p>
    <w:p w14:paraId="524B0FAA">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4．符合政府采购政策价格扣除证明材料。</w:t>
      </w:r>
    </w:p>
    <w:p w14:paraId="0C6A3324">
      <w:pPr>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4.1</w:t>
      </w:r>
      <w:r>
        <w:rPr>
          <w:rFonts w:ascii="Arial" w:hAnsi="Arial" w:cs="Arial"/>
          <w:bCs/>
          <w:color w:val="000000" w:themeColor="text1"/>
          <w:szCs w:val="21"/>
          <w14:textFill>
            <w14:solidFill>
              <w14:schemeClr w14:val="tx1"/>
            </w14:solidFill>
          </w14:textFill>
        </w:rPr>
        <w:t>符合小型、微型企业</w:t>
      </w:r>
      <w:r>
        <w:rPr>
          <w:rFonts w:ascii="Arial" w:hAnsi="Arial" w:cs="Arial"/>
          <w:color w:val="000000" w:themeColor="text1"/>
          <w:szCs w:val="21"/>
          <w14:textFill>
            <w14:solidFill>
              <w14:schemeClr w14:val="tx1"/>
            </w14:solidFill>
          </w14:textFill>
        </w:rPr>
        <w:t>政府采购政策证明材料。（非小型、微型企业无需提供）。</w:t>
      </w:r>
    </w:p>
    <w:p w14:paraId="68BD602E">
      <w:pPr>
        <w:spacing w:line="360" w:lineRule="auto"/>
        <w:ind w:firstLine="3584" w:firstLineChars="1700"/>
        <w:rPr>
          <w:rFonts w:ascii="Arial" w:hAnsi="Arial" w:cs="Arial"/>
          <w:b/>
          <w:color w:val="000000" w:themeColor="text1"/>
          <w:szCs w:val="21"/>
          <w14:textFill>
            <w14:solidFill>
              <w14:schemeClr w14:val="tx1"/>
            </w14:solidFill>
          </w14:textFill>
        </w:rPr>
      </w:pPr>
    </w:p>
    <w:p w14:paraId="1E234ED2">
      <w:pPr>
        <w:spacing w:line="360" w:lineRule="auto"/>
        <w:ind w:firstLine="3584" w:firstLineChars="1700"/>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中小企业声明函（货物）</w:t>
      </w:r>
    </w:p>
    <w:p w14:paraId="2A6BC0E1">
      <w:pPr>
        <w:spacing w:line="360" w:lineRule="auto"/>
        <w:ind w:firstLine="420"/>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本公司（联合体）郑重声明，根据《政府采购促进中小企业发展管理办法》（财库﹝2020﹞46 号）的规定，本公司（联合体）参加</w:t>
      </w:r>
      <w:r>
        <w:rPr>
          <w:rFonts w:ascii="Arial" w:hAnsi="Arial" w:cs="Arial"/>
          <w:bCs/>
          <w:color w:val="000000" w:themeColor="text1"/>
          <w:szCs w:val="21"/>
          <w:u w:val="single"/>
          <w14:textFill>
            <w14:solidFill>
              <w14:schemeClr w14:val="tx1"/>
            </w14:solidFill>
          </w14:textFill>
        </w:rPr>
        <w:t>（单位名称）</w:t>
      </w:r>
      <w:r>
        <w:rPr>
          <w:rFonts w:ascii="Arial" w:hAnsi="Arial" w:cs="Arial"/>
          <w:bCs/>
          <w:color w:val="000000" w:themeColor="text1"/>
          <w:szCs w:val="21"/>
          <w14:textFill>
            <w14:solidFill>
              <w14:schemeClr w14:val="tx1"/>
            </w14:solidFill>
          </w14:textFill>
        </w:rPr>
        <w:t>的</w:t>
      </w:r>
      <w:r>
        <w:rPr>
          <w:rFonts w:ascii="Arial" w:hAnsi="Arial" w:cs="Arial"/>
          <w:bCs/>
          <w:color w:val="000000" w:themeColor="text1"/>
          <w:szCs w:val="21"/>
          <w:u w:val="single"/>
          <w14:textFill>
            <w14:solidFill>
              <w14:schemeClr w14:val="tx1"/>
            </w14:solidFill>
          </w14:textFill>
        </w:rPr>
        <w:t>（项目名称）</w:t>
      </w:r>
      <w:r>
        <w:rPr>
          <w:rFonts w:ascii="Arial" w:hAnsi="Arial" w:cs="Arial"/>
          <w:bCs/>
          <w:color w:val="000000" w:themeColor="text1"/>
          <w:szCs w:val="21"/>
          <w14:textFill>
            <w14:solidFill>
              <w14:schemeClr w14:val="tx1"/>
            </w14:solidFill>
          </w14:textFill>
        </w:rPr>
        <w:t>采购活动，提供的货物全部由符合政策要求的中小企业制造。相关企业（含联合体中的中小企业、签订分包意向协议的中小企业） 的具体情况如下：</w:t>
      </w:r>
    </w:p>
    <w:p w14:paraId="280A53C0">
      <w:pPr>
        <w:spacing w:line="360" w:lineRule="auto"/>
        <w:ind w:firstLine="420"/>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1.</w:t>
      </w:r>
      <w:r>
        <w:rPr>
          <w:rFonts w:ascii="Arial" w:hAnsi="Arial" w:cs="Arial"/>
          <w:bCs/>
          <w:color w:val="000000" w:themeColor="text1"/>
          <w:szCs w:val="21"/>
          <w:u w:val="single"/>
          <w14:textFill>
            <w14:solidFill>
              <w14:schemeClr w14:val="tx1"/>
            </w14:solidFill>
          </w14:textFill>
        </w:rPr>
        <w:t>（标的名称）</w:t>
      </w:r>
      <w:r>
        <w:rPr>
          <w:rFonts w:ascii="Arial" w:hAnsi="Arial" w:cs="Arial"/>
          <w:bCs/>
          <w:color w:val="000000" w:themeColor="text1"/>
          <w:szCs w:val="21"/>
          <w14:textFill>
            <w14:solidFill>
              <w14:schemeClr w14:val="tx1"/>
            </w14:solidFill>
          </w14:textFill>
        </w:rPr>
        <w:t>，属于</w:t>
      </w:r>
      <w:r>
        <w:rPr>
          <w:rFonts w:ascii="Arial" w:hAnsi="Arial" w:cs="Arial"/>
          <w:bCs/>
          <w:color w:val="000000" w:themeColor="text1"/>
          <w:szCs w:val="21"/>
          <w:u w:val="single"/>
          <w14:textFill>
            <w14:solidFill>
              <w14:schemeClr w14:val="tx1"/>
            </w14:solidFill>
          </w14:textFill>
        </w:rPr>
        <w:t>（招标文件中明确的所属行业）</w:t>
      </w:r>
      <w:r>
        <w:rPr>
          <w:rFonts w:ascii="Arial" w:hAnsi="Arial" w:cs="Arial"/>
          <w:bCs/>
          <w:color w:val="000000" w:themeColor="text1"/>
          <w:szCs w:val="21"/>
          <w14:textFill>
            <w14:solidFill>
              <w14:schemeClr w14:val="tx1"/>
            </w14:solidFill>
          </w14:textFill>
        </w:rPr>
        <w:t>行业；制造商为</w:t>
      </w:r>
      <w:r>
        <w:rPr>
          <w:rFonts w:ascii="Arial" w:hAnsi="Arial" w:cs="Arial"/>
          <w:bCs/>
          <w:color w:val="000000" w:themeColor="text1"/>
          <w:szCs w:val="21"/>
          <w:u w:val="single"/>
          <w14:textFill>
            <w14:solidFill>
              <w14:schemeClr w14:val="tx1"/>
            </w14:solidFill>
          </w14:textFill>
        </w:rPr>
        <w:t>（企业名称）</w:t>
      </w:r>
      <w:r>
        <w:rPr>
          <w:rFonts w:ascii="Arial" w:hAnsi="Arial" w:cs="Arial"/>
          <w:bCs/>
          <w:color w:val="000000" w:themeColor="text1"/>
          <w:szCs w:val="21"/>
          <w14:textFill>
            <w14:solidFill>
              <w14:schemeClr w14:val="tx1"/>
            </w14:solidFill>
          </w14:textFill>
        </w:rPr>
        <w:t>，从业人员</w:t>
      </w:r>
      <w:r>
        <w:rPr>
          <w:rFonts w:ascii="Arial" w:hAnsi="Arial" w:cs="Arial"/>
          <w:bCs/>
          <w:color w:val="000000" w:themeColor="text1"/>
          <w:szCs w:val="21"/>
          <w:u w:val="single"/>
          <w14:textFill>
            <w14:solidFill>
              <w14:schemeClr w14:val="tx1"/>
            </w14:solidFill>
          </w14:textFill>
        </w:rPr>
        <w:t xml:space="preserve">    </w:t>
      </w:r>
      <w:r>
        <w:rPr>
          <w:rFonts w:ascii="Arial" w:hAnsi="Arial" w:cs="Arial"/>
          <w:bCs/>
          <w:color w:val="000000" w:themeColor="text1"/>
          <w:szCs w:val="21"/>
          <w14:textFill>
            <w14:solidFill>
              <w14:schemeClr w14:val="tx1"/>
            </w14:solidFill>
          </w14:textFill>
        </w:rPr>
        <w:t>人，营业收入为</w:t>
      </w:r>
      <w:r>
        <w:rPr>
          <w:rFonts w:ascii="Arial" w:hAnsi="Arial" w:cs="Arial"/>
          <w:bCs/>
          <w:color w:val="000000" w:themeColor="text1"/>
          <w:szCs w:val="21"/>
          <w:u w:val="single"/>
          <w14:textFill>
            <w14:solidFill>
              <w14:schemeClr w14:val="tx1"/>
            </w14:solidFill>
          </w14:textFill>
        </w:rPr>
        <w:t xml:space="preserve">    </w:t>
      </w:r>
      <w:r>
        <w:rPr>
          <w:rFonts w:ascii="Arial" w:hAnsi="Arial" w:cs="Arial"/>
          <w:bCs/>
          <w:color w:val="000000" w:themeColor="text1"/>
          <w:szCs w:val="21"/>
          <w14:textFill>
            <w14:solidFill>
              <w14:schemeClr w14:val="tx1"/>
            </w14:solidFill>
          </w14:textFill>
        </w:rPr>
        <w:t>万元，资产总额为</w:t>
      </w:r>
      <w:r>
        <w:rPr>
          <w:rFonts w:ascii="Arial" w:hAnsi="Arial" w:cs="Arial"/>
          <w:bCs/>
          <w:color w:val="000000" w:themeColor="text1"/>
          <w:szCs w:val="21"/>
          <w:u w:val="single"/>
          <w14:textFill>
            <w14:solidFill>
              <w14:schemeClr w14:val="tx1"/>
            </w14:solidFill>
          </w14:textFill>
        </w:rPr>
        <w:t xml:space="preserve">    </w:t>
      </w:r>
      <w:r>
        <w:rPr>
          <w:rFonts w:ascii="Arial" w:hAnsi="Arial" w:cs="Arial"/>
          <w:bCs/>
          <w:color w:val="000000" w:themeColor="text1"/>
          <w:szCs w:val="21"/>
          <w14:textFill>
            <w14:solidFill>
              <w14:schemeClr w14:val="tx1"/>
            </w14:solidFill>
          </w14:textFill>
        </w:rPr>
        <w:t>万元，属于</w:t>
      </w:r>
      <w:r>
        <w:rPr>
          <w:rFonts w:ascii="Arial" w:hAnsi="Arial" w:cs="Arial"/>
          <w:bCs/>
          <w:color w:val="000000" w:themeColor="text1"/>
          <w:szCs w:val="21"/>
          <w:u w:val="single"/>
          <w14:textFill>
            <w14:solidFill>
              <w14:schemeClr w14:val="tx1"/>
            </w14:solidFill>
          </w14:textFill>
        </w:rPr>
        <w:t>（中型企业、小型企业、微型企业）</w:t>
      </w:r>
      <w:r>
        <w:rPr>
          <w:rFonts w:ascii="Arial" w:hAnsi="Arial" w:cs="Arial"/>
          <w:bCs/>
          <w:color w:val="000000" w:themeColor="text1"/>
          <w:szCs w:val="21"/>
          <w14:textFill>
            <w14:solidFill>
              <w14:schemeClr w14:val="tx1"/>
            </w14:solidFill>
          </w14:textFill>
        </w:rPr>
        <w:t>；</w:t>
      </w:r>
    </w:p>
    <w:p w14:paraId="01CAD518">
      <w:pPr>
        <w:spacing w:line="360" w:lineRule="auto"/>
        <w:ind w:firstLine="420"/>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2.</w:t>
      </w:r>
      <w:r>
        <w:rPr>
          <w:rFonts w:ascii="Arial" w:hAnsi="Arial" w:cs="Arial"/>
          <w:bCs/>
          <w:color w:val="000000" w:themeColor="text1"/>
          <w:szCs w:val="21"/>
          <w:u w:val="single"/>
          <w14:textFill>
            <w14:solidFill>
              <w14:schemeClr w14:val="tx1"/>
            </w14:solidFill>
          </w14:textFill>
        </w:rPr>
        <w:t>（标的名称）</w:t>
      </w:r>
      <w:r>
        <w:rPr>
          <w:rFonts w:ascii="Arial" w:hAnsi="Arial" w:cs="Arial"/>
          <w:bCs/>
          <w:color w:val="000000" w:themeColor="text1"/>
          <w:szCs w:val="21"/>
          <w14:textFill>
            <w14:solidFill>
              <w14:schemeClr w14:val="tx1"/>
            </w14:solidFill>
          </w14:textFill>
        </w:rPr>
        <w:t>，属于</w:t>
      </w:r>
      <w:r>
        <w:rPr>
          <w:rFonts w:ascii="Arial" w:hAnsi="Arial" w:cs="Arial"/>
          <w:bCs/>
          <w:color w:val="000000" w:themeColor="text1"/>
          <w:szCs w:val="21"/>
          <w:u w:val="single"/>
          <w14:textFill>
            <w14:solidFill>
              <w14:schemeClr w14:val="tx1"/>
            </w14:solidFill>
          </w14:textFill>
        </w:rPr>
        <w:t>（招标文件中明确的所属行业）</w:t>
      </w:r>
      <w:r>
        <w:rPr>
          <w:rFonts w:ascii="Arial" w:hAnsi="Arial" w:cs="Arial"/>
          <w:bCs/>
          <w:color w:val="000000" w:themeColor="text1"/>
          <w:szCs w:val="21"/>
          <w14:textFill>
            <w14:solidFill>
              <w14:schemeClr w14:val="tx1"/>
            </w14:solidFill>
          </w14:textFill>
        </w:rPr>
        <w:t>行业；制造商为</w:t>
      </w:r>
      <w:r>
        <w:rPr>
          <w:rFonts w:ascii="Arial" w:hAnsi="Arial" w:cs="Arial"/>
          <w:bCs/>
          <w:color w:val="000000" w:themeColor="text1"/>
          <w:szCs w:val="21"/>
          <w:u w:val="single"/>
          <w14:textFill>
            <w14:solidFill>
              <w14:schemeClr w14:val="tx1"/>
            </w14:solidFill>
          </w14:textFill>
        </w:rPr>
        <w:t>（企业名称）</w:t>
      </w:r>
      <w:r>
        <w:rPr>
          <w:rFonts w:ascii="Arial" w:hAnsi="Arial" w:cs="Arial"/>
          <w:bCs/>
          <w:color w:val="000000" w:themeColor="text1"/>
          <w:szCs w:val="21"/>
          <w14:textFill>
            <w14:solidFill>
              <w14:schemeClr w14:val="tx1"/>
            </w14:solidFill>
          </w14:textFill>
        </w:rPr>
        <w:t>，从业人员</w:t>
      </w:r>
      <w:r>
        <w:rPr>
          <w:rFonts w:ascii="Arial" w:hAnsi="Arial" w:cs="Arial"/>
          <w:bCs/>
          <w:color w:val="000000" w:themeColor="text1"/>
          <w:szCs w:val="21"/>
          <w:u w:val="single"/>
          <w14:textFill>
            <w14:solidFill>
              <w14:schemeClr w14:val="tx1"/>
            </w14:solidFill>
          </w14:textFill>
        </w:rPr>
        <w:t xml:space="preserve">       </w:t>
      </w:r>
      <w:r>
        <w:rPr>
          <w:rFonts w:ascii="Arial" w:hAnsi="Arial" w:cs="Arial"/>
          <w:bCs/>
          <w:color w:val="000000" w:themeColor="text1"/>
          <w:szCs w:val="21"/>
          <w14:textFill>
            <w14:solidFill>
              <w14:schemeClr w14:val="tx1"/>
            </w14:solidFill>
          </w14:textFill>
        </w:rPr>
        <w:t>人，营业收入为</w:t>
      </w:r>
      <w:r>
        <w:rPr>
          <w:rFonts w:ascii="Arial" w:hAnsi="Arial" w:cs="Arial"/>
          <w:bCs/>
          <w:color w:val="000000" w:themeColor="text1"/>
          <w:szCs w:val="21"/>
          <w:u w:val="single"/>
          <w14:textFill>
            <w14:solidFill>
              <w14:schemeClr w14:val="tx1"/>
            </w14:solidFill>
          </w14:textFill>
        </w:rPr>
        <w:t xml:space="preserve">     </w:t>
      </w:r>
      <w:r>
        <w:rPr>
          <w:rFonts w:ascii="Arial" w:hAnsi="Arial" w:cs="Arial"/>
          <w:bCs/>
          <w:color w:val="000000" w:themeColor="text1"/>
          <w:szCs w:val="21"/>
          <w14:textFill>
            <w14:solidFill>
              <w14:schemeClr w14:val="tx1"/>
            </w14:solidFill>
          </w14:textFill>
        </w:rPr>
        <w:t>万元，资产总额为</w:t>
      </w:r>
      <w:r>
        <w:rPr>
          <w:rFonts w:ascii="Arial" w:hAnsi="Arial" w:cs="Arial"/>
          <w:bCs/>
          <w:color w:val="000000" w:themeColor="text1"/>
          <w:szCs w:val="21"/>
          <w:u w:val="single"/>
          <w14:textFill>
            <w14:solidFill>
              <w14:schemeClr w14:val="tx1"/>
            </w14:solidFill>
          </w14:textFill>
        </w:rPr>
        <w:t xml:space="preserve">       </w:t>
      </w:r>
      <w:r>
        <w:rPr>
          <w:rFonts w:ascii="Arial" w:hAnsi="Arial" w:cs="Arial"/>
          <w:bCs/>
          <w:color w:val="000000" w:themeColor="text1"/>
          <w:szCs w:val="21"/>
          <w14:textFill>
            <w14:solidFill>
              <w14:schemeClr w14:val="tx1"/>
            </w14:solidFill>
          </w14:textFill>
        </w:rPr>
        <w:t>万元，属于</w:t>
      </w:r>
      <w:r>
        <w:rPr>
          <w:rFonts w:ascii="Arial" w:hAnsi="Arial" w:cs="Arial"/>
          <w:bCs/>
          <w:color w:val="000000" w:themeColor="text1"/>
          <w:szCs w:val="21"/>
          <w:u w:val="single"/>
          <w14:textFill>
            <w14:solidFill>
              <w14:schemeClr w14:val="tx1"/>
            </w14:solidFill>
          </w14:textFill>
        </w:rPr>
        <w:t>（中型企业、小型企业、微型企业）</w:t>
      </w:r>
      <w:r>
        <w:rPr>
          <w:rFonts w:ascii="Arial" w:hAnsi="Arial" w:cs="Arial"/>
          <w:bCs/>
          <w:color w:val="000000" w:themeColor="text1"/>
          <w:szCs w:val="21"/>
          <w14:textFill>
            <w14:solidFill>
              <w14:schemeClr w14:val="tx1"/>
            </w14:solidFill>
          </w14:textFill>
        </w:rPr>
        <w:t>；</w:t>
      </w:r>
    </w:p>
    <w:p w14:paraId="5438CCB2">
      <w:pPr>
        <w:spacing w:line="360" w:lineRule="auto"/>
        <w:ind w:firstLine="420"/>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w:t>
      </w:r>
    </w:p>
    <w:p w14:paraId="54528269">
      <w:pPr>
        <w:spacing w:line="360" w:lineRule="auto"/>
        <w:ind w:firstLine="420"/>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以上企业，不属于大企业的分支机构，不存在控股股东为大企业的情形，也不存在与大企业的负责人为同一人的情形。</w:t>
      </w:r>
    </w:p>
    <w:p w14:paraId="46EF7A9C">
      <w:pPr>
        <w:spacing w:line="360" w:lineRule="auto"/>
        <w:ind w:firstLine="420"/>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本企业对上述声明内容的真实性负责。如有虚假，将依法承担相应责任。</w:t>
      </w:r>
    </w:p>
    <w:p w14:paraId="729629AA">
      <w:pPr>
        <w:spacing w:line="360" w:lineRule="auto"/>
        <w:ind w:firstLine="3150" w:firstLineChars="1500"/>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企业名称</w:t>
      </w:r>
      <w:r>
        <w:rPr>
          <w:rFonts w:ascii="Arial" w:hAnsi="Arial" w:cs="Arial"/>
          <w:color w:val="000000" w:themeColor="text1"/>
          <w:szCs w:val="21"/>
          <w14:textFill>
            <w14:solidFill>
              <w14:schemeClr w14:val="tx1"/>
            </w14:solidFill>
          </w14:textFill>
        </w:rPr>
        <w:t xml:space="preserve"> (电子签章)</w:t>
      </w:r>
      <w:r>
        <w:rPr>
          <w:rFonts w:ascii="Arial" w:hAnsi="Arial" w:cs="Arial"/>
          <w:bCs/>
          <w:color w:val="000000" w:themeColor="text1"/>
          <w:szCs w:val="21"/>
          <w14:textFill>
            <w14:solidFill>
              <w14:schemeClr w14:val="tx1"/>
            </w14:solidFill>
          </w14:textFill>
        </w:rPr>
        <w:t>：    日期：</w:t>
      </w:r>
    </w:p>
    <w:p w14:paraId="7BC3181C">
      <w:pPr>
        <w:spacing w:line="360" w:lineRule="auto"/>
        <w:jc w:val="left"/>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注：</w:t>
      </w:r>
    </w:p>
    <w:p w14:paraId="1BF37CBE">
      <w:pPr>
        <w:spacing w:line="360" w:lineRule="auto"/>
        <w:jc w:val="left"/>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（1）标的名称按照第二章采购需求一览表中的货物名称填写，</w:t>
      </w:r>
      <w:r>
        <w:rPr>
          <w:rFonts w:ascii="Arial" w:hAnsi="Arial" w:cs="Arial"/>
          <w:color w:val="000000" w:themeColor="text1"/>
          <w:szCs w:val="21"/>
          <w14:textFill>
            <w14:solidFill>
              <w14:schemeClr w14:val="tx1"/>
            </w14:solidFill>
          </w14:textFill>
        </w:rPr>
        <w:t>所属行业标明“/”的</w:t>
      </w:r>
      <w:r>
        <w:rPr>
          <w:rFonts w:ascii="Arial" w:hAnsi="Arial" w:cs="Arial"/>
          <w:bCs/>
          <w:color w:val="000000" w:themeColor="text1"/>
          <w:szCs w:val="21"/>
          <w14:textFill>
            <w14:solidFill>
              <w14:schemeClr w14:val="tx1"/>
            </w14:solidFill>
          </w14:textFill>
        </w:rPr>
        <w:t>，无需在上表填写。</w:t>
      </w:r>
    </w:p>
    <w:p w14:paraId="790CDD77">
      <w:pPr>
        <w:spacing w:line="360" w:lineRule="auto"/>
        <w:jc w:val="left"/>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（2）如供应商为联合体或分包的，声明函中“项目名称”应填写联合体中小微企业承担的具体内容或者小微企业具体分包内容。</w:t>
      </w:r>
    </w:p>
    <w:p w14:paraId="43E279E2">
      <w:pPr>
        <w:spacing w:line="360" w:lineRule="auto"/>
        <w:jc w:val="left"/>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（3）从业人员、营业收入、资产总额填报上一年度数据，无上一年度数据的新成立企业参照国务院批准的中小企业划分标准，根据企业自身情况如实判断。</w:t>
      </w:r>
    </w:p>
    <w:p w14:paraId="2E800864">
      <w:pPr>
        <w:spacing w:line="360" w:lineRule="auto"/>
        <w:jc w:val="left"/>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4）根据工业和信息化部对“从业人员”定义的答复，《民法典》、《公司法》等法律规定，分公司不具有法人资格，其民事责任由总公司承担。企业划型时，应将分公司的从业人员、营业收入、资产总额等指标数据纳入合并计算。</w:t>
      </w:r>
    </w:p>
    <w:p w14:paraId="3306926B">
      <w:pPr>
        <w:spacing w:line="360" w:lineRule="auto"/>
        <w:jc w:val="left"/>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（5）根据国际统计局《劳动工资统计报表制度》，从业人员数是指本单位工作，并取得工资活其他形式劳动报酬的人员数，是在岗职工、劳务派遣人员及其他从业人员之和。</w:t>
      </w:r>
    </w:p>
    <w:p w14:paraId="1BA385B9">
      <w:pPr>
        <w:spacing w:line="360" w:lineRule="auto"/>
        <w:jc w:val="left"/>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（6）本声明函由供应商填写，供应商应按中小企业划分标准《关于印发中小企业划型标准规定的通知》（工信部联企业〔2011〕300号</w:t>
      </w:r>
      <w:r>
        <w:rPr>
          <w:rFonts w:ascii="Arial" w:hAnsi="Arial" w:cs="Arial"/>
          <w:color w:val="000000" w:themeColor="text1"/>
          <w:szCs w:val="21"/>
          <w14:textFill>
            <w14:solidFill>
              <w14:schemeClr w14:val="tx1"/>
            </w14:solidFill>
          </w14:textFill>
        </w:rPr>
        <w:t>以及《金融业企业划型标准规定》（银发〔2015〕309号）</w:t>
      </w:r>
      <w:r>
        <w:rPr>
          <w:rFonts w:ascii="Arial" w:hAnsi="Arial" w:cs="Arial"/>
          <w:bCs/>
          <w:color w:val="000000" w:themeColor="text1"/>
          <w:szCs w:val="21"/>
          <w14:textFill>
            <w14:solidFill>
              <w14:schemeClr w14:val="tx1"/>
            </w14:solidFill>
          </w14:textFill>
        </w:rPr>
        <w:t>）判断是否为中小企业。</w:t>
      </w:r>
    </w:p>
    <w:p w14:paraId="4ED3ED06">
      <w:pPr>
        <w:spacing w:line="360" w:lineRule="auto"/>
        <w:jc w:val="left"/>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（7）供应商对《中小企业声明函》的真实性负责，如有虚假则需承担不利后果。依法享受中小企业优惠政策的，采购人或采购代理机构在公告成交结果时，同时公告其《中小企业声明函》，接受社会监督。</w:t>
      </w:r>
    </w:p>
    <w:p w14:paraId="43DD390E">
      <w:pPr>
        <w:spacing w:line="360" w:lineRule="auto"/>
        <w:jc w:val="left"/>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8）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19A84F8A">
      <w:pPr>
        <w:snapToGrid w:val="0"/>
        <w:spacing w:before="50" w:after="120" w:afterLines="50"/>
        <w:jc w:val="left"/>
        <w:rPr>
          <w:rFonts w:ascii="Arial" w:hAnsi="Arial" w:cs="Arial"/>
          <w:color w:val="000000" w:themeColor="text1"/>
          <w:szCs w:val="21"/>
          <w14:textFill>
            <w14:solidFill>
              <w14:schemeClr w14:val="tx1"/>
            </w14:solidFill>
          </w14:textFill>
        </w:rPr>
      </w:pPr>
    </w:p>
    <w:p w14:paraId="7F63D172">
      <w:pPr>
        <w:snapToGrid w:val="0"/>
        <w:spacing w:before="50" w:after="120" w:afterLines="50"/>
        <w:jc w:val="left"/>
        <w:rPr>
          <w:rFonts w:ascii="Arial" w:hAnsi="Arial" w:cs="Arial"/>
          <w:color w:val="000000" w:themeColor="text1"/>
          <w:szCs w:val="21"/>
          <w14:textFill>
            <w14:solidFill>
              <w14:schemeClr w14:val="tx1"/>
            </w14:solidFill>
          </w14:textFill>
        </w:rPr>
      </w:pPr>
    </w:p>
    <w:p w14:paraId="6FC755CC">
      <w:pPr>
        <w:snapToGrid w:val="0"/>
        <w:spacing w:before="50" w:after="120" w:afterLines="50"/>
        <w:jc w:val="left"/>
        <w:rPr>
          <w:rFonts w:ascii="Arial" w:hAnsi="Arial" w:cs="Arial"/>
          <w:color w:val="000000" w:themeColor="text1"/>
          <w:szCs w:val="21"/>
          <w14:textFill>
            <w14:solidFill>
              <w14:schemeClr w14:val="tx1"/>
            </w14:solidFill>
          </w14:textFill>
        </w:rPr>
      </w:pPr>
    </w:p>
    <w:p w14:paraId="7073B7C9">
      <w:pPr>
        <w:snapToGrid w:val="0"/>
        <w:spacing w:before="50" w:after="120" w:afterLines="50"/>
        <w:jc w:val="left"/>
        <w:rPr>
          <w:rFonts w:ascii="Arial" w:hAnsi="Arial" w:cs="Arial"/>
          <w:color w:val="000000" w:themeColor="text1"/>
          <w:szCs w:val="21"/>
          <w14:textFill>
            <w14:solidFill>
              <w14:schemeClr w14:val="tx1"/>
            </w14:solidFill>
          </w14:textFill>
        </w:rPr>
      </w:pPr>
    </w:p>
    <w:p w14:paraId="1F08C419">
      <w:pPr>
        <w:snapToGrid w:val="0"/>
        <w:spacing w:before="50" w:after="120" w:afterLines="5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4.2监狱企业须提供最新一期《XX省监狱企业产品目录》或其他监狱企业证明材料。（非监狱企业无需提供）</w:t>
      </w:r>
    </w:p>
    <w:p w14:paraId="4E0F2A71">
      <w:pPr>
        <w:snapToGrid w:val="0"/>
        <w:spacing w:before="50" w:after="120" w:afterLines="50"/>
        <w:jc w:val="left"/>
        <w:rPr>
          <w:rFonts w:ascii="Arial" w:hAnsi="Arial" w:cs="Arial"/>
          <w:color w:val="000000" w:themeColor="text1"/>
          <w:szCs w:val="21"/>
          <w14:textFill>
            <w14:solidFill>
              <w14:schemeClr w14:val="tx1"/>
            </w14:solidFill>
          </w14:textFill>
        </w:rPr>
      </w:pPr>
    </w:p>
    <w:p w14:paraId="670930D2">
      <w:pPr>
        <w:snapToGrid w:val="0"/>
        <w:spacing w:before="50" w:after="120" w:afterLines="50"/>
        <w:jc w:val="left"/>
        <w:rPr>
          <w:rFonts w:ascii="Arial" w:hAnsi="Arial" w:cs="Arial"/>
          <w:color w:val="000000" w:themeColor="text1"/>
          <w:szCs w:val="21"/>
          <w14:textFill>
            <w14:solidFill>
              <w14:schemeClr w14:val="tx1"/>
            </w14:solidFill>
          </w14:textFill>
        </w:rPr>
      </w:pPr>
    </w:p>
    <w:p w14:paraId="4AE6D17C">
      <w:pPr>
        <w:snapToGrid w:val="0"/>
        <w:spacing w:before="50" w:after="120" w:afterLines="50"/>
        <w:jc w:val="left"/>
        <w:rPr>
          <w:rFonts w:ascii="Arial" w:hAnsi="Arial" w:cs="Arial"/>
          <w:color w:val="000000" w:themeColor="text1"/>
          <w:szCs w:val="21"/>
          <w14:textFill>
            <w14:solidFill>
              <w14:schemeClr w14:val="tx1"/>
            </w14:solidFill>
          </w14:textFill>
        </w:rPr>
      </w:pPr>
    </w:p>
    <w:p w14:paraId="2F48C1DE">
      <w:pPr>
        <w:snapToGrid w:val="0"/>
        <w:spacing w:before="50" w:after="120" w:afterLines="50"/>
        <w:jc w:val="left"/>
        <w:rPr>
          <w:rFonts w:ascii="Arial" w:hAnsi="Arial" w:cs="Arial"/>
          <w:color w:val="000000" w:themeColor="text1"/>
          <w14:textFill>
            <w14:solidFill>
              <w14:schemeClr w14:val="tx1"/>
            </w14:solidFill>
          </w14:textFill>
        </w:rPr>
      </w:pPr>
      <w:r>
        <w:rPr>
          <w:rFonts w:ascii="Arial" w:hAnsi="Arial" w:cs="Arial"/>
          <w:color w:val="000000" w:themeColor="text1"/>
          <w:szCs w:val="21"/>
          <w14:textFill>
            <w14:solidFill>
              <w14:schemeClr w14:val="tx1"/>
            </w14:solidFill>
          </w14:textFill>
        </w:rPr>
        <w:t>4.3</w:t>
      </w:r>
      <w:bookmarkStart w:id="180" w:name="_Hlk19051624"/>
      <w:r>
        <w:rPr>
          <w:rFonts w:ascii="Arial" w:hAnsi="Arial" w:cs="Arial"/>
          <w:color w:val="000000" w:themeColor="text1"/>
          <w14:textFill>
            <w14:solidFill>
              <w14:schemeClr w14:val="tx1"/>
            </w14:solidFill>
          </w14:textFill>
        </w:rPr>
        <w:t>残疾人福利性单位须提供《残疾人福利性单位声明函》，格式如下。</w:t>
      </w:r>
      <w:r>
        <w:rPr>
          <w:rFonts w:ascii="Arial" w:hAnsi="Arial" w:cs="Arial"/>
          <w:color w:val="000000" w:themeColor="text1"/>
          <w:szCs w:val="21"/>
          <w14:textFill>
            <w14:solidFill>
              <w14:schemeClr w14:val="tx1"/>
            </w14:solidFill>
          </w14:textFill>
        </w:rPr>
        <w:t>（非残疾人福利性单位无需提供）</w:t>
      </w:r>
    </w:p>
    <w:bookmarkEnd w:id="180"/>
    <w:p w14:paraId="385BEE71">
      <w:pPr>
        <w:spacing w:line="360" w:lineRule="auto"/>
        <w:jc w:val="center"/>
        <w:rPr>
          <w:rFonts w:ascii="Arial" w:hAnsi="Arial" w:cs="Arial"/>
          <w:b/>
          <w:color w:val="000000" w:themeColor="text1"/>
          <w:szCs w:val="21"/>
          <w14:textFill>
            <w14:solidFill>
              <w14:schemeClr w14:val="tx1"/>
            </w14:solidFill>
          </w14:textFill>
        </w:rPr>
      </w:pPr>
    </w:p>
    <w:p w14:paraId="3697243A">
      <w:pPr>
        <w:spacing w:line="360" w:lineRule="auto"/>
        <w:jc w:val="center"/>
        <w:rPr>
          <w:rFonts w:ascii="Arial" w:hAnsi="Arial" w:cs="Arial"/>
          <w:b/>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残疾人福利性单位声明函</w:t>
      </w:r>
    </w:p>
    <w:p w14:paraId="16B88A24">
      <w:pPr>
        <w:spacing w:line="360" w:lineRule="auto"/>
        <w:ind w:firstLine="420"/>
        <w:jc w:val="left"/>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rFonts w:ascii="Arial" w:hAnsi="Arial" w:cs="Arial"/>
          <w:color w:val="000000" w:themeColor="text1"/>
          <w:szCs w:val="21"/>
          <w:u w:val="single"/>
          <w14:textFill>
            <w14:solidFill>
              <w14:schemeClr w14:val="tx1"/>
            </w14:solidFill>
          </w14:textFill>
        </w:rPr>
        <w:t xml:space="preserve">        </w:t>
      </w:r>
      <w:r>
        <w:rPr>
          <w:rFonts w:ascii="Arial" w:hAnsi="Arial" w:cs="Arial"/>
          <w:color w:val="000000" w:themeColor="text1"/>
          <w:szCs w:val="21"/>
          <w14:textFill>
            <w14:solidFill>
              <w14:schemeClr w14:val="tx1"/>
            </w14:solidFill>
          </w14:textFill>
        </w:rPr>
        <w:t>单位的</w:t>
      </w:r>
      <w:r>
        <w:rPr>
          <w:rFonts w:ascii="Arial" w:hAnsi="Arial" w:cs="Arial"/>
          <w:color w:val="000000" w:themeColor="text1"/>
          <w:szCs w:val="21"/>
          <w:u w:val="single"/>
          <w14:textFill>
            <w14:solidFill>
              <w14:schemeClr w14:val="tx1"/>
            </w14:solidFill>
          </w14:textFill>
        </w:rPr>
        <w:t xml:space="preserve">           </w:t>
      </w:r>
      <w:r>
        <w:rPr>
          <w:rFonts w:ascii="Arial" w:hAnsi="Arial" w:cs="Arial"/>
          <w:color w:val="000000" w:themeColor="text1"/>
          <w:szCs w:val="21"/>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14:paraId="676C24EB">
      <w:pPr>
        <w:spacing w:line="360" w:lineRule="auto"/>
        <w:ind w:firstLine="420"/>
        <w:rPr>
          <w:rFonts w:ascii="Arial" w:hAnsi="Arial" w:cs="Arial"/>
          <w:color w:val="000000" w:themeColor="text1"/>
          <w:szCs w:val="21"/>
          <w14:textFill>
            <w14:solidFill>
              <w14:schemeClr w14:val="tx1"/>
            </w14:solidFill>
          </w14:textFill>
        </w:rPr>
      </w:pPr>
      <w:r>
        <w:rPr>
          <w:rFonts w:ascii="Arial" w:hAnsi="Arial" w:cs="Arial"/>
          <w:color w:val="000000" w:themeColor="text1"/>
          <w:szCs w:val="21"/>
          <w14:textFill>
            <w14:solidFill>
              <w14:schemeClr w14:val="tx1"/>
            </w14:solidFill>
          </w14:textFill>
        </w:rPr>
        <w:t>本单位对上述声明的真实性负责。如有虚假，将依法承担相应责任。</w:t>
      </w:r>
    </w:p>
    <w:p w14:paraId="4047289E">
      <w:pPr>
        <w:spacing w:line="360" w:lineRule="auto"/>
        <w:ind w:firstLine="420"/>
        <w:jc w:val="right"/>
        <w:rPr>
          <w:rFonts w:ascii="Arial" w:hAnsi="Arial" w:cs="Arial"/>
          <w:color w:val="000000" w:themeColor="text1"/>
          <w:spacing w:val="6"/>
          <w:szCs w:val="21"/>
          <w14:textFill>
            <w14:solidFill>
              <w14:schemeClr w14:val="tx1"/>
            </w14:solidFill>
          </w14:textFill>
        </w:rPr>
      </w:pPr>
      <w:r>
        <w:rPr>
          <w:rFonts w:ascii="Arial" w:hAnsi="Arial" w:cs="Arial"/>
          <w:color w:val="000000" w:themeColor="text1"/>
          <w:spacing w:val="6"/>
          <w:sz w:val="30"/>
          <w:szCs w:val="30"/>
          <w14:textFill>
            <w14:solidFill>
              <w14:schemeClr w14:val="tx1"/>
            </w14:solidFill>
          </w14:textFill>
        </w:rPr>
        <w:t xml:space="preserve"> </w:t>
      </w:r>
      <w:r>
        <w:rPr>
          <w:rFonts w:ascii="Arial" w:hAnsi="Arial" w:cs="Arial"/>
          <w:color w:val="000000" w:themeColor="text1"/>
          <w:spacing w:val="6"/>
          <w:szCs w:val="21"/>
          <w14:textFill>
            <w14:solidFill>
              <w14:schemeClr w14:val="tx1"/>
            </w14:solidFill>
          </w14:textFill>
        </w:rPr>
        <w:t xml:space="preserve">                                             单位名称</w:t>
      </w:r>
      <w:r>
        <w:rPr>
          <w:rFonts w:ascii="Arial" w:hAnsi="Arial" w:cs="Arial"/>
          <w:color w:val="000000" w:themeColor="text1"/>
          <w:szCs w:val="21"/>
          <w14:textFill>
            <w14:solidFill>
              <w14:schemeClr w14:val="tx1"/>
            </w14:solidFill>
          </w14:textFill>
        </w:rPr>
        <w:t>(电子签章)</w:t>
      </w:r>
      <w:r>
        <w:rPr>
          <w:rFonts w:ascii="Arial" w:hAnsi="Arial" w:cs="Arial"/>
          <w:color w:val="000000" w:themeColor="text1"/>
          <w:spacing w:val="6"/>
          <w:szCs w:val="21"/>
          <w14:textFill>
            <w14:solidFill>
              <w14:schemeClr w14:val="tx1"/>
            </w14:solidFill>
          </w14:textFill>
        </w:rPr>
        <w:t xml:space="preserve">：          </w:t>
      </w:r>
    </w:p>
    <w:p w14:paraId="4EDD7AAB">
      <w:pPr>
        <w:spacing w:line="360" w:lineRule="auto"/>
        <w:ind w:firstLine="420"/>
        <w:jc w:val="right"/>
        <w:rPr>
          <w:rFonts w:ascii="Arial" w:hAnsi="Arial" w:cs="Arial"/>
          <w:color w:val="000000" w:themeColor="text1"/>
          <w:spacing w:val="6"/>
          <w:szCs w:val="21"/>
          <w14:textFill>
            <w14:solidFill>
              <w14:schemeClr w14:val="tx1"/>
            </w14:solidFill>
          </w14:textFill>
        </w:rPr>
      </w:pPr>
      <w:r>
        <w:rPr>
          <w:rFonts w:ascii="Arial" w:hAnsi="Arial" w:cs="Arial"/>
          <w:color w:val="000000" w:themeColor="text1"/>
          <w:spacing w:val="6"/>
          <w:szCs w:val="21"/>
          <w14:textFill>
            <w14:solidFill>
              <w14:schemeClr w14:val="tx1"/>
            </w14:solidFill>
          </w14:textFill>
        </w:rPr>
        <w:t xml:space="preserve">                                                       日  期：</w:t>
      </w:r>
    </w:p>
    <w:p w14:paraId="0202FB62">
      <w:pPr>
        <w:pStyle w:val="21"/>
        <w:rPr>
          <w:rFonts w:ascii="Arial" w:hAnsi="Arial" w:cs="Arial"/>
          <w:color w:val="000000" w:themeColor="text1"/>
          <w14:textFill>
            <w14:solidFill>
              <w14:schemeClr w14:val="tx1"/>
            </w14:solidFill>
          </w14:textFill>
        </w:rPr>
      </w:pPr>
    </w:p>
    <w:p w14:paraId="17D24C4F">
      <w:pPr>
        <w:rPr>
          <w:color w:val="000000" w:themeColor="text1"/>
          <w14:textFill>
            <w14:solidFill>
              <w14:schemeClr w14:val="tx1"/>
            </w14:solidFill>
          </w14:textFill>
        </w:rPr>
      </w:pPr>
      <w:r>
        <w:rPr>
          <w:rFonts w:ascii="Arial" w:hAnsi="Arial" w:cs="Arial"/>
          <w:b/>
          <w:color w:val="000000" w:themeColor="text1"/>
          <w:szCs w:val="21"/>
          <w14:textFill>
            <w14:solidFill>
              <w14:schemeClr w14:val="tx1"/>
            </w14:solidFill>
          </w14:textFill>
        </w:rPr>
        <w:br w:type="page"/>
      </w:r>
    </w:p>
    <w:p w14:paraId="3D80C3F5">
      <w:pPr>
        <w:rPr>
          <w:rFonts w:ascii="Arial" w:hAnsi="Arial" w:cs="Arial"/>
          <w:bCs/>
          <w:color w:val="000000" w:themeColor="text1"/>
          <w:szCs w:val="21"/>
          <w14:textFill>
            <w14:solidFill>
              <w14:schemeClr w14:val="tx1"/>
            </w14:solidFill>
          </w14:textFill>
        </w:rPr>
      </w:pPr>
      <w:r>
        <w:rPr>
          <w:rFonts w:hint="eastAsia" w:ascii="Arial" w:hAnsi="Arial" w:cs="Arial"/>
          <w:bCs/>
          <w:color w:val="000000" w:themeColor="text1"/>
          <w:szCs w:val="21"/>
          <w14:textFill>
            <w14:solidFill>
              <w14:schemeClr w14:val="tx1"/>
            </w14:solidFill>
          </w14:textFill>
        </w:rPr>
        <w:t>4.4如供应商提供的产品属于本国产品，应当提供关于符合本国产品标准的声明函</w:t>
      </w:r>
    </w:p>
    <w:p w14:paraId="74D174A2">
      <w:pPr>
        <w:spacing w:line="360" w:lineRule="auto"/>
        <w:ind w:firstLine="3584" w:firstLineChars="1700"/>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关于符合本国产品标准的声明函</w:t>
      </w:r>
    </w:p>
    <w:p w14:paraId="3E4AD447">
      <w:pPr>
        <w:spacing w:line="360" w:lineRule="auto"/>
        <w:ind w:firstLine="3584" w:firstLineChars="1700"/>
        <w:rPr>
          <w:b/>
          <w:color w:val="000000" w:themeColor="text1"/>
          <w:szCs w:val="21"/>
          <w14:textFill>
            <w14:solidFill>
              <w14:schemeClr w14:val="tx1"/>
            </w14:solidFill>
          </w14:textFill>
        </w:rPr>
      </w:pPr>
    </w:p>
    <w:p w14:paraId="5CA85576">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1C9B45C6">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产品名称1）1，生产厂为（厂名）2，厂址为（生产厂址）。（产品名称1）的中国境内生产的组件成本占比≥（规定比例）3。（产品名称1）的（关键组件）4在中国境内生产。（产品名称1）的（关键工序）5在中国境内完成。</w:t>
      </w:r>
    </w:p>
    <w:p w14:paraId="45AD20EF">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产品名称2），生产厂为（厂名），厂址为（生产厂址）。（产品名称2）的中国境内生产的组件成本占比≥（规定比例）。（产品名称2）的（关键组件）在中国境内生产。（产品名称2）的（关键工序）在中国境内完成。</w:t>
      </w:r>
    </w:p>
    <w:p w14:paraId="3F949350">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p w14:paraId="72BA6EBE">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本公司（单位）对上述声明内容的真实性负责。如有虚假，愿承担相应法律责任。</w:t>
      </w:r>
    </w:p>
    <w:p w14:paraId="533EC904">
      <w:pPr>
        <w:widowControl/>
        <w:spacing w:before="30" w:after="30" w:line="560" w:lineRule="atLeast"/>
        <w:jc w:val="left"/>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w:t>
      </w:r>
    </w:p>
    <w:p w14:paraId="407BAF23">
      <w:pPr>
        <w:widowControl/>
        <w:spacing w:before="30" w:after="30" w:line="560" w:lineRule="atLeast"/>
        <w:jc w:val="right"/>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公司（单位）名称（盖章）：　        </w:t>
      </w:r>
    </w:p>
    <w:p w14:paraId="764291F3">
      <w:pPr>
        <w:widowControl/>
        <w:spacing w:before="30" w:after="30" w:line="560" w:lineRule="atLeast"/>
        <w:jc w:val="right"/>
        <w:textAlignment w:val="baseline"/>
        <w:rPr>
          <w:rFonts w:ascii="Calibri" w:hAnsi="Calibri"/>
          <w:color w:val="000000" w:themeColor="text1"/>
          <w:kern w:val="0"/>
          <w:sz w:val="28"/>
          <w:szCs w:val="28"/>
          <w:lang w:bidi="ar"/>
          <w14:textFill>
            <w14:solidFill>
              <w14:schemeClr w14:val="tx1"/>
            </w14:solidFill>
          </w14:textFill>
        </w:rPr>
      </w:pPr>
      <w:r>
        <w:rPr>
          <w:rFonts w:hint="eastAsia"/>
          <w:color w:val="000000" w:themeColor="text1"/>
          <w:szCs w:val="21"/>
          <w14:textFill>
            <w14:solidFill>
              <w14:schemeClr w14:val="tx1"/>
            </w14:solidFill>
          </w14:textFill>
        </w:rPr>
        <w:t>日期：　     年　  月　  日  </w:t>
      </w:r>
      <w:r>
        <w:rPr>
          <w:rFonts w:hint="eastAsia" w:ascii="仿宋" w:hAnsi="仿宋" w:eastAsia="仿宋" w:cs="仿宋"/>
          <w:color w:val="000000" w:themeColor="text1"/>
          <w:kern w:val="0"/>
          <w:sz w:val="28"/>
          <w:szCs w:val="28"/>
          <w:shd w:val="clear" w:color="auto" w:fill="FFFFFF"/>
          <w:lang w:bidi="ar"/>
          <w14:textFill>
            <w14:solidFill>
              <w14:schemeClr w14:val="tx1"/>
            </w14:solidFill>
          </w14:textFill>
        </w:rPr>
        <w:t>       </w:t>
      </w:r>
    </w:p>
    <w:p w14:paraId="4C2865F7">
      <w:pPr>
        <w:widowControl/>
        <w:spacing w:before="30" w:after="30" w:line="560" w:lineRule="atLeast"/>
        <w:jc w:val="left"/>
        <w:textAlignment w:val="baseline"/>
        <w:rPr>
          <w:rFonts w:ascii="Calibri" w:hAnsi="Calibri"/>
          <w:color w:val="000000" w:themeColor="text1"/>
          <w:kern w:val="0"/>
          <w:sz w:val="28"/>
          <w:szCs w:val="28"/>
          <w:lang w:bidi="ar"/>
          <w14:textFill>
            <w14:solidFill>
              <w14:schemeClr w14:val="tx1"/>
            </w14:solidFill>
          </w14:textFill>
        </w:rPr>
      </w:pPr>
      <w:r>
        <w:rPr>
          <w:rFonts w:hint="eastAsia" w:ascii="仿宋" w:hAnsi="仿宋" w:eastAsia="仿宋" w:cs="仿宋"/>
          <w:color w:val="000000" w:themeColor="text1"/>
          <w:kern w:val="0"/>
          <w:sz w:val="28"/>
          <w:szCs w:val="28"/>
          <w:shd w:val="clear" w:color="auto" w:fill="FFFFFF"/>
          <w:lang w:bidi="ar"/>
          <w14:textFill>
            <w14:solidFill>
              <w14:schemeClr w14:val="tx1"/>
            </w14:solidFill>
          </w14:textFill>
        </w:rPr>
        <w:t>__________________</w:t>
      </w:r>
    </w:p>
    <w:p w14:paraId="50348BA4">
      <w:pPr>
        <w:widowControl/>
        <w:spacing w:before="30" w:after="30" w:line="560" w:lineRule="atLeast"/>
        <w:ind w:firstLine="420"/>
        <w:jc w:val="left"/>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1.产品如有型号，请在“产品名称”栏一并填写。</w:t>
      </w:r>
    </w:p>
    <w:p w14:paraId="2B2DAB8A">
      <w:pPr>
        <w:widowControl/>
        <w:spacing w:before="30" w:after="30" w:line="560" w:lineRule="atLeast"/>
        <w:ind w:firstLine="420"/>
        <w:jc w:val="left"/>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2.生产厂名与厂址应与生产厂营业执照载明的相关信息保持一致。</w:t>
      </w:r>
    </w:p>
    <w:p w14:paraId="62D986B4">
      <w:pPr>
        <w:widowControl/>
        <w:spacing w:before="30" w:after="30" w:line="560" w:lineRule="atLeast"/>
        <w:ind w:firstLine="420"/>
        <w:jc w:val="left"/>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3.该产品的中国境内生产的组件成本占比相关要求实施前，“规定比例”栏可不填，下同。</w:t>
      </w:r>
    </w:p>
    <w:p w14:paraId="4347F0F1">
      <w:pPr>
        <w:widowControl/>
        <w:spacing w:before="30" w:after="30" w:line="560" w:lineRule="atLeast"/>
        <w:ind w:firstLine="420"/>
        <w:jc w:val="left"/>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4.该产品的关键组件要求实施前，“关键组件”栏可不填，下同。</w:t>
      </w:r>
    </w:p>
    <w:p w14:paraId="54E7A39C">
      <w:pPr>
        <w:snapToGrid w:val="0"/>
        <w:spacing w:before="50" w:after="120" w:afterLines="50"/>
        <w:jc w:val="left"/>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5.该产品的关键工序要求实施前，“关键工序”栏可不填，下同</w:t>
      </w:r>
    </w:p>
    <w:p w14:paraId="02AA34D8">
      <w:pP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br w:type="page"/>
      </w:r>
    </w:p>
    <w:p w14:paraId="7419EDF2">
      <w:pP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4.</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5关于符合本国产品标准</w:t>
      </w:r>
      <w:r>
        <w:rPr>
          <w:rFonts w:hint="eastAsia" w:cs="Times New Roman"/>
          <w:color w:val="000000" w:themeColor="text1"/>
          <w:kern w:val="2"/>
          <w:sz w:val="21"/>
          <w:szCs w:val="21"/>
          <w:lang w:val="en-US" w:eastAsia="zh-CN" w:bidi="ar-SA"/>
          <w14:textFill>
            <w14:solidFill>
              <w14:schemeClr w14:val="tx1"/>
            </w14:solidFill>
          </w14:textFill>
        </w:rPr>
        <w:t>的</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成本占比承诺函</w:t>
      </w:r>
      <w:r>
        <w:rPr>
          <w:rFonts w:hint="eastAsia" w:cs="Times New Roman"/>
          <w:color w:val="000000" w:themeColor="text1"/>
          <w:kern w:val="2"/>
          <w:sz w:val="21"/>
          <w:szCs w:val="21"/>
          <w:lang w:val="en-US" w:eastAsia="zh-CN" w:bidi="ar-SA"/>
          <w14:textFill>
            <w14:solidFill>
              <w14:schemeClr w14:val="tx1"/>
            </w14:solidFill>
          </w14:textFill>
        </w:rPr>
        <w:t>（单一产品采购不填写此函，多产品采购项目或采购包如供应商所有产品均为本国产品且填写《关于符合本国产品标准的声明函》可不填写此函。格式内容仅供参考）</w:t>
      </w:r>
    </w:p>
    <w:p w14:paraId="021FE4D1">
      <w:pPr>
        <w:pStyle w:val="21"/>
        <w:rPr>
          <w:rFonts w:hint="eastAsia"/>
          <w:color w:val="000000" w:themeColor="text1"/>
          <w:lang w:val="en-US" w:eastAsia="zh-CN"/>
          <w14:textFill>
            <w14:solidFill>
              <w14:schemeClr w14:val="tx1"/>
            </w14:solidFill>
          </w14:textFill>
        </w:rPr>
      </w:pPr>
    </w:p>
    <w:p w14:paraId="1BF86DF3">
      <w:pPr>
        <w:pStyle w:val="21"/>
        <w:jc w:val="cente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t>关于符合本国产品标准</w:t>
      </w:r>
      <w:r>
        <w:rPr>
          <w:rFonts w:hint="eastAsia" w:cs="Times New Roman"/>
          <w:b/>
          <w:color w:val="000000" w:themeColor="text1"/>
          <w:kern w:val="2"/>
          <w:sz w:val="21"/>
          <w:szCs w:val="21"/>
          <w:lang w:val="en-US" w:eastAsia="zh-CN" w:bidi="ar-SA"/>
          <w14:textFill>
            <w14:solidFill>
              <w14:schemeClr w14:val="tx1"/>
            </w14:solidFill>
          </w14:textFill>
        </w:rPr>
        <w:t>的</w:t>
      </w: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t>成本占比承诺函</w:t>
      </w:r>
    </w:p>
    <w:p w14:paraId="2F9583F3">
      <w:pPr>
        <w:pStyle w:val="21"/>
        <w:rPr>
          <w:rFonts w:hint="default"/>
          <w:color w:val="000000" w:themeColor="text1"/>
          <w:lang w:val="en-US" w:eastAsia="zh-CN"/>
          <w14:textFill>
            <w14:solidFill>
              <w14:schemeClr w14:val="tx1"/>
            </w14:solidFill>
          </w14:textFill>
        </w:rPr>
      </w:pPr>
    </w:p>
    <w:p w14:paraId="1B02CA98">
      <w:pPr>
        <w:pStyle w:val="21"/>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致：[采购人/采购代理机构名称]</w:t>
      </w:r>
    </w:p>
    <w:p w14:paraId="57CC7D7D">
      <w:pPr>
        <w:pStyle w:val="21"/>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p w14:paraId="586402C1">
      <w:pPr>
        <w:pStyle w:val="21"/>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本单位就参与[项目名称、编号]项目，郑重承诺如下：</w:t>
      </w:r>
    </w:p>
    <w:p w14:paraId="4318DAA5">
      <w:pPr>
        <w:pStyle w:val="21"/>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p w14:paraId="039F8D0B">
      <w:pPr>
        <w:pStyle w:val="21"/>
        <w:ind w:firstLine="420" w:firstLineChars="20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本单位为该项目（或采购包）提供的符合本国产品标准的产品成本之和，占所提供全部产品成本之和的比例达到80%以上。本公司（单位）对上述承诺内容的真实性负责。如有虚假，愿承担相应法律责任。</w:t>
      </w:r>
    </w:p>
    <w:p w14:paraId="3B704340">
      <w:pPr>
        <w:pStyle w:val="21"/>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p w14:paraId="58DC5B11">
      <w:pPr>
        <w:pStyle w:val="21"/>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 xml:space="preserve"> </w:t>
      </w:r>
    </w:p>
    <w:p w14:paraId="1D09A427">
      <w:pPr>
        <w:pStyle w:val="21"/>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p w14:paraId="61925803">
      <w:pPr>
        <w:pStyle w:val="21"/>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 xml:space="preserve"> </w:t>
      </w:r>
    </w:p>
    <w:p w14:paraId="67B92C14">
      <w:pPr>
        <w:pStyle w:val="21"/>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p w14:paraId="770AA358">
      <w:pPr>
        <w:pStyle w:val="21"/>
        <w:jc w:val="righ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供应商名称（盖章）：　        </w:t>
      </w:r>
    </w:p>
    <w:p w14:paraId="5326E725">
      <w:pPr>
        <w:pStyle w:val="21"/>
        <w:jc w:val="right"/>
        <w:rPr>
          <w:color w:val="000000" w:themeColor="text1"/>
          <w14:textFill>
            <w14:solidFill>
              <w14:schemeClr w14:val="tx1"/>
            </w14:solidFill>
          </w14:textFill>
        </w:rPr>
        <w:sectPr>
          <w:pgSz w:w="11906" w:h="16838"/>
          <w:pgMar w:top="1418" w:right="1274" w:bottom="1418" w:left="1418" w:header="851" w:footer="992" w:gutter="0"/>
          <w:cols w:space="720" w:num="1"/>
          <w:docGrid w:linePitch="312" w:charSpace="0"/>
        </w:sect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日期：　     年　  月　  日 </w:t>
      </w:r>
    </w:p>
    <w:p w14:paraId="516FFEDE">
      <w:pPr>
        <w:rPr>
          <w:rFonts w:ascii="Arial" w:hAnsi="Arial" w:cs="Arial"/>
          <w:bCs/>
          <w:color w:val="000000" w:themeColor="text1"/>
          <w:szCs w:val="21"/>
          <w14:textFill>
            <w14:solidFill>
              <w14:schemeClr w14:val="tx1"/>
            </w14:solidFill>
          </w14:textFill>
        </w:rPr>
      </w:pPr>
      <w:r>
        <w:rPr>
          <w:rFonts w:ascii="Arial" w:hAnsi="Arial" w:cs="Arial"/>
          <w:bCs/>
          <w:color w:val="000000" w:themeColor="text1"/>
          <w:szCs w:val="21"/>
          <w14:textFill>
            <w14:solidFill>
              <w14:schemeClr w14:val="tx1"/>
            </w14:solidFill>
          </w14:textFill>
        </w:rPr>
        <w:t>5.开标一览表</w:t>
      </w:r>
    </w:p>
    <w:p w14:paraId="20CCF22F">
      <w:pPr>
        <w:rPr>
          <w:rFonts w:ascii="Arial" w:hAnsi="Arial" w:cs="Arial"/>
          <w:b/>
          <w:color w:val="000000" w:themeColor="text1"/>
          <w:szCs w:val="21"/>
          <w14:textFill>
            <w14:solidFill>
              <w14:schemeClr w14:val="tx1"/>
            </w14:solidFill>
          </w14:textFill>
        </w:rPr>
      </w:pPr>
    </w:p>
    <w:p w14:paraId="5D92C7C3">
      <w:pPr>
        <w:ind w:firstLine="422" w:firstLineChars="200"/>
        <w:rPr>
          <w:rFonts w:ascii="Arial" w:hAnsi="Arial" w:cs="Arial"/>
          <w:color w:val="000000" w:themeColor="text1"/>
          <w:szCs w:val="21"/>
          <w14:textFill>
            <w14:solidFill>
              <w14:schemeClr w14:val="tx1"/>
            </w14:solidFill>
          </w14:textFill>
        </w:rPr>
      </w:pPr>
      <w:r>
        <w:rPr>
          <w:rFonts w:ascii="Arial" w:hAnsi="Arial" w:cs="Arial"/>
          <w:b/>
          <w:color w:val="000000" w:themeColor="text1"/>
          <w:szCs w:val="21"/>
          <w14:textFill>
            <w14:solidFill>
              <w14:schemeClr w14:val="tx1"/>
            </w14:solidFill>
          </w14:textFill>
        </w:rPr>
        <w:t>格式详见广西政府采购云平台，且仅在广西政府采购云平台填写即可。</w:t>
      </w:r>
    </w:p>
    <w:sectPr>
      <w:headerReference r:id="rId16" w:type="default"/>
      <w:pgSz w:w="11906" w:h="16838"/>
      <w:pgMar w:top="1418" w:right="608" w:bottom="1246" w:left="10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F"/>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等线">
    <w:panose1 w:val="02010600030101010101"/>
    <w:charset w:val="86"/>
    <w:family w:val="auto"/>
    <w:pitch w:val="default"/>
    <w:sig w:usb0="A00002BF" w:usb1="38CF7CFA" w:usb2="00000016" w:usb3="00000000" w:csb0="0004000F"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6AA9C">
    <w:pPr>
      <w:pStyle w:val="35"/>
      <w:framePr w:wrap="around" w:vAnchor="text" w:hAnchor="margin" w:xAlign="center" w:y="1"/>
      <w:rPr>
        <w:rStyle w:val="58"/>
      </w:rPr>
    </w:pPr>
    <w:r>
      <w:fldChar w:fldCharType="begin"/>
    </w:r>
    <w:r>
      <w:rPr>
        <w:rStyle w:val="58"/>
      </w:rPr>
      <w:instrText xml:space="preserve">PAGE  </w:instrText>
    </w:r>
    <w:r>
      <w:fldChar w:fldCharType="end"/>
    </w:r>
  </w:p>
  <w:p w14:paraId="6DF06734">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0BDA4">
    <w:pPr>
      <w:pStyle w:val="35"/>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656CB">
    <w:pPr>
      <w:pStyle w:val="35"/>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84038">
    <w:pPr>
      <w:pStyle w:val="3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6892B1">
                          <w:pPr>
                            <w:pStyle w:val="35"/>
                          </w:pPr>
                          <w:r>
                            <w:fldChar w:fldCharType="begin"/>
                          </w:r>
                          <w:r>
                            <w:instrText xml:space="preserve"> PAGE  \* MERGEFORMAT </w:instrText>
                          </w:r>
                          <w:r>
                            <w:fldChar w:fldCharType="separate"/>
                          </w:r>
                          <w:r>
                            <w:t>2</w:t>
                          </w:r>
                          <w:r>
                            <w:fldChar w:fldCharType="end"/>
                          </w:r>
                        </w:p>
                      </w:txbxContent>
                    </wps:txbx>
                    <wps:bodyPr vert="horz" wrap="none" lIns="0" tIns="0" rIns="0" bIns="0" anchor="t" anchorCtr="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FbhqRXXAQAAsgMAAA4AAAAAAAAAAQAgAAAA&#10;HgEAAGRycy9lMm9Eb2MueG1sUEsFBgAAAAAGAAYAWQEAAGcFAAAAAA==&#10;">
              <v:fill on="f" focussize="0,0"/>
              <v:stroke on="f"/>
              <v:imagedata o:title=""/>
              <o:lock v:ext="edit" aspectratio="f"/>
              <v:textbox inset="0mm,0mm,0mm,0mm" style="mso-fit-shape-to-text:t;">
                <w:txbxContent>
                  <w:p w14:paraId="356892B1">
                    <w:pPr>
                      <w:pStyle w:val="3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57BD0">
    <w:pPr>
      <w:pStyle w:val="35"/>
      <w:ind w:right="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6E2D9B">
                          <w:pPr>
                            <w:pStyle w:val="35"/>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ONgGEXXAQAAsgMAAA4AAAAAAAAAAQAgAAAA&#10;HgEAAGRycy9lMm9Eb2MueG1sUEsFBgAAAAAGAAYAWQEAAGcFAAAAAA==&#10;">
              <v:fill on="f" focussize="0,0"/>
              <v:stroke on="f"/>
              <v:imagedata o:title=""/>
              <o:lock v:ext="edit" aspectratio="f"/>
              <v:textbox inset="0mm,0mm,0mm,0mm" style="mso-fit-shape-to-text:t;">
                <w:txbxContent>
                  <w:p w14:paraId="506E2D9B">
                    <w:pPr>
                      <w:pStyle w:val="3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8BB83">
    <w:pPr>
      <w:pStyle w:val="3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9050B1">
                          <w:pPr>
                            <w:pStyle w:val="35"/>
                          </w:pPr>
                          <w:r>
                            <w:rPr>
                              <w:rFonts w:hint="eastAsia"/>
                            </w:rPr>
                            <w:fldChar w:fldCharType="begin"/>
                          </w:r>
                          <w:r>
                            <w:rPr>
                              <w:rFonts w:hint="eastAsia"/>
                            </w:rPr>
                            <w:instrText xml:space="preserve"> PAGE  \* MERGEFORMAT </w:instrText>
                          </w:r>
                          <w:r>
                            <w:rPr>
                              <w:rFonts w:hint="eastAsia"/>
                            </w:rPr>
                            <w:fldChar w:fldCharType="separate"/>
                          </w:r>
                          <w:r>
                            <w:t>117</w:t>
                          </w:r>
                          <w:r>
                            <w:rPr>
                              <w:rFonts w:hint="eastAsia"/>
                            </w:rPr>
                            <w:fldChar w:fldCharType="end"/>
                          </w:r>
                        </w:p>
                      </w:txbxContent>
                    </wps:txbx>
                    <wps:bodyPr vert="horz" wrap="none" lIns="0" tIns="0" rIns="0" bIns="0" anchor="t" anchorCtr="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OqXm5zwAAAAUBAAAPAAAAAAAAAAEAIAAAACIA&#10;AABkcnMvZG93bnJldi54bWxQSwECFAAUAAAACACHTuJAZRbelNkBAAC1AwAADgAAAAAAAAABACAA&#10;AAAeAQAAZHJzL2Uyb0RvYy54bWxQSwUGAAAAAAYABgBZAQAAaQUAAAAA&#10;">
              <v:fill on="f" focussize="0,0"/>
              <v:stroke on="f"/>
              <v:imagedata o:title=""/>
              <o:lock v:ext="edit" aspectratio="f"/>
              <v:textbox inset="0mm,0mm,0mm,0mm" style="mso-fit-shape-to-text:t;">
                <w:txbxContent>
                  <w:p w14:paraId="529050B1">
                    <w:pPr>
                      <w:pStyle w:val="35"/>
                    </w:pPr>
                    <w:r>
                      <w:rPr>
                        <w:rFonts w:hint="eastAsia"/>
                      </w:rPr>
                      <w:fldChar w:fldCharType="begin"/>
                    </w:r>
                    <w:r>
                      <w:rPr>
                        <w:rFonts w:hint="eastAsia"/>
                      </w:rPr>
                      <w:instrText xml:space="preserve"> PAGE  \* MERGEFORMAT </w:instrText>
                    </w:r>
                    <w:r>
                      <w:rPr>
                        <w:rFonts w:hint="eastAsia"/>
                      </w:rPr>
                      <w:fldChar w:fldCharType="separate"/>
                    </w:r>
                    <w:r>
                      <w:t>117</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6344B">
    <w:pPr>
      <w:pStyle w:val="3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57FDF">
    <w:pPr>
      <w:pStyle w:val="3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50510">
    <w:pPr>
      <w:pStyle w:val="36"/>
      <w:jc w:val="left"/>
    </w:pPr>
    <w:r>
      <w:rPr>
        <w:rFonts w:hint="eastAsia"/>
      </w:rPr>
      <w:t>广西机电设备招标有限公司招标文件</w:t>
    </w:r>
  </w:p>
  <w:p w14:paraId="35E887B8">
    <w:pPr>
      <w:pStyle w:val="36"/>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C78C6">
    <w:pPr>
      <w:pStyle w:val="36"/>
      <w:jc w:val="left"/>
    </w:pPr>
    <w:r>
      <w:rPr>
        <w:rFonts w:hint="eastAsia"/>
      </w:rPr>
      <w:t xml:space="preserve">广西机电设备招标有限公司招标文件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1B62F">
    <w:pPr>
      <w:pStyle w:val="36"/>
      <w:jc w:val="left"/>
    </w:pPr>
    <w:r>
      <w:rPr>
        <w:rFonts w:hint="eastAsia"/>
      </w:rPr>
      <w:t xml:space="preserve">广西机电设备招标有限公司招标文件                                                           </w:t>
    </w:r>
  </w:p>
  <w:p w14:paraId="5069C764">
    <w:pPr>
      <w:pStyle w:val="36"/>
      <w:pBdr>
        <w:bottom w:val="none" w:color="auto" w:sz="0" w:space="0"/>
      </w:pBdr>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36B75">
    <w:pPr>
      <w:pStyle w:val="36"/>
      <w:jc w:val="left"/>
    </w:pPr>
    <w:r>
      <w:rPr>
        <w:rFonts w:hint="eastAsia"/>
      </w:rPr>
      <w:t>广西机电设备招标有限公司招标文件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33906">
    <w:pPr>
      <w:pStyle w:val="36"/>
      <w:jc w:val="left"/>
    </w:pPr>
    <w:r>
      <w:rPr>
        <w:rFonts w:hint="eastAsia"/>
      </w:rPr>
      <w:t>广西机电设备招标有限公司招标文件评标方法及评标标准</w:t>
    </w:r>
  </w:p>
  <w:p w14:paraId="70C5A109">
    <w:pPr>
      <w:pStyle w:val="36"/>
      <w:pBdr>
        <w:bottom w:val="none" w:color="auto" w:sz="0" w:space="0"/>
      </w:pBdr>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89BD3">
    <w:pPr>
      <w:rPr>
        <w:sz w:val="18"/>
        <w:szCs w:val="18"/>
        <w:u w:val="single"/>
      </w:rPr>
    </w:pPr>
    <w:r>
      <w:rPr>
        <w:rFonts w:hint="eastAsia"/>
        <w:sz w:val="18"/>
        <w:szCs w:val="18"/>
        <w:u w:val="single"/>
      </w:rPr>
      <w:t>广西机电设备招标有限公司招标文件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026C45"/>
    <w:multiLevelType w:val="multilevel"/>
    <w:tmpl w:val="3B026C45"/>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yODdkZjM5MmMzZTg1ZmE0OTAzMjQ0OTM3ZjcyODIifQ=="/>
    <w:docVar w:name="KSO_WPS_MARK_KEY" w:val="8c4edea4-0f05-4c2b-9821-c574c37d6ffe"/>
  </w:docVars>
  <w:rsids>
    <w:rsidRoot w:val="00172A27"/>
    <w:rsid w:val="000003B8"/>
    <w:rsid w:val="000003EF"/>
    <w:rsid w:val="00000653"/>
    <w:rsid w:val="000008B9"/>
    <w:rsid w:val="0000091B"/>
    <w:rsid w:val="00000D0A"/>
    <w:rsid w:val="00000D19"/>
    <w:rsid w:val="00000E1A"/>
    <w:rsid w:val="00001B3E"/>
    <w:rsid w:val="00001CD6"/>
    <w:rsid w:val="00001E6F"/>
    <w:rsid w:val="00002AC8"/>
    <w:rsid w:val="00002DDA"/>
    <w:rsid w:val="00002F41"/>
    <w:rsid w:val="00003255"/>
    <w:rsid w:val="00003742"/>
    <w:rsid w:val="00003C81"/>
    <w:rsid w:val="00003D02"/>
    <w:rsid w:val="00003DAE"/>
    <w:rsid w:val="0000436E"/>
    <w:rsid w:val="00005672"/>
    <w:rsid w:val="000058D7"/>
    <w:rsid w:val="00005E55"/>
    <w:rsid w:val="00006E2C"/>
    <w:rsid w:val="000079FF"/>
    <w:rsid w:val="00007B0D"/>
    <w:rsid w:val="00007F38"/>
    <w:rsid w:val="000102A9"/>
    <w:rsid w:val="000105C3"/>
    <w:rsid w:val="00011B70"/>
    <w:rsid w:val="00011D72"/>
    <w:rsid w:val="00012078"/>
    <w:rsid w:val="00012218"/>
    <w:rsid w:val="00012320"/>
    <w:rsid w:val="000128AC"/>
    <w:rsid w:val="000129EA"/>
    <w:rsid w:val="00013391"/>
    <w:rsid w:val="00013748"/>
    <w:rsid w:val="00013D41"/>
    <w:rsid w:val="00013D8B"/>
    <w:rsid w:val="000143A3"/>
    <w:rsid w:val="000144F2"/>
    <w:rsid w:val="00014DD6"/>
    <w:rsid w:val="0001532B"/>
    <w:rsid w:val="0001598C"/>
    <w:rsid w:val="00016007"/>
    <w:rsid w:val="00016C31"/>
    <w:rsid w:val="00016CE3"/>
    <w:rsid w:val="00017504"/>
    <w:rsid w:val="000178D7"/>
    <w:rsid w:val="00017F40"/>
    <w:rsid w:val="00020861"/>
    <w:rsid w:val="00020BB1"/>
    <w:rsid w:val="00020BF0"/>
    <w:rsid w:val="00020C0B"/>
    <w:rsid w:val="00020F60"/>
    <w:rsid w:val="000215B7"/>
    <w:rsid w:val="000217BF"/>
    <w:rsid w:val="00021C98"/>
    <w:rsid w:val="00021CCD"/>
    <w:rsid w:val="00021EE3"/>
    <w:rsid w:val="000228AB"/>
    <w:rsid w:val="00022C7D"/>
    <w:rsid w:val="00022F2A"/>
    <w:rsid w:val="00022F8B"/>
    <w:rsid w:val="000233CA"/>
    <w:rsid w:val="00023652"/>
    <w:rsid w:val="000236EE"/>
    <w:rsid w:val="00024633"/>
    <w:rsid w:val="0002560A"/>
    <w:rsid w:val="00025DA0"/>
    <w:rsid w:val="000262BC"/>
    <w:rsid w:val="0002696D"/>
    <w:rsid w:val="0002754D"/>
    <w:rsid w:val="00027666"/>
    <w:rsid w:val="000276B2"/>
    <w:rsid w:val="00027A46"/>
    <w:rsid w:val="00027AF3"/>
    <w:rsid w:val="00030024"/>
    <w:rsid w:val="00030124"/>
    <w:rsid w:val="000302F0"/>
    <w:rsid w:val="000305FD"/>
    <w:rsid w:val="0003084F"/>
    <w:rsid w:val="00030C2F"/>
    <w:rsid w:val="00031169"/>
    <w:rsid w:val="00031757"/>
    <w:rsid w:val="00031DDD"/>
    <w:rsid w:val="00032686"/>
    <w:rsid w:val="0003274B"/>
    <w:rsid w:val="00032AD8"/>
    <w:rsid w:val="00032ADF"/>
    <w:rsid w:val="000331CC"/>
    <w:rsid w:val="0003322E"/>
    <w:rsid w:val="00033927"/>
    <w:rsid w:val="000352BA"/>
    <w:rsid w:val="00035840"/>
    <w:rsid w:val="00035844"/>
    <w:rsid w:val="00035A8D"/>
    <w:rsid w:val="00035C94"/>
    <w:rsid w:val="00036BAA"/>
    <w:rsid w:val="00037101"/>
    <w:rsid w:val="00037C2D"/>
    <w:rsid w:val="00037C63"/>
    <w:rsid w:val="00037CE4"/>
    <w:rsid w:val="00037DB6"/>
    <w:rsid w:val="00040187"/>
    <w:rsid w:val="000401FD"/>
    <w:rsid w:val="00040AC1"/>
    <w:rsid w:val="00040ED3"/>
    <w:rsid w:val="0004139C"/>
    <w:rsid w:val="000415E3"/>
    <w:rsid w:val="000418B1"/>
    <w:rsid w:val="00042280"/>
    <w:rsid w:val="0004231D"/>
    <w:rsid w:val="000424AB"/>
    <w:rsid w:val="00042BF9"/>
    <w:rsid w:val="00042ED7"/>
    <w:rsid w:val="000431D3"/>
    <w:rsid w:val="00043295"/>
    <w:rsid w:val="00044236"/>
    <w:rsid w:val="00044578"/>
    <w:rsid w:val="00045069"/>
    <w:rsid w:val="00045070"/>
    <w:rsid w:val="00045947"/>
    <w:rsid w:val="000459FB"/>
    <w:rsid w:val="000462A8"/>
    <w:rsid w:val="00046360"/>
    <w:rsid w:val="0004653D"/>
    <w:rsid w:val="000465AB"/>
    <w:rsid w:val="00046DA5"/>
    <w:rsid w:val="00046E59"/>
    <w:rsid w:val="000472E6"/>
    <w:rsid w:val="000479CD"/>
    <w:rsid w:val="000479FF"/>
    <w:rsid w:val="000500E6"/>
    <w:rsid w:val="000504FE"/>
    <w:rsid w:val="000513E2"/>
    <w:rsid w:val="00051C80"/>
    <w:rsid w:val="00052326"/>
    <w:rsid w:val="00052DBE"/>
    <w:rsid w:val="00053175"/>
    <w:rsid w:val="000534EE"/>
    <w:rsid w:val="0005359C"/>
    <w:rsid w:val="0005387F"/>
    <w:rsid w:val="00053BFC"/>
    <w:rsid w:val="0005428F"/>
    <w:rsid w:val="000544F4"/>
    <w:rsid w:val="000545D3"/>
    <w:rsid w:val="00054870"/>
    <w:rsid w:val="00054AB0"/>
    <w:rsid w:val="00054ABD"/>
    <w:rsid w:val="00054F7D"/>
    <w:rsid w:val="00055230"/>
    <w:rsid w:val="00055557"/>
    <w:rsid w:val="000555EA"/>
    <w:rsid w:val="00055945"/>
    <w:rsid w:val="00055A8A"/>
    <w:rsid w:val="00055E6D"/>
    <w:rsid w:val="00055FB0"/>
    <w:rsid w:val="0005625F"/>
    <w:rsid w:val="0005649E"/>
    <w:rsid w:val="0005682D"/>
    <w:rsid w:val="00056945"/>
    <w:rsid w:val="0005700C"/>
    <w:rsid w:val="00057393"/>
    <w:rsid w:val="00057E45"/>
    <w:rsid w:val="00060523"/>
    <w:rsid w:val="000606B6"/>
    <w:rsid w:val="000609AC"/>
    <w:rsid w:val="0006148A"/>
    <w:rsid w:val="000618AE"/>
    <w:rsid w:val="00062637"/>
    <w:rsid w:val="0006263C"/>
    <w:rsid w:val="00062949"/>
    <w:rsid w:val="000631AC"/>
    <w:rsid w:val="000631B7"/>
    <w:rsid w:val="00063894"/>
    <w:rsid w:val="000639D4"/>
    <w:rsid w:val="00063B29"/>
    <w:rsid w:val="0006408F"/>
    <w:rsid w:val="00064840"/>
    <w:rsid w:val="00064A48"/>
    <w:rsid w:val="00064C80"/>
    <w:rsid w:val="00065429"/>
    <w:rsid w:val="00065AB7"/>
    <w:rsid w:val="00065BFE"/>
    <w:rsid w:val="00065C40"/>
    <w:rsid w:val="00065D71"/>
    <w:rsid w:val="000673D8"/>
    <w:rsid w:val="00067DE7"/>
    <w:rsid w:val="0007014F"/>
    <w:rsid w:val="000706AC"/>
    <w:rsid w:val="00070950"/>
    <w:rsid w:val="000709D3"/>
    <w:rsid w:val="00070A7D"/>
    <w:rsid w:val="00070AAB"/>
    <w:rsid w:val="000712F8"/>
    <w:rsid w:val="00071A68"/>
    <w:rsid w:val="00071A6A"/>
    <w:rsid w:val="00071C95"/>
    <w:rsid w:val="00072A95"/>
    <w:rsid w:val="00072CEC"/>
    <w:rsid w:val="0007340B"/>
    <w:rsid w:val="0007368B"/>
    <w:rsid w:val="00073C3B"/>
    <w:rsid w:val="00074923"/>
    <w:rsid w:val="00074EE8"/>
    <w:rsid w:val="000750EA"/>
    <w:rsid w:val="0007539D"/>
    <w:rsid w:val="000774F1"/>
    <w:rsid w:val="00077698"/>
    <w:rsid w:val="000777B1"/>
    <w:rsid w:val="00077891"/>
    <w:rsid w:val="0007797E"/>
    <w:rsid w:val="00077C1B"/>
    <w:rsid w:val="0008017C"/>
    <w:rsid w:val="00080321"/>
    <w:rsid w:val="00080AA6"/>
    <w:rsid w:val="00080BE2"/>
    <w:rsid w:val="00081C1C"/>
    <w:rsid w:val="0008224F"/>
    <w:rsid w:val="000822F0"/>
    <w:rsid w:val="000824BD"/>
    <w:rsid w:val="00082611"/>
    <w:rsid w:val="0008264F"/>
    <w:rsid w:val="0008304A"/>
    <w:rsid w:val="0008372E"/>
    <w:rsid w:val="00083A64"/>
    <w:rsid w:val="00083B97"/>
    <w:rsid w:val="000842B5"/>
    <w:rsid w:val="00085560"/>
    <w:rsid w:val="00085E63"/>
    <w:rsid w:val="00086067"/>
    <w:rsid w:val="000866A9"/>
    <w:rsid w:val="00086EC2"/>
    <w:rsid w:val="00087358"/>
    <w:rsid w:val="000873F5"/>
    <w:rsid w:val="00087E2E"/>
    <w:rsid w:val="000900DF"/>
    <w:rsid w:val="00090193"/>
    <w:rsid w:val="0009021F"/>
    <w:rsid w:val="00090524"/>
    <w:rsid w:val="0009134B"/>
    <w:rsid w:val="000916DF"/>
    <w:rsid w:val="00091D8D"/>
    <w:rsid w:val="00093BC0"/>
    <w:rsid w:val="00093DF8"/>
    <w:rsid w:val="000941F6"/>
    <w:rsid w:val="0009454A"/>
    <w:rsid w:val="000945C5"/>
    <w:rsid w:val="00094ECF"/>
    <w:rsid w:val="0009592E"/>
    <w:rsid w:val="00095AAF"/>
    <w:rsid w:val="00095B76"/>
    <w:rsid w:val="00096946"/>
    <w:rsid w:val="0009715C"/>
    <w:rsid w:val="00097406"/>
    <w:rsid w:val="000A10DB"/>
    <w:rsid w:val="000A111D"/>
    <w:rsid w:val="000A117F"/>
    <w:rsid w:val="000A128A"/>
    <w:rsid w:val="000A165F"/>
    <w:rsid w:val="000A2960"/>
    <w:rsid w:val="000A2968"/>
    <w:rsid w:val="000A299E"/>
    <w:rsid w:val="000A2E97"/>
    <w:rsid w:val="000A3515"/>
    <w:rsid w:val="000A3518"/>
    <w:rsid w:val="000A4852"/>
    <w:rsid w:val="000A509A"/>
    <w:rsid w:val="000A6C4D"/>
    <w:rsid w:val="000A6C54"/>
    <w:rsid w:val="000A6F1D"/>
    <w:rsid w:val="000A70C7"/>
    <w:rsid w:val="000A7238"/>
    <w:rsid w:val="000A745D"/>
    <w:rsid w:val="000A7687"/>
    <w:rsid w:val="000A791D"/>
    <w:rsid w:val="000A7931"/>
    <w:rsid w:val="000B0720"/>
    <w:rsid w:val="000B09FE"/>
    <w:rsid w:val="000B0BB1"/>
    <w:rsid w:val="000B15EF"/>
    <w:rsid w:val="000B26D6"/>
    <w:rsid w:val="000B2D1E"/>
    <w:rsid w:val="000B316D"/>
    <w:rsid w:val="000B3194"/>
    <w:rsid w:val="000B3CFE"/>
    <w:rsid w:val="000B4EF3"/>
    <w:rsid w:val="000B554C"/>
    <w:rsid w:val="000B5D87"/>
    <w:rsid w:val="000B60C6"/>
    <w:rsid w:val="000B68A5"/>
    <w:rsid w:val="000B6E64"/>
    <w:rsid w:val="000B6F18"/>
    <w:rsid w:val="000B70DB"/>
    <w:rsid w:val="000B76E7"/>
    <w:rsid w:val="000B797D"/>
    <w:rsid w:val="000B7AC2"/>
    <w:rsid w:val="000B7E6D"/>
    <w:rsid w:val="000C17E4"/>
    <w:rsid w:val="000C1979"/>
    <w:rsid w:val="000C20B5"/>
    <w:rsid w:val="000C270D"/>
    <w:rsid w:val="000C2B1E"/>
    <w:rsid w:val="000C350A"/>
    <w:rsid w:val="000C3518"/>
    <w:rsid w:val="000C3762"/>
    <w:rsid w:val="000C41CD"/>
    <w:rsid w:val="000C4988"/>
    <w:rsid w:val="000C59D1"/>
    <w:rsid w:val="000C5C88"/>
    <w:rsid w:val="000C655F"/>
    <w:rsid w:val="000C66AB"/>
    <w:rsid w:val="000C6872"/>
    <w:rsid w:val="000C7045"/>
    <w:rsid w:val="000C71D4"/>
    <w:rsid w:val="000C7563"/>
    <w:rsid w:val="000C757A"/>
    <w:rsid w:val="000C7D9F"/>
    <w:rsid w:val="000D074C"/>
    <w:rsid w:val="000D0C28"/>
    <w:rsid w:val="000D0F2E"/>
    <w:rsid w:val="000D1788"/>
    <w:rsid w:val="000D31CB"/>
    <w:rsid w:val="000D3E1B"/>
    <w:rsid w:val="000D4061"/>
    <w:rsid w:val="000D4860"/>
    <w:rsid w:val="000D48FB"/>
    <w:rsid w:val="000D4B4F"/>
    <w:rsid w:val="000D4EC1"/>
    <w:rsid w:val="000D544F"/>
    <w:rsid w:val="000D55FD"/>
    <w:rsid w:val="000D56C7"/>
    <w:rsid w:val="000D672C"/>
    <w:rsid w:val="000D68F4"/>
    <w:rsid w:val="000D6A04"/>
    <w:rsid w:val="000D6A61"/>
    <w:rsid w:val="000D6C78"/>
    <w:rsid w:val="000D74B9"/>
    <w:rsid w:val="000E01DF"/>
    <w:rsid w:val="000E1094"/>
    <w:rsid w:val="000E18A1"/>
    <w:rsid w:val="000E1AC3"/>
    <w:rsid w:val="000E1C04"/>
    <w:rsid w:val="000E20DA"/>
    <w:rsid w:val="000E2AD1"/>
    <w:rsid w:val="000E2F86"/>
    <w:rsid w:val="000E3D2F"/>
    <w:rsid w:val="000E42EF"/>
    <w:rsid w:val="000E4712"/>
    <w:rsid w:val="000E4723"/>
    <w:rsid w:val="000E612C"/>
    <w:rsid w:val="000E6372"/>
    <w:rsid w:val="000E6D38"/>
    <w:rsid w:val="000E6D94"/>
    <w:rsid w:val="000E72E7"/>
    <w:rsid w:val="000E72F6"/>
    <w:rsid w:val="000E7533"/>
    <w:rsid w:val="000E75B3"/>
    <w:rsid w:val="000E77D2"/>
    <w:rsid w:val="000E7CC8"/>
    <w:rsid w:val="000F0D10"/>
    <w:rsid w:val="000F0E1D"/>
    <w:rsid w:val="000F1B78"/>
    <w:rsid w:val="000F1F51"/>
    <w:rsid w:val="000F1FB0"/>
    <w:rsid w:val="000F2181"/>
    <w:rsid w:val="000F24AC"/>
    <w:rsid w:val="000F2688"/>
    <w:rsid w:val="000F28A5"/>
    <w:rsid w:val="000F2943"/>
    <w:rsid w:val="000F2E97"/>
    <w:rsid w:val="000F2F22"/>
    <w:rsid w:val="000F2F60"/>
    <w:rsid w:val="000F3461"/>
    <w:rsid w:val="000F4B3A"/>
    <w:rsid w:val="000F5331"/>
    <w:rsid w:val="000F55C9"/>
    <w:rsid w:val="000F6242"/>
    <w:rsid w:val="000F666F"/>
    <w:rsid w:val="000F6F32"/>
    <w:rsid w:val="000F75A8"/>
    <w:rsid w:val="000F76E0"/>
    <w:rsid w:val="000F77B5"/>
    <w:rsid w:val="000F79FD"/>
    <w:rsid w:val="00100331"/>
    <w:rsid w:val="00101255"/>
    <w:rsid w:val="001014D2"/>
    <w:rsid w:val="001016BB"/>
    <w:rsid w:val="00101A14"/>
    <w:rsid w:val="0010251A"/>
    <w:rsid w:val="00102768"/>
    <w:rsid w:val="00102BC3"/>
    <w:rsid w:val="00102EF2"/>
    <w:rsid w:val="00103458"/>
    <w:rsid w:val="001037BD"/>
    <w:rsid w:val="001047CB"/>
    <w:rsid w:val="00104AFF"/>
    <w:rsid w:val="001053EE"/>
    <w:rsid w:val="00105629"/>
    <w:rsid w:val="0010574F"/>
    <w:rsid w:val="00105996"/>
    <w:rsid w:val="001059FC"/>
    <w:rsid w:val="00105A06"/>
    <w:rsid w:val="00105F3E"/>
    <w:rsid w:val="001066F6"/>
    <w:rsid w:val="001078F4"/>
    <w:rsid w:val="001105FF"/>
    <w:rsid w:val="00110744"/>
    <w:rsid w:val="00110797"/>
    <w:rsid w:val="00110E04"/>
    <w:rsid w:val="0011170E"/>
    <w:rsid w:val="00111849"/>
    <w:rsid w:val="00111ECD"/>
    <w:rsid w:val="001121DD"/>
    <w:rsid w:val="00112D31"/>
    <w:rsid w:val="00112DBF"/>
    <w:rsid w:val="00113646"/>
    <w:rsid w:val="00113CD1"/>
    <w:rsid w:val="00114359"/>
    <w:rsid w:val="0011487E"/>
    <w:rsid w:val="00115093"/>
    <w:rsid w:val="001161CA"/>
    <w:rsid w:val="00116258"/>
    <w:rsid w:val="00116494"/>
    <w:rsid w:val="001166D3"/>
    <w:rsid w:val="001167AE"/>
    <w:rsid w:val="001202C5"/>
    <w:rsid w:val="0012030C"/>
    <w:rsid w:val="0012077F"/>
    <w:rsid w:val="00120813"/>
    <w:rsid w:val="0012099E"/>
    <w:rsid w:val="00120CE3"/>
    <w:rsid w:val="00120E60"/>
    <w:rsid w:val="0012130E"/>
    <w:rsid w:val="001213B0"/>
    <w:rsid w:val="00121741"/>
    <w:rsid w:val="00121832"/>
    <w:rsid w:val="00122050"/>
    <w:rsid w:val="00122232"/>
    <w:rsid w:val="0012235C"/>
    <w:rsid w:val="00122857"/>
    <w:rsid w:val="00122A75"/>
    <w:rsid w:val="00123529"/>
    <w:rsid w:val="00124118"/>
    <w:rsid w:val="001241D1"/>
    <w:rsid w:val="00124271"/>
    <w:rsid w:val="00124457"/>
    <w:rsid w:val="00124985"/>
    <w:rsid w:val="00125609"/>
    <w:rsid w:val="001257A9"/>
    <w:rsid w:val="00126655"/>
    <w:rsid w:val="00126707"/>
    <w:rsid w:val="0012679D"/>
    <w:rsid w:val="001269E0"/>
    <w:rsid w:val="001270F4"/>
    <w:rsid w:val="001274D7"/>
    <w:rsid w:val="00127514"/>
    <w:rsid w:val="00130D23"/>
    <w:rsid w:val="001311C9"/>
    <w:rsid w:val="00131627"/>
    <w:rsid w:val="001318CD"/>
    <w:rsid w:val="0013190A"/>
    <w:rsid w:val="00131955"/>
    <w:rsid w:val="00131C94"/>
    <w:rsid w:val="00131DE6"/>
    <w:rsid w:val="001323E6"/>
    <w:rsid w:val="001326D3"/>
    <w:rsid w:val="001326DF"/>
    <w:rsid w:val="00132A53"/>
    <w:rsid w:val="00132AD8"/>
    <w:rsid w:val="00132CCE"/>
    <w:rsid w:val="00133BBE"/>
    <w:rsid w:val="00133D01"/>
    <w:rsid w:val="001342A2"/>
    <w:rsid w:val="00134510"/>
    <w:rsid w:val="001358D6"/>
    <w:rsid w:val="00136073"/>
    <w:rsid w:val="001361F7"/>
    <w:rsid w:val="00136606"/>
    <w:rsid w:val="001367BA"/>
    <w:rsid w:val="00136806"/>
    <w:rsid w:val="001369A6"/>
    <w:rsid w:val="00136BD6"/>
    <w:rsid w:val="00136DBC"/>
    <w:rsid w:val="00136F77"/>
    <w:rsid w:val="001370A8"/>
    <w:rsid w:val="001371D9"/>
    <w:rsid w:val="00137856"/>
    <w:rsid w:val="00137B4E"/>
    <w:rsid w:val="00137BD8"/>
    <w:rsid w:val="00140291"/>
    <w:rsid w:val="0014229D"/>
    <w:rsid w:val="001422D4"/>
    <w:rsid w:val="0014235F"/>
    <w:rsid w:val="0014236F"/>
    <w:rsid w:val="001428FA"/>
    <w:rsid w:val="00142A87"/>
    <w:rsid w:val="001442C2"/>
    <w:rsid w:val="001449E1"/>
    <w:rsid w:val="00144D5F"/>
    <w:rsid w:val="00144DD9"/>
    <w:rsid w:val="001455BA"/>
    <w:rsid w:val="00145DDE"/>
    <w:rsid w:val="0014621F"/>
    <w:rsid w:val="0014647C"/>
    <w:rsid w:val="00146907"/>
    <w:rsid w:val="00146E85"/>
    <w:rsid w:val="0014745C"/>
    <w:rsid w:val="00147916"/>
    <w:rsid w:val="0014795D"/>
    <w:rsid w:val="001479AA"/>
    <w:rsid w:val="00147F00"/>
    <w:rsid w:val="001502FF"/>
    <w:rsid w:val="00150564"/>
    <w:rsid w:val="001506A7"/>
    <w:rsid w:val="0015087C"/>
    <w:rsid w:val="00150882"/>
    <w:rsid w:val="00150A4A"/>
    <w:rsid w:val="00150FFB"/>
    <w:rsid w:val="001518B5"/>
    <w:rsid w:val="00151BBA"/>
    <w:rsid w:val="0015252D"/>
    <w:rsid w:val="00152656"/>
    <w:rsid w:val="00152C00"/>
    <w:rsid w:val="00152C2B"/>
    <w:rsid w:val="00152E98"/>
    <w:rsid w:val="00153084"/>
    <w:rsid w:val="00153A54"/>
    <w:rsid w:val="00154072"/>
    <w:rsid w:val="00154304"/>
    <w:rsid w:val="001546EA"/>
    <w:rsid w:val="0015477A"/>
    <w:rsid w:val="00154951"/>
    <w:rsid w:val="00154F0A"/>
    <w:rsid w:val="001559DA"/>
    <w:rsid w:val="00156891"/>
    <w:rsid w:val="00156BA3"/>
    <w:rsid w:val="00157320"/>
    <w:rsid w:val="001579B9"/>
    <w:rsid w:val="001602EB"/>
    <w:rsid w:val="0016080B"/>
    <w:rsid w:val="00160853"/>
    <w:rsid w:val="00160F65"/>
    <w:rsid w:val="001610EB"/>
    <w:rsid w:val="00161216"/>
    <w:rsid w:val="001614D4"/>
    <w:rsid w:val="00161BB8"/>
    <w:rsid w:val="00161C1F"/>
    <w:rsid w:val="00161C2F"/>
    <w:rsid w:val="00161F11"/>
    <w:rsid w:val="001620B6"/>
    <w:rsid w:val="001622BA"/>
    <w:rsid w:val="00162664"/>
    <w:rsid w:val="00163194"/>
    <w:rsid w:val="001639B6"/>
    <w:rsid w:val="00163DB9"/>
    <w:rsid w:val="00163DD8"/>
    <w:rsid w:val="00164F8F"/>
    <w:rsid w:val="0016529F"/>
    <w:rsid w:val="001658F5"/>
    <w:rsid w:val="00165F38"/>
    <w:rsid w:val="001661B8"/>
    <w:rsid w:val="00166237"/>
    <w:rsid w:val="00166385"/>
    <w:rsid w:val="0016644D"/>
    <w:rsid w:val="0016655F"/>
    <w:rsid w:val="00166EE6"/>
    <w:rsid w:val="001672AF"/>
    <w:rsid w:val="00167460"/>
    <w:rsid w:val="00170377"/>
    <w:rsid w:val="00170A14"/>
    <w:rsid w:val="0017112B"/>
    <w:rsid w:val="00171185"/>
    <w:rsid w:val="00171C71"/>
    <w:rsid w:val="001726CF"/>
    <w:rsid w:val="00172A27"/>
    <w:rsid w:val="00172A39"/>
    <w:rsid w:val="00172BAF"/>
    <w:rsid w:val="00172D05"/>
    <w:rsid w:val="00172EC0"/>
    <w:rsid w:val="00173191"/>
    <w:rsid w:val="00173686"/>
    <w:rsid w:val="001737FE"/>
    <w:rsid w:val="00173F0C"/>
    <w:rsid w:val="0017426E"/>
    <w:rsid w:val="00175014"/>
    <w:rsid w:val="001751EE"/>
    <w:rsid w:val="001753D1"/>
    <w:rsid w:val="00175B11"/>
    <w:rsid w:val="00175B5B"/>
    <w:rsid w:val="00176AFA"/>
    <w:rsid w:val="00176C25"/>
    <w:rsid w:val="00176E50"/>
    <w:rsid w:val="0017723E"/>
    <w:rsid w:val="001775DA"/>
    <w:rsid w:val="00177935"/>
    <w:rsid w:val="00177AD0"/>
    <w:rsid w:val="00181019"/>
    <w:rsid w:val="00181135"/>
    <w:rsid w:val="001813A3"/>
    <w:rsid w:val="00181C0B"/>
    <w:rsid w:val="00181EF7"/>
    <w:rsid w:val="001820BF"/>
    <w:rsid w:val="00182382"/>
    <w:rsid w:val="00182C79"/>
    <w:rsid w:val="00182DF8"/>
    <w:rsid w:val="0018502B"/>
    <w:rsid w:val="00186403"/>
    <w:rsid w:val="00186455"/>
    <w:rsid w:val="00186DC9"/>
    <w:rsid w:val="0018707E"/>
    <w:rsid w:val="00187892"/>
    <w:rsid w:val="00187DFB"/>
    <w:rsid w:val="00190463"/>
    <w:rsid w:val="00191435"/>
    <w:rsid w:val="00192213"/>
    <w:rsid w:val="001927A2"/>
    <w:rsid w:val="00192FED"/>
    <w:rsid w:val="00192FF5"/>
    <w:rsid w:val="0019335B"/>
    <w:rsid w:val="001938DB"/>
    <w:rsid w:val="001940F4"/>
    <w:rsid w:val="0019423A"/>
    <w:rsid w:val="00194FA4"/>
    <w:rsid w:val="00195203"/>
    <w:rsid w:val="00195234"/>
    <w:rsid w:val="00195648"/>
    <w:rsid w:val="001959DC"/>
    <w:rsid w:val="00195A29"/>
    <w:rsid w:val="00195F44"/>
    <w:rsid w:val="00195FC6"/>
    <w:rsid w:val="00196019"/>
    <w:rsid w:val="001963F9"/>
    <w:rsid w:val="00196B1D"/>
    <w:rsid w:val="00196C83"/>
    <w:rsid w:val="00196E92"/>
    <w:rsid w:val="001A0896"/>
    <w:rsid w:val="001A0FF1"/>
    <w:rsid w:val="001A2185"/>
    <w:rsid w:val="001A2679"/>
    <w:rsid w:val="001A315B"/>
    <w:rsid w:val="001A334F"/>
    <w:rsid w:val="001A3856"/>
    <w:rsid w:val="001A3954"/>
    <w:rsid w:val="001A3F6D"/>
    <w:rsid w:val="001A4C94"/>
    <w:rsid w:val="001A56FD"/>
    <w:rsid w:val="001A5923"/>
    <w:rsid w:val="001A5DA1"/>
    <w:rsid w:val="001A6A4C"/>
    <w:rsid w:val="001A7328"/>
    <w:rsid w:val="001A775C"/>
    <w:rsid w:val="001A7CBA"/>
    <w:rsid w:val="001B0DF5"/>
    <w:rsid w:val="001B1736"/>
    <w:rsid w:val="001B1AE6"/>
    <w:rsid w:val="001B32D3"/>
    <w:rsid w:val="001B32E4"/>
    <w:rsid w:val="001B3778"/>
    <w:rsid w:val="001B3E30"/>
    <w:rsid w:val="001B43A2"/>
    <w:rsid w:val="001B4634"/>
    <w:rsid w:val="001B48C3"/>
    <w:rsid w:val="001B4ED3"/>
    <w:rsid w:val="001B5091"/>
    <w:rsid w:val="001B50CC"/>
    <w:rsid w:val="001B5355"/>
    <w:rsid w:val="001B5426"/>
    <w:rsid w:val="001B593D"/>
    <w:rsid w:val="001B6049"/>
    <w:rsid w:val="001B60D4"/>
    <w:rsid w:val="001B6482"/>
    <w:rsid w:val="001B7014"/>
    <w:rsid w:val="001B739D"/>
    <w:rsid w:val="001B7432"/>
    <w:rsid w:val="001B7C32"/>
    <w:rsid w:val="001B7CBF"/>
    <w:rsid w:val="001C0476"/>
    <w:rsid w:val="001C0846"/>
    <w:rsid w:val="001C148A"/>
    <w:rsid w:val="001C15DB"/>
    <w:rsid w:val="001C17AC"/>
    <w:rsid w:val="001C1814"/>
    <w:rsid w:val="001C1B36"/>
    <w:rsid w:val="001C1FEF"/>
    <w:rsid w:val="001C2831"/>
    <w:rsid w:val="001C3D5E"/>
    <w:rsid w:val="001C3D80"/>
    <w:rsid w:val="001C4222"/>
    <w:rsid w:val="001C4361"/>
    <w:rsid w:val="001C4AA8"/>
    <w:rsid w:val="001C51A3"/>
    <w:rsid w:val="001C5358"/>
    <w:rsid w:val="001C56D1"/>
    <w:rsid w:val="001C6F0D"/>
    <w:rsid w:val="001C7325"/>
    <w:rsid w:val="001C7A8C"/>
    <w:rsid w:val="001D0D82"/>
    <w:rsid w:val="001D0F05"/>
    <w:rsid w:val="001D151F"/>
    <w:rsid w:val="001D15D9"/>
    <w:rsid w:val="001D1912"/>
    <w:rsid w:val="001D1DD7"/>
    <w:rsid w:val="001D23EF"/>
    <w:rsid w:val="001D2608"/>
    <w:rsid w:val="001D273D"/>
    <w:rsid w:val="001D285A"/>
    <w:rsid w:val="001D2A9B"/>
    <w:rsid w:val="001D3534"/>
    <w:rsid w:val="001D49FD"/>
    <w:rsid w:val="001D4EB1"/>
    <w:rsid w:val="001D537F"/>
    <w:rsid w:val="001D540C"/>
    <w:rsid w:val="001D565B"/>
    <w:rsid w:val="001D6B8D"/>
    <w:rsid w:val="001D6D80"/>
    <w:rsid w:val="001D723E"/>
    <w:rsid w:val="001D7681"/>
    <w:rsid w:val="001E0531"/>
    <w:rsid w:val="001E131D"/>
    <w:rsid w:val="001E15B4"/>
    <w:rsid w:val="001E1FA3"/>
    <w:rsid w:val="001E21AC"/>
    <w:rsid w:val="001E24A4"/>
    <w:rsid w:val="001E28CC"/>
    <w:rsid w:val="001E28E4"/>
    <w:rsid w:val="001E290A"/>
    <w:rsid w:val="001E2DA9"/>
    <w:rsid w:val="001E321D"/>
    <w:rsid w:val="001E38B1"/>
    <w:rsid w:val="001E3A2B"/>
    <w:rsid w:val="001E478C"/>
    <w:rsid w:val="001E4C00"/>
    <w:rsid w:val="001E4D12"/>
    <w:rsid w:val="001E4D56"/>
    <w:rsid w:val="001E4DB4"/>
    <w:rsid w:val="001E5559"/>
    <w:rsid w:val="001E5BBC"/>
    <w:rsid w:val="001E6542"/>
    <w:rsid w:val="001E69FA"/>
    <w:rsid w:val="001E72E0"/>
    <w:rsid w:val="001E7739"/>
    <w:rsid w:val="001E7AB5"/>
    <w:rsid w:val="001F0064"/>
    <w:rsid w:val="001F16DF"/>
    <w:rsid w:val="001F193B"/>
    <w:rsid w:val="001F1960"/>
    <w:rsid w:val="001F3066"/>
    <w:rsid w:val="001F327B"/>
    <w:rsid w:val="001F32DA"/>
    <w:rsid w:val="001F3DAE"/>
    <w:rsid w:val="001F4A98"/>
    <w:rsid w:val="001F4F82"/>
    <w:rsid w:val="001F6159"/>
    <w:rsid w:val="001F633E"/>
    <w:rsid w:val="001F6680"/>
    <w:rsid w:val="001F6C51"/>
    <w:rsid w:val="001F6DC6"/>
    <w:rsid w:val="001F6FB6"/>
    <w:rsid w:val="001F740D"/>
    <w:rsid w:val="001F792F"/>
    <w:rsid w:val="001F7AC9"/>
    <w:rsid w:val="001F7B9E"/>
    <w:rsid w:val="001F7BE1"/>
    <w:rsid w:val="001F7C97"/>
    <w:rsid w:val="00200A84"/>
    <w:rsid w:val="00200C40"/>
    <w:rsid w:val="00200F97"/>
    <w:rsid w:val="00201229"/>
    <w:rsid w:val="00201270"/>
    <w:rsid w:val="002014F7"/>
    <w:rsid w:val="002023BE"/>
    <w:rsid w:val="00202576"/>
    <w:rsid w:val="00202583"/>
    <w:rsid w:val="0020269C"/>
    <w:rsid w:val="00202B50"/>
    <w:rsid w:val="00202EF9"/>
    <w:rsid w:val="00203204"/>
    <w:rsid w:val="00203236"/>
    <w:rsid w:val="00203395"/>
    <w:rsid w:val="002036E8"/>
    <w:rsid w:val="00203939"/>
    <w:rsid w:val="00203B3F"/>
    <w:rsid w:val="002048AD"/>
    <w:rsid w:val="002051F7"/>
    <w:rsid w:val="0020531C"/>
    <w:rsid w:val="00205AD3"/>
    <w:rsid w:val="00205B53"/>
    <w:rsid w:val="002066C1"/>
    <w:rsid w:val="002067D2"/>
    <w:rsid w:val="00206D59"/>
    <w:rsid w:val="0020708A"/>
    <w:rsid w:val="0020731F"/>
    <w:rsid w:val="00207435"/>
    <w:rsid w:val="00207642"/>
    <w:rsid w:val="00207AAC"/>
    <w:rsid w:val="00207F6A"/>
    <w:rsid w:val="00210191"/>
    <w:rsid w:val="00210256"/>
    <w:rsid w:val="00210394"/>
    <w:rsid w:val="0021051F"/>
    <w:rsid w:val="0021076E"/>
    <w:rsid w:val="0021206E"/>
    <w:rsid w:val="002127B9"/>
    <w:rsid w:val="00212B08"/>
    <w:rsid w:val="00213289"/>
    <w:rsid w:val="00213825"/>
    <w:rsid w:val="00213CEF"/>
    <w:rsid w:val="00214189"/>
    <w:rsid w:val="0021432D"/>
    <w:rsid w:val="00214532"/>
    <w:rsid w:val="00214ADD"/>
    <w:rsid w:val="0021525B"/>
    <w:rsid w:val="00216356"/>
    <w:rsid w:val="002164F1"/>
    <w:rsid w:val="00216A00"/>
    <w:rsid w:val="00216B19"/>
    <w:rsid w:val="00216CCC"/>
    <w:rsid w:val="00216E16"/>
    <w:rsid w:val="0021738B"/>
    <w:rsid w:val="00220082"/>
    <w:rsid w:val="002203BD"/>
    <w:rsid w:val="00220517"/>
    <w:rsid w:val="00220776"/>
    <w:rsid w:val="002216CC"/>
    <w:rsid w:val="00221ED0"/>
    <w:rsid w:val="002221C3"/>
    <w:rsid w:val="0022299A"/>
    <w:rsid w:val="00222A0B"/>
    <w:rsid w:val="00222B91"/>
    <w:rsid w:val="002230FD"/>
    <w:rsid w:val="002232B3"/>
    <w:rsid w:val="00223664"/>
    <w:rsid w:val="0022401E"/>
    <w:rsid w:val="002244FF"/>
    <w:rsid w:val="00224756"/>
    <w:rsid w:val="00224878"/>
    <w:rsid w:val="0022514D"/>
    <w:rsid w:val="00225CEE"/>
    <w:rsid w:val="00226447"/>
    <w:rsid w:val="002266DB"/>
    <w:rsid w:val="00226894"/>
    <w:rsid w:val="002268B0"/>
    <w:rsid w:val="002272F5"/>
    <w:rsid w:val="00227577"/>
    <w:rsid w:val="002277E9"/>
    <w:rsid w:val="00230153"/>
    <w:rsid w:val="002303A6"/>
    <w:rsid w:val="00230894"/>
    <w:rsid w:val="002308E9"/>
    <w:rsid w:val="00230B84"/>
    <w:rsid w:val="00231B36"/>
    <w:rsid w:val="00231F9E"/>
    <w:rsid w:val="00232498"/>
    <w:rsid w:val="0023254E"/>
    <w:rsid w:val="00232918"/>
    <w:rsid w:val="0023350C"/>
    <w:rsid w:val="00233E70"/>
    <w:rsid w:val="00234281"/>
    <w:rsid w:val="00234FD3"/>
    <w:rsid w:val="00235CC1"/>
    <w:rsid w:val="00236B90"/>
    <w:rsid w:val="00236C21"/>
    <w:rsid w:val="002371BF"/>
    <w:rsid w:val="002371E1"/>
    <w:rsid w:val="00237A87"/>
    <w:rsid w:val="002404C3"/>
    <w:rsid w:val="00241129"/>
    <w:rsid w:val="002411AE"/>
    <w:rsid w:val="00241205"/>
    <w:rsid w:val="00241731"/>
    <w:rsid w:val="00241840"/>
    <w:rsid w:val="00241C36"/>
    <w:rsid w:val="0024270B"/>
    <w:rsid w:val="002427EB"/>
    <w:rsid w:val="002427F0"/>
    <w:rsid w:val="002428BD"/>
    <w:rsid w:val="00242D15"/>
    <w:rsid w:val="00242E09"/>
    <w:rsid w:val="002432B7"/>
    <w:rsid w:val="002440B2"/>
    <w:rsid w:val="002445FE"/>
    <w:rsid w:val="002451B3"/>
    <w:rsid w:val="002458CE"/>
    <w:rsid w:val="002459C5"/>
    <w:rsid w:val="00245DE9"/>
    <w:rsid w:val="00245F09"/>
    <w:rsid w:val="00246513"/>
    <w:rsid w:val="00246851"/>
    <w:rsid w:val="00246B1D"/>
    <w:rsid w:val="00246E71"/>
    <w:rsid w:val="00246F16"/>
    <w:rsid w:val="0024705A"/>
    <w:rsid w:val="002477AE"/>
    <w:rsid w:val="00247BDE"/>
    <w:rsid w:val="00247D4D"/>
    <w:rsid w:val="002504FC"/>
    <w:rsid w:val="00250B11"/>
    <w:rsid w:val="00250D82"/>
    <w:rsid w:val="00251CC2"/>
    <w:rsid w:val="00251EB3"/>
    <w:rsid w:val="00252136"/>
    <w:rsid w:val="0025329B"/>
    <w:rsid w:val="00253582"/>
    <w:rsid w:val="002538BA"/>
    <w:rsid w:val="00253EC4"/>
    <w:rsid w:val="0025418A"/>
    <w:rsid w:val="00254240"/>
    <w:rsid w:val="0025425A"/>
    <w:rsid w:val="0025531B"/>
    <w:rsid w:val="00255536"/>
    <w:rsid w:val="002557BB"/>
    <w:rsid w:val="002558AC"/>
    <w:rsid w:val="00255BC2"/>
    <w:rsid w:val="00255D89"/>
    <w:rsid w:val="00256539"/>
    <w:rsid w:val="00256DEA"/>
    <w:rsid w:val="00257117"/>
    <w:rsid w:val="00257923"/>
    <w:rsid w:val="00257C49"/>
    <w:rsid w:val="002603B3"/>
    <w:rsid w:val="0026072F"/>
    <w:rsid w:val="00260952"/>
    <w:rsid w:val="00260C11"/>
    <w:rsid w:val="002610D7"/>
    <w:rsid w:val="00261192"/>
    <w:rsid w:val="00261A11"/>
    <w:rsid w:val="00261CB5"/>
    <w:rsid w:val="00261D8A"/>
    <w:rsid w:val="002625F2"/>
    <w:rsid w:val="00262CA3"/>
    <w:rsid w:val="00262D43"/>
    <w:rsid w:val="00263413"/>
    <w:rsid w:val="00263AEC"/>
    <w:rsid w:val="00263E3B"/>
    <w:rsid w:val="0026408F"/>
    <w:rsid w:val="0026431A"/>
    <w:rsid w:val="002644A4"/>
    <w:rsid w:val="00264C8F"/>
    <w:rsid w:val="00265066"/>
    <w:rsid w:val="00265548"/>
    <w:rsid w:val="00265C93"/>
    <w:rsid w:val="00266300"/>
    <w:rsid w:val="0026641E"/>
    <w:rsid w:val="00266678"/>
    <w:rsid w:val="002669B2"/>
    <w:rsid w:val="00266EE2"/>
    <w:rsid w:val="002678CA"/>
    <w:rsid w:val="00267BBD"/>
    <w:rsid w:val="00267F3E"/>
    <w:rsid w:val="0027038F"/>
    <w:rsid w:val="00271150"/>
    <w:rsid w:val="00272EB3"/>
    <w:rsid w:val="0027447A"/>
    <w:rsid w:val="002747CC"/>
    <w:rsid w:val="00274830"/>
    <w:rsid w:val="00274DF9"/>
    <w:rsid w:val="00275170"/>
    <w:rsid w:val="00275D77"/>
    <w:rsid w:val="0027602C"/>
    <w:rsid w:val="00276A43"/>
    <w:rsid w:val="00276D2F"/>
    <w:rsid w:val="00276FBF"/>
    <w:rsid w:val="002775C7"/>
    <w:rsid w:val="002778F2"/>
    <w:rsid w:val="00277F52"/>
    <w:rsid w:val="002809A3"/>
    <w:rsid w:val="00280E91"/>
    <w:rsid w:val="00281979"/>
    <w:rsid w:val="00281E85"/>
    <w:rsid w:val="00282011"/>
    <w:rsid w:val="00282533"/>
    <w:rsid w:val="00282622"/>
    <w:rsid w:val="002837F8"/>
    <w:rsid w:val="00283ACF"/>
    <w:rsid w:val="00283C99"/>
    <w:rsid w:val="00283D11"/>
    <w:rsid w:val="0028473D"/>
    <w:rsid w:val="00284850"/>
    <w:rsid w:val="00284CEE"/>
    <w:rsid w:val="00284D22"/>
    <w:rsid w:val="00284F33"/>
    <w:rsid w:val="002851E8"/>
    <w:rsid w:val="0028529C"/>
    <w:rsid w:val="00285326"/>
    <w:rsid w:val="00285DE8"/>
    <w:rsid w:val="00287067"/>
    <w:rsid w:val="00290337"/>
    <w:rsid w:val="00290891"/>
    <w:rsid w:val="00291DA9"/>
    <w:rsid w:val="00292661"/>
    <w:rsid w:val="00292773"/>
    <w:rsid w:val="002927AC"/>
    <w:rsid w:val="002928D1"/>
    <w:rsid w:val="00292D88"/>
    <w:rsid w:val="00293689"/>
    <w:rsid w:val="00294241"/>
    <w:rsid w:val="002943E7"/>
    <w:rsid w:val="0029469F"/>
    <w:rsid w:val="0029476B"/>
    <w:rsid w:val="00295405"/>
    <w:rsid w:val="002954FB"/>
    <w:rsid w:val="00295E06"/>
    <w:rsid w:val="0029618D"/>
    <w:rsid w:val="002965BA"/>
    <w:rsid w:val="00296814"/>
    <w:rsid w:val="00296D48"/>
    <w:rsid w:val="00296EB8"/>
    <w:rsid w:val="00296F5F"/>
    <w:rsid w:val="0029716C"/>
    <w:rsid w:val="002976F2"/>
    <w:rsid w:val="00297A95"/>
    <w:rsid w:val="002A07C4"/>
    <w:rsid w:val="002A0DD4"/>
    <w:rsid w:val="002A16C3"/>
    <w:rsid w:val="002A2537"/>
    <w:rsid w:val="002A2AB8"/>
    <w:rsid w:val="002A2B8E"/>
    <w:rsid w:val="002A3789"/>
    <w:rsid w:val="002A5126"/>
    <w:rsid w:val="002A5948"/>
    <w:rsid w:val="002A6115"/>
    <w:rsid w:val="002A639F"/>
    <w:rsid w:val="002A64F2"/>
    <w:rsid w:val="002A6590"/>
    <w:rsid w:val="002A7478"/>
    <w:rsid w:val="002A7678"/>
    <w:rsid w:val="002A7B26"/>
    <w:rsid w:val="002B01AD"/>
    <w:rsid w:val="002B047F"/>
    <w:rsid w:val="002B1824"/>
    <w:rsid w:val="002B1845"/>
    <w:rsid w:val="002B1A9F"/>
    <w:rsid w:val="002B210C"/>
    <w:rsid w:val="002B2402"/>
    <w:rsid w:val="002B2847"/>
    <w:rsid w:val="002B2D78"/>
    <w:rsid w:val="002B32B6"/>
    <w:rsid w:val="002B32C9"/>
    <w:rsid w:val="002B35D8"/>
    <w:rsid w:val="002B3736"/>
    <w:rsid w:val="002B4054"/>
    <w:rsid w:val="002B41A8"/>
    <w:rsid w:val="002B427C"/>
    <w:rsid w:val="002B46A0"/>
    <w:rsid w:val="002B46FF"/>
    <w:rsid w:val="002B497D"/>
    <w:rsid w:val="002B4BBC"/>
    <w:rsid w:val="002B4D0E"/>
    <w:rsid w:val="002B542A"/>
    <w:rsid w:val="002B5495"/>
    <w:rsid w:val="002B54C5"/>
    <w:rsid w:val="002B55E5"/>
    <w:rsid w:val="002B653E"/>
    <w:rsid w:val="002B664C"/>
    <w:rsid w:val="002B6703"/>
    <w:rsid w:val="002B6D69"/>
    <w:rsid w:val="002B6E5B"/>
    <w:rsid w:val="002B6F67"/>
    <w:rsid w:val="002B7411"/>
    <w:rsid w:val="002B7F1B"/>
    <w:rsid w:val="002C0083"/>
    <w:rsid w:val="002C0186"/>
    <w:rsid w:val="002C032E"/>
    <w:rsid w:val="002C081A"/>
    <w:rsid w:val="002C087B"/>
    <w:rsid w:val="002C108A"/>
    <w:rsid w:val="002C1553"/>
    <w:rsid w:val="002C2035"/>
    <w:rsid w:val="002C25D4"/>
    <w:rsid w:val="002C29F1"/>
    <w:rsid w:val="002C2CCD"/>
    <w:rsid w:val="002C2F7F"/>
    <w:rsid w:val="002C2FB4"/>
    <w:rsid w:val="002C2FD3"/>
    <w:rsid w:val="002C3683"/>
    <w:rsid w:val="002C4AFD"/>
    <w:rsid w:val="002C5516"/>
    <w:rsid w:val="002C5A3A"/>
    <w:rsid w:val="002C5D7E"/>
    <w:rsid w:val="002C6DC2"/>
    <w:rsid w:val="002C6DDA"/>
    <w:rsid w:val="002C713E"/>
    <w:rsid w:val="002C77B0"/>
    <w:rsid w:val="002D0068"/>
    <w:rsid w:val="002D0466"/>
    <w:rsid w:val="002D053D"/>
    <w:rsid w:val="002D0829"/>
    <w:rsid w:val="002D0B99"/>
    <w:rsid w:val="002D1936"/>
    <w:rsid w:val="002D1CE8"/>
    <w:rsid w:val="002D1F76"/>
    <w:rsid w:val="002D2403"/>
    <w:rsid w:val="002D2D0D"/>
    <w:rsid w:val="002D2FB2"/>
    <w:rsid w:val="002D3066"/>
    <w:rsid w:val="002D32C1"/>
    <w:rsid w:val="002D34FE"/>
    <w:rsid w:val="002D35EA"/>
    <w:rsid w:val="002D3782"/>
    <w:rsid w:val="002D3B24"/>
    <w:rsid w:val="002D4837"/>
    <w:rsid w:val="002D48E6"/>
    <w:rsid w:val="002D5331"/>
    <w:rsid w:val="002D5B16"/>
    <w:rsid w:val="002D5BC9"/>
    <w:rsid w:val="002D5DDC"/>
    <w:rsid w:val="002D67F7"/>
    <w:rsid w:val="002D6DE0"/>
    <w:rsid w:val="002D7621"/>
    <w:rsid w:val="002D769A"/>
    <w:rsid w:val="002D7789"/>
    <w:rsid w:val="002D77B7"/>
    <w:rsid w:val="002D79D9"/>
    <w:rsid w:val="002D7CC4"/>
    <w:rsid w:val="002D7DBC"/>
    <w:rsid w:val="002E00DB"/>
    <w:rsid w:val="002E0A65"/>
    <w:rsid w:val="002E0C21"/>
    <w:rsid w:val="002E192A"/>
    <w:rsid w:val="002E2048"/>
    <w:rsid w:val="002E2471"/>
    <w:rsid w:val="002E2A52"/>
    <w:rsid w:val="002E2B84"/>
    <w:rsid w:val="002E300A"/>
    <w:rsid w:val="002E3543"/>
    <w:rsid w:val="002E3B82"/>
    <w:rsid w:val="002E3C95"/>
    <w:rsid w:val="002E40D7"/>
    <w:rsid w:val="002E4679"/>
    <w:rsid w:val="002E4D81"/>
    <w:rsid w:val="002E4E88"/>
    <w:rsid w:val="002E591E"/>
    <w:rsid w:val="002E5BC7"/>
    <w:rsid w:val="002E5F0D"/>
    <w:rsid w:val="002E6EE7"/>
    <w:rsid w:val="002E7655"/>
    <w:rsid w:val="002E7750"/>
    <w:rsid w:val="002E7964"/>
    <w:rsid w:val="002E79AB"/>
    <w:rsid w:val="002E7D40"/>
    <w:rsid w:val="002F0A52"/>
    <w:rsid w:val="002F0C6B"/>
    <w:rsid w:val="002F1686"/>
    <w:rsid w:val="002F1771"/>
    <w:rsid w:val="002F1CD0"/>
    <w:rsid w:val="002F1D5C"/>
    <w:rsid w:val="002F207F"/>
    <w:rsid w:val="002F23FA"/>
    <w:rsid w:val="002F249E"/>
    <w:rsid w:val="002F24AF"/>
    <w:rsid w:val="002F32ED"/>
    <w:rsid w:val="002F3799"/>
    <w:rsid w:val="002F3A84"/>
    <w:rsid w:val="002F41D5"/>
    <w:rsid w:val="002F43B6"/>
    <w:rsid w:val="002F49F9"/>
    <w:rsid w:val="002F4D5A"/>
    <w:rsid w:val="002F515D"/>
    <w:rsid w:val="002F5F68"/>
    <w:rsid w:val="002F6673"/>
    <w:rsid w:val="002F66DB"/>
    <w:rsid w:val="002F7155"/>
    <w:rsid w:val="002F7700"/>
    <w:rsid w:val="002F778A"/>
    <w:rsid w:val="002F7EB8"/>
    <w:rsid w:val="0030086D"/>
    <w:rsid w:val="00300D86"/>
    <w:rsid w:val="00300E82"/>
    <w:rsid w:val="00301655"/>
    <w:rsid w:val="003017E1"/>
    <w:rsid w:val="003021BB"/>
    <w:rsid w:val="00302EFF"/>
    <w:rsid w:val="00302F6A"/>
    <w:rsid w:val="00303061"/>
    <w:rsid w:val="00303A66"/>
    <w:rsid w:val="00303D62"/>
    <w:rsid w:val="003040C0"/>
    <w:rsid w:val="003044AD"/>
    <w:rsid w:val="00304917"/>
    <w:rsid w:val="00305040"/>
    <w:rsid w:val="00305BB3"/>
    <w:rsid w:val="00305CC7"/>
    <w:rsid w:val="00305F62"/>
    <w:rsid w:val="0030688B"/>
    <w:rsid w:val="00306AAF"/>
    <w:rsid w:val="003074FD"/>
    <w:rsid w:val="00307A2D"/>
    <w:rsid w:val="00310204"/>
    <w:rsid w:val="00310272"/>
    <w:rsid w:val="00310D86"/>
    <w:rsid w:val="00310EC5"/>
    <w:rsid w:val="00310F34"/>
    <w:rsid w:val="0031233D"/>
    <w:rsid w:val="003126B1"/>
    <w:rsid w:val="00312AF6"/>
    <w:rsid w:val="00312CB7"/>
    <w:rsid w:val="00312E68"/>
    <w:rsid w:val="0031351A"/>
    <w:rsid w:val="0031460F"/>
    <w:rsid w:val="00314C8A"/>
    <w:rsid w:val="0031505B"/>
    <w:rsid w:val="00315595"/>
    <w:rsid w:val="00315F66"/>
    <w:rsid w:val="003161E5"/>
    <w:rsid w:val="00316884"/>
    <w:rsid w:val="00316C18"/>
    <w:rsid w:val="00317071"/>
    <w:rsid w:val="003170F2"/>
    <w:rsid w:val="00317767"/>
    <w:rsid w:val="0031786E"/>
    <w:rsid w:val="0032043F"/>
    <w:rsid w:val="003204DA"/>
    <w:rsid w:val="00320582"/>
    <w:rsid w:val="00321282"/>
    <w:rsid w:val="0032130E"/>
    <w:rsid w:val="0032187E"/>
    <w:rsid w:val="003218EA"/>
    <w:rsid w:val="00321B6B"/>
    <w:rsid w:val="00321F93"/>
    <w:rsid w:val="0032278A"/>
    <w:rsid w:val="0032279E"/>
    <w:rsid w:val="00322A25"/>
    <w:rsid w:val="00322E8B"/>
    <w:rsid w:val="0032318E"/>
    <w:rsid w:val="0032399E"/>
    <w:rsid w:val="00324067"/>
    <w:rsid w:val="003246F7"/>
    <w:rsid w:val="003248E7"/>
    <w:rsid w:val="00324925"/>
    <w:rsid w:val="00324A14"/>
    <w:rsid w:val="00325668"/>
    <w:rsid w:val="00325F1E"/>
    <w:rsid w:val="003262AB"/>
    <w:rsid w:val="0032659C"/>
    <w:rsid w:val="00327292"/>
    <w:rsid w:val="003272FD"/>
    <w:rsid w:val="0032744E"/>
    <w:rsid w:val="00327480"/>
    <w:rsid w:val="003300E1"/>
    <w:rsid w:val="003303B7"/>
    <w:rsid w:val="00330A37"/>
    <w:rsid w:val="00330A59"/>
    <w:rsid w:val="00330B81"/>
    <w:rsid w:val="00330E2F"/>
    <w:rsid w:val="003311FC"/>
    <w:rsid w:val="00331300"/>
    <w:rsid w:val="00331820"/>
    <w:rsid w:val="00333A15"/>
    <w:rsid w:val="00333A6D"/>
    <w:rsid w:val="00333F1D"/>
    <w:rsid w:val="003341BB"/>
    <w:rsid w:val="00335776"/>
    <w:rsid w:val="00336075"/>
    <w:rsid w:val="00336787"/>
    <w:rsid w:val="003371DD"/>
    <w:rsid w:val="003374B9"/>
    <w:rsid w:val="003375AB"/>
    <w:rsid w:val="00337697"/>
    <w:rsid w:val="00337717"/>
    <w:rsid w:val="003378B1"/>
    <w:rsid w:val="003408D4"/>
    <w:rsid w:val="003408E2"/>
    <w:rsid w:val="00340A5B"/>
    <w:rsid w:val="00340D35"/>
    <w:rsid w:val="0034123C"/>
    <w:rsid w:val="003412BF"/>
    <w:rsid w:val="00341449"/>
    <w:rsid w:val="003415A2"/>
    <w:rsid w:val="0034168B"/>
    <w:rsid w:val="00341CF7"/>
    <w:rsid w:val="0034295D"/>
    <w:rsid w:val="0034312D"/>
    <w:rsid w:val="0034330F"/>
    <w:rsid w:val="00343669"/>
    <w:rsid w:val="00343C67"/>
    <w:rsid w:val="003440AE"/>
    <w:rsid w:val="0034413A"/>
    <w:rsid w:val="00344BA3"/>
    <w:rsid w:val="00344BDC"/>
    <w:rsid w:val="00344D5E"/>
    <w:rsid w:val="00345475"/>
    <w:rsid w:val="00346AE5"/>
    <w:rsid w:val="00346C56"/>
    <w:rsid w:val="00347782"/>
    <w:rsid w:val="00347D51"/>
    <w:rsid w:val="00347E11"/>
    <w:rsid w:val="00350268"/>
    <w:rsid w:val="00350594"/>
    <w:rsid w:val="00350B46"/>
    <w:rsid w:val="003518DC"/>
    <w:rsid w:val="00352012"/>
    <w:rsid w:val="00352542"/>
    <w:rsid w:val="00352668"/>
    <w:rsid w:val="00352677"/>
    <w:rsid w:val="0035326A"/>
    <w:rsid w:val="0035327A"/>
    <w:rsid w:val="003534CB"/>
    <w:rsid w:val="00353803"/>
    <w:rsid w:val="00353C29"/>
    <w:rsid w:val="00353D69"/>
    <w:rsid w:val="00353FC5"/>
    <w:rsid w:val="003541B5"/>
    <w:rsid w:val="003542FC"/>
    <w:rsid w:val="00354407"/>
    <w:rsid w:val="00354730"/>
    <w:rsid w:val="003555CF"/>
    <w:rsid w:val="00355B59"/>
    <w:rsid w:val="0035620E"/>
    <w:rsid w:val="003562FE"/>
    <w:rsid w:val="00356475"/>
    <w:rsid w:val="003564B6"/>
    <w:rsid w:val="0035669E"/>
    <w:rsid w:val="003574FA"/>
    <w:rsid w:val="00357C05"/>
    <w:rsid w:val="00357DE5"/>
    <w:rsid w:val="00360354"/>
    <w:rsid w:val="0036071E"/>
    <w:rsid w:val="00360FEF"/>
    <w:rsid w:val="00362D66"/>
    <w:rsid w:val="00363B12"/>
    <w:rsid w:val="003640DD"/>
    <w:rsid w:val="0036423C"/>
    <w:rsid w:val="003648BB"/>
    <w:rsid w:val="00364D59"/>
    <w:rsid w:val="003654BE"/>
    <w:rsid w:val="003654DD"/>
    <w:rsid w:val="00365B9B"/>
    <w:rsid w:val="00365D2E"/>
    <w:rsid w:val="00365DBB"/>
    <w:rsid w:val="00365DF5"/>
    <w:rsid w:val="003668A0"/>
    <w:rsid w:val="0036695E"/>
    <w:rsid w:val="00366EE1"/>
    <w:rsid w:val="003673E6"/>
    <w:rsid w:val="003675F0"/>
    <w:rsid w:val="003678EA"/>
    <w:rsid w:val="00367A90"/>
    <w:rsid w:val="003703EC"/>
    <w:rsid w:val="00370668"/>
    <w:rsid w:val="00370963"/>
    <w:rsid w:val="00371009"/>
    <w:rsid w:val="00371252"/>
    <w:rsid w:val="0037191D"/>
    <w:rsid w:val="00371AED"/>
    <w:rsid w:val="00371BC4"/>
    <w:rsid w:val="00371EEB"/>
    <w:rsid w:val="0037224C"/>
    <w:rsid w:val="003722E8"/>
    <w:rsid w:val="00372733"/>
    <w:rsid w:val="0037280D"/>
    <w:rsid w:val="003728E1"/>
    <w:rsid w:val="00372C4C"/>
    <w:rsid w:val="0037300F"/>
    <w:rsid w:val="00373B9D"/>
    <w:rsid w:val="0037445B"/>
    <w:rsid w:val="003745D0"/>
    <w:rsid w:val="0037468A"/>
    <w:rsid w:val="00375613"/>
    <w:rsid w:val="0037570A"/>
    <w:rsid w:val="00375B8A"/>
    <w:rsid w:val="00375E04"/>
    <w:rsid w:val="0037642E"/>
    <w:rsid w:val="00376AF3"/>
    <w:rsid w:val="00377D45"/>
    <w:rsid w:val="003801DC"/>
    <w:rsid w:val="00380E15"/>
    <w:rsid w:val="00380F51"/>
    <w:rsid w:val="00381993"/>
    <w:rsid w:val="00381AC4"/>
    <w:rsid w:val="00381B3A"/>
    <w:rsid w:val="00381F75"/>
    <w:rsid w:val="0038248C"/>
    <w:rsid w:val="00382D1F"/>
    <w:rsid w:val="003832B6"/>
    <w:rsid w:val="00383E24"/>
    <w:rsid w:val="003840B7"/>
    <w:rsid w:val="00384837"/>
    <w:rsid w:val="0038549F"/>
    <w:rsid w:val="003856C6"/>
    <w:rsid w:val="0038576D"/>
    <w:rsid w:val="00385BDE"/>
    <w:rsid w:val="00385E50"/>
    <w:rsid w:val="0038685F"/>
    <w:rsid w:val="00386B43"/>
    <w:rsid w:val="00386CBA"/>
    <w:rsid w:val="00386FC4"/>
    <w:rsid w:val="0038728C"/>
    <w:rsid w:val="00387677"/>
    <w:rsid w:val="00387F7C"/>
    <w:rsid w:val="00391901"/>
    <w:rsid w:val="00391AC1"/>
    <w:rsid w:val="00391B2B"/>
    <w:rsid w:val="00391B84"/>
    <w:rsid w:val="00391E1C"/>
    <w:rsid w:val="003923E6"/>
    <w:rsid w:val="003929A4"/>
    <w:rsid w:val="00393FE9"/>
    <w:rsid w:val="0039476B"/>
    <w:rsid w:val="003949BE"/>
    <w:rsid w:val="00394B29"/>
    <w:rsid w:val="00394E45"/>
    <w:rsid w:val="00395205"/>
    <w:rsid w:val="00396113"/>
    <w:rsid w:val="0039627D"/>
    <w:rsid w:val="00396980"/>
    <w:rsid w:val="003969C2"/>
    <w:rsid w:val="00396F26"/>
    <w:rsid w:val="00396FF4"/>
    <w:rsid w:val="003970B3"/>
    <w:rsid w:val="003973FD"/>
    <w:rsid w:val="00397413"/>
    <w:rsid w:val="003976E4"/>
    <w:rsid w:val="0039772B"/>
    <w:rsid w:val="003977F5"/>
    <w:rsid w:val="00397E21"/>
    <w:rsid w:val="00397FDC"/>
    <w:rsid w:val="003A04AE"/>
    <w:rsid w:val="003A0667"/>
    <w:rsid w:val="003A0EA6"/>
    <w:rsid w:val="003A1719"/>
    <w:rsid w:val="003A19D6"/>
    <w:rsid w:val="003A2CEE"/>
    <w:rsid w:val="003A2D4E"/>
    <w:rsid w:val="003A314E"/>
    <w:rsid w:val="003A3717"/>
    <w:rsid w:val="003A393F"/>
    <w:rsid w:val="003A3999"/>
    <w:rsid w:val="003A4462"/>
    <w:rsid w:val="003A4497"/>
    <w:rsid w:val="003A4663"/>
    <w:rsid w:val="003A4BFF"/>
    <w:rsid w:val="003A4F4E"/>
    <w:rsid w:val="003A5CFA"/>
    <w:rsid w:val="003A5D90"/>
    <w:rsid w:val="003A6084"/>
    <w:rsid w:val="003A62DA"/>
    <w:rsid w:val="003A6366"/>
    <w:rsid w:val="003A7A69"/>
    <w:rsid w:val="003A7B14"/>
    <w:rsid w:val="003A7B7B"/>
    <w:rsid w:val="003A7D2A"/>
    <w:rsid w:val="003A7D38"/>
    <w:rsid w:val="003A7ED5"/>
    <w:rsid w:val="003B08CD"/>
    <w:rsid w:val="003B0C92"/>
    <w:rsid w:val="003B0F13"/>
    <w:rsid w:val="003B0F7B"/>
    <w:rsid w:val="003B13E9"/>
    <w:rsid w:val="003B14FD"/>
    <w:rsid w:val="003B16D4"/>
    <w:rsid w:val="003B1BB7"/>
    <w:rsid w:val="003B2427"/>
    <w:rsid w:val="003B28A8"/>
    <w:rsid w:val="003B2D7D"/>
    <w:rsid w:val="003B3E12"/>
    <w:rsid w:val="003B4696"/>
    <w:rsid w:val="003B4859"/>
    <w:rsid w:val="003B4E65"/>
    <w:rsid w:val="003B4EB6"/>
    <w:rsid w:val="003B5177"/>
    <w:rsid w:val="003B5200"/>
    <w:rsid w:val="003B53E7"/>
    <w:rsid w:val="003B5482"/>
    <w:rsid w:val="003B5663"/>
    <w:rsid w:val="003B59DC"/>
    <w:rsid w:val="003B6031"/>
    <w:rsid w:val="003B6178"/>
    <w:rsid w:val="003B6E81"/>
    <w:rsid w:val="003B7661"/>
    <w:rsid w:val="003B7E05"/>
    <w:rsid w:val="003C0456"/>
    <w:rsid w:val="003C052A"/>
    <w:rsid w:val="003C0AE9"/>
    <w:rsid w:val="003C131E"/>
    <w:rsid w:val="003C166B"/>
    <w:rsid w:val="003C19A5"/>
    <w:rsid w:val="003C1C85"/>
    <w:rsid w:val="003C1F69"/>
    <w:rsid w:val="003C2010"/>
    <w:rsid w:val="003C2240"/>
    <w:rsid w:val="003C2323"/>
    <w:rsid w:val="003C2BA9"/>
    <w:rsid w:val="003C2C59"/>
    <w:rsid w:val="003C3A2A"/>
    <w:rsid w:val="003C3CC7"/>
    <w:rsid w:val="003C3E7F"/>
    <w:rsid w:val="003C4482"/>
    <w:rsid w:val="003C504B"/>
    <w:rsid w:val="003C5260"/>
    <w:rsid w:val="003C5936"/>
    <w:rsid w:val="003C612F"/>
    <w:rsid w:val="003C6468"/>
    <w:rsid w:val="003C676E"/>
    <w:rsid w:val="003C7A78"/>
    <w:rsid w:val="003D0AF6"/>
    <w:rsid w:val="003D0BFD"/>
    <w:rsid w:val="003D115F"/>
    <w:rsid w:val="003D11D9"/>
    <w:rsid w:val="003D1E5A"/>
    <w:rsid w:val="003D2939"/>
    <w:rsid w:val="003D3990"/>
    <w:rsid w:val="003D3C6E"/>
    <w:rsid w:val="003D3FA7"/>
    <w:rsid w:val="003D42CB"/>
    <w:rsid w:val="003D43E2"/>
    <w:rsid w:val="003D4B62"/>
    <w:rsid w:val="003D4E9A"/>
    <w:rsid w:val="003D51F4"/>
    <w:rsid w:val="003D5345"/>
    <w:rsid w:val="003D5811"/>
    <w:rsid w:val="003D58C5"/>
    <w:rsid w:val="003D6316"/>
    <w:rsid w:val="003D6638"/>
    <w:rsid w:val="003D7786"/>
    <w:rsid w:val="003D7FC4"/>
    <w:rsid w:val="003E0354"/>
    <w:rsid w:val="003E08DC"/>
    <w:rsid w:val="003E10A8"/>
    <w:rsid w:val="003E127A"/>
    <w:rsid w:val="003E184A"/>
    <w:rsid w:val="003E1887"/>
    <w:rsid w:val="003E18C9"/>
    <w:rsid w:val="003E19E2"/>
    <w:rsid w:val="003E1EF3"/>
    <w:rsid w:val="003E2538"/>
    <w:rsid w:val="003E2784"/>
    <w:rsid w:val="003E278F"/>
    <w:rsid w:val="003E2E55"/>
    <w:rsid w:val="003E2F58"/>
    <w:rsid w:val="003E311C"/>
    <w:rsid w:val="003E3A5D"/>
    <w:rsid w:val="003E4296"/>
    <w:rsid w:val="003E43C8"/>
    <w:rsid w:val="003E4B5F"/>
    <w:rsid w:val="003E530F"/>
    <w:rsid w:val="003E5A33"/>
    <w:rsid w:val="003E65FD"/>
    <w:rsid w:val="003E69CF"/>
    <w:rsid w:val="003E6DA0"/>
    <w:rsid w:val="003E72DA"/>
    <w:rsid w:val="003E7C3C"/>
    <w:rsid w:val="003F009B"/>
    <w:rsid w:val="003F031C"/>
    <w:rsid w:val="003F0EED"/>
    <w:rsid w:val="003F0FBA"/>
    <w:rsid w:val="003F1622"/>
    <w:rsid w:val="003F1AA3"/>
    <w:rsid w:val="003F25EF"/>
    <w:rsid w:val="003F2A3E"/>
    <w:rsid w:val="003F3277"/>
    <w:rsid w:val="003F33C5"/>
    <w:rsid w:val="003F3EC5"/>
    <w:rsid w:val="003F49D2"/>
    <w:rsid w:val="003F4C79"/>
    <w:rsid w:val="003F4E06"/>
    <w:rsid w:val="003F4FB6"/>
    <w:rsid w:val="003F4FD7"/>
    <w:rsid w:val="003F58F4"/>
    <w:rsid w:val="003F5990"/>
    <w:rsid w:val="003F5E3F"/>
    <w:rsid w:val="003F6152"/>
    <w:rsid w:val="003F67CB"/>
    <w:rsid w:val="003F759C"/>
    <w:rsid w:val="00400688"/>
    <w:rsid w:val="00401318"/>
    <w:rsid w:val="004018B0"/>
    <w:rsid w:val="00401CD0"/>
    <w:rsid w:val="00402608"/>
    <w:rsid w:val="00403542"/>
    <w:rsid w:val="004036AC"/>
    <w:rsid w:val="00403A15"/>
    <w:rsid w:val="00403AD6"/>
    <w:rsid w:val="004042E5"/>
    <w:rsid w:val="00405461"/>
    <w:rsid w:val="00405477"/>
    <w:rsid w:val="0040566B"/>
    <w:rsid w:val="004058B9"/>
    <w:rsid w:val="004067F1"/>
    <w:rsid w:val="0040689D"/>
    <w:rsid w:val="00406C91"/>
    <w:rsid w:val="00407363"/>
    <w:rsid w:val="00410441"/>
    <w:rsid w:val="0041074C"/>
    <w:rsid w:val="0041078F"/>
    <w:rsid w:val="00410B78"/>
    <w:rsid w:val="0041102C"/>
    <w:rsid w:val="00411154"/>
    <w:rsid w:val="00411B1C"/>
    <w:rsid w:val="00411D31"/>
    <w:rsid w:val="00412BDE"/>
    <w:rsid w:val="0041398B"/>
    <w:rsid w:val="004146E5"/>
    <w:rsid w:val="00414828"/>
    <w:rsid w:val="00414D14"/>
    <w:rsid w:val="00414DE0"/>
    <w:rsid w:val="004150FE"/>
    <w:rsid w:val="004158A0"/>
    <w:rsid w:val="00415D69"/>
    <w:rsid w:val="00415DEC"/>
    <w:rsid w:val="00415FAD"/>
    <w:rsid w:val="0041600F"/>
    <w:rsid w:val="0041619C"/>
    <w:rsid w:val="0041747C"/>
    <w:rsid w:val="00417701"/>
    <w:rsid w:val="00417C68"/>
    <w:rsid w:val="00417D7A"/>
    <w:rsid w:val="004203AA"/>
    <w:rsid w:val="00420948"/>
    <w:rsid w:val="00420BA6"/>
    <w:rsid w:val="00420E13"/>
    <w:rsid w:val="0042121D"/>
    <w:rsid w:val="0042181C"/>
    <w:rsid w:val="004219E8"/>
    <w:rsid w:val="00421FAA"/>
    <w:rsid w:val="00422508"/>
    <w:rsid w:val="0042267A"/>
    <w:rsid w:val="00422BE1"/>
    <w:rsid w:val="00422C59"/>
    <w:rsid w:val="00422CFC"/>
    <w:rsid w:val="00423E35"/>
    <w:rsid w:val="0042412E"/>
    <w:rsid w:val="0042472D"/>
    <w:rsid w:val="0042505E"/>
    <w:rsid w:val="00425115"/>
    <w:rsid w:val="004257A7"/>
    <w:rsid w:val="00425A22"/>
    <w:rsid w:val="00425EF9"/>
    <w:rsid w:val="00426396"/>
    <w:rsid w:val="0042663A"/>
    <w:rsid w:val="0043009A"/>
    <w:rsid w:val="004303BB"/>
    <w:rsid w:val="004305C5"/>
    <w:rsid w:val="00430C05"/>
    <w:rsid w:val="0043115F"/>
    <w:rsid w:val="004318F9"/>
    <w:rsid w:val="00431977"/>
    <w:rsid w:val="00431BB8"/>
    <w:rsid w:val="004327A9"/>
    <w:rsid w:val="004329E5"/>
    <w:rsid w:val="00432B9E"/>
    <w:rsid w:val="00432F84"/>
    <w:rsid w:val="0043362A"/>
    <w:rsid w:val="00434374"/>
    <w:rsid w:val="00434E4F"/>
    <w:rsid w:val="00435197"/>
    <w:rsid w:val="0043557B"/>
    <w:rsid w:val="0043561C"/>
    <w:rsid w:val="0043678E"/>
    <w:rsid w:val="0043699B"/>
    <w:rsid w:val="00436DF9"/>
    <w:rsid w:val="00437005"/>
    <w:rsid w:val="00437B57"/>
    <w:rsid w:val="00440068"/>
    <w:rsid w:val="004410BC"/>
    <w:rsid w:val="00441164"/>
    <w:rsid w:val="004414D3"/>
    <w:rsid w:val="00441A6C"/>
    <w:rsid w:val="004420F9"/>
    <w:rsid w:val="004422EC"/>
    <w:rsid w:val="0044249D"/>
    <w:rsid w:val="004426AD"/>
    <w:rsid w:val="004435D7"/>
    <w:rsid w:val="0044410A"/>
    <w:rsid w:val="00444188"/>
    <w:rsid w:val="00444473"/>
    <w:rsid w:val="0044482D"/>
    <w:rsid w:val="00444927"/>
    <w:rsid w:val="004449A6"/>
    <w:rsid w:val="00444FEA"/>
    <w:rsid w:val="0044536C"/>
    <w:rsid w:val="004458AB"/>
    <w:rsid w:val="00445C9F"/>
    <w:rsid w:val="00445F4E"/>
    <w:rsid w:val="0044672C"/>
    <w:rsid w:val="00446D64"/>
    <w:rsid w:val="004503A1"/>
    <w:rsid w:val="00450674"/>
    <w:rsid w:val="0045197A"/>
    <w:rsid w:val="0045201A"/>
    <w:rsid w:val="00453DB3"/>
    <w:rsid w:val="00453DC1"/>
    <w:rsid w:val="00454B8F"/>
    <w:rsid w:val="00454C05"/>
    <w:rsid w:val="00454C20"/>
    <w:rsid w:val="0045546F"/>
    <w:rsid w:val="004558FA"/>
    <w:rsid w:val="00455CAE"/>
    <w:rsid w:val="00455E9B"/>
    <w:rsid w:val="00456D15"/>
    <w:rsid w:val="00456E51"/>
    <w:rsid w:val="004578E3"/>
    <w:rsid w:val="00457CF5"/>
    <w:rsid w:val="004602D4"/>
    <w:rsid w:val="0046031D"/>
    <w:rsid w:val="004608BA"/>
    <w:rsid w:val="00460A4B"/>
    <w:rsid w:val="00460AA8"/>
    <w:rsid w:val="00461252"/>
    <w:rsid w:val="0046159B"/>
    <w:rsid w:val="00461A7C"/>
    <w:rsid w:val="00461A84"/>
    <w:rsid w:val="00461E66"/>
    <w:rsid w:val="00462286"/>
    <w:rsid w:val="00462D87"/>
    <w:rsid w:val="00462D95"/>
    <w:rsid w:val="00462F25"/>
    <w:rsid w:val="004631A1"/>
    <w:rsid w:val="0046330C"/>
    <w:rsid w:val="00463393"/>
    <w:rsid w:val="00463717"/>
    <w:rsid w:val="00463754"/>
    <w:rsid w:val="004637CD"/>
    <w:rsid w:val="00463EC9"/>
    <w:rsid w:val="004653AD"/>
    <w:rsid w:val="00465498"/>
    <w:rsid w:val="00465A3C"/>
    <w:rsid w:val="00465A7C"/>
    <w:rsid w:val="00465F55"/>
    <w:rsid w:val="00466093"/>
    <w:rsid w:val="0046615C"/>
    <w:rsid w:val="0046635D"/>
    <w:rsid w:val="004666B2"/>
    <w:rsid w:val="00466742"/>
    <w:rsid w:val="00466A2E"/>
    <w:rsid w:val="00466AE4"/>
    <w:rsid w:val="00467370"/>
    <w:rsid w:val="0046756D"/>
    <w:rsid w:val="00467B68"/>
    <w:rsid w:val="00467D8B"/>
    <w:rsid w:val="0047122D"/>
    <w:rsid w:val="00471361"/>
    <w:rsid w:val="00471A12"/>
    <w:rsid w:val="00472834"/>
    <w:rsid w:val="004729E4"/>
    <w:rsid w:val="00472ADA"/>
    <w:rsid w:val="00472AF9"/>
    <w:rsid w:val="00472CA4"/>
    <w:rsid w:val="00472E87"/>
    <w:rsid w:val="004738E8"/>
    <w:rsid w:val="00474322"/>
    <w:rsid w:val="0047443D"/>
    <w:rsid w:val="00474620"/>
    <w:rsid w:val="004746A9"/>
    <w:rsid w:val="004746DA"/>
    <w:rsid w:val="00474A03"/>
    <w:rsid w:val="0047548C"/>
    <w:rsid w:val="004754C9"/>
    <w:rsid w:val="00476446"/>
    <w:rsid w:val="00476D81"/>
    <w:rsid w:val="0047762B"/>
    <w:rsid w:val="004779AB"/>
    <w:rsid w:val="00477B96"/>
    <w:rsid w:val="00477C52"/>
    <w:rsid w:val="00477CA1"/>
    <w:rsid w:val="00477FA2"/>
    <w:rsid w:val="004801BA"/>
    <w:rsid w:val="0048028B"/>
    <w:rsid w:val="00480316"/>
    <w:rsid w:val="00481382"/>
    <w:rsid w:val="00481C87"/>
    <w:rsid w:val="004828B4"/>
    <w:rsid w:val="00482F94"/>
    <w:rsid w:val="00483314"/>
    <w:rsid w:val="004836CB"/>
    <w:rsid w:val="004840B7"/>
    <w:rsid w:val="00485352"/>
    <w:rsid w:val="0048639E"/>
    <w:rsid w:val="00486EA4"/>
    <w:rsid w:val="00486FCB"/>
    <w:rsid w:val="004876C2"/>
    <w:rsid w:val="004878B6"/>
    <w:rsid w:val="00487B62"/>
    <w:rsid w:val="00487C76"/>
    <w:rsid w:val="00487F1E"/>
    <w:rsid w:val="004902C0"/>
    <w:rsid w:val="00490831"/>
    <w:rsid w:val="00491095"/>
    <w:rsid w:val="004918B1"/>
    <w:rsid w:val="00491C5E"/>
    <w:rsid w:val="0049269C"/>
    <w:rsid w:val="00492B8D"/>
    <w:rsid w:val="00492C56"/>
    <w:rsid w:val="00492F1A"/>
    <w:rsid w:val="0049304E"/>
    <w:rsid w:val="00493782"/>
    <w:rsid w:val="004939A6"/>
    <w:rsid w:val="00493CF5"/>
    <w:rsid w:val="00493E2D"/>
    <w:rsid w:val="00494B2E"/>
    <w:rsid w:val="004952A2"/>
    <w:rsid w:val="0049590C"/>
    <w:rsid w:val="00495D9A"/>
    <w:rsid w:val="004966E0"/>
    <w:rsid w:val="00496FD6"/>
    <w:rsid w:val="0049793F"/>
    <w:rsid w:val="004A05C8"/>
    <w:rsid w:val="004A0ECC"/>
    <w:rsid w:val="004A1163"/>
    <w:rsid w:val="004A1246"/>
    <w:rsid w:val="004A17FA"/>
    <w:rsid w:val="004A1932"/>
    <w:rsid w:val="004A1DAD"/>
    <w:rsid w:val="004A25D9"/>
    <w:rsid w:val="004A270B"/>
    <w:rsid w:val="004A29C7"/>
    <w:rsid w:val="004A2CD5"/>
    <w:rsid w:val="004A321F"/>
    <w:rsid w:val="004A3429"/>
    <w:rsid w:val="004A3A41"/>
    <w:rsid w:val="004A3F18"/>
    <w:rsid w:val="004A45FD"/>
    <w:rsid w:val="004A471D"/>
    <w:rsid w:val="004A493E"/>
    <w:rsid w:val="004A4D06"/>
    <w:rsid w:val="004A4FC8"/>
    <w:rsid w:val="004A5232"/>
    <w:rsid w:val="004A55BE"/>
    <w:rsid w:val="004A664D"/>
    <w:rsid w:val="004A6825"/>
    <w:rsid w:val="004A723F"/>
    <w:rsid w:val="004A76F0"/>
    <w:rsid w:val="004A7922"/>
    <w:rsid w:val="004B0A5F"/>
    <w:rsid w:val="004B11AD"/>
    <w:rsid w:val="004B140D"/>
    <w:rsid w:val="004B15CE"/>
    <w:rsid w:val="004B20E2"/>
    <w:rsid w:val="004B2630"/>
    <w:rsid w:val="004B2918"/>
    <w:rsid w:val="004B4A60"/>
    <w:rsid w:val="004B51A3"/>
    <w:rsid w:val="004B534E"/>
    <w:rsid w:val="004B5551"/>
    <w:rsid w:val="004B59CB"/>
    <w:rsid w:val="004B64D4"/>
    <w:rsid w:val="004B6901"/>
    <w:rsid w:val="004B6F05"/>
    <w:rsid w:val="004B702B"/>
    <w:rsid w:val="004B768B"/>
    <w:rsid w:val="004B7AD9"/>
    <w:rsid w:val="004C0244"/>
    <w:rsid w:val="004C0712"/>
    <w:rsid w:val="004C0F0D"/>
    <w:rsid w:val="004C0F1D"/>
    <w:rsid w:val="004C142D"/>
    <w:rsid w:val="004C175A"/>
    <w:rsid w:val="004C1838"/>
    <w:rsid w:val="004C19D2"/>
    <w:rsid w:val="004C1AA7"/>
    <w:rsid w:val="004C1CE3"/>
    <w:rsid w:val="004C2C95"/>
    <w:rsid w:val="004C3FD7"/>
    <w:rsid w:val="004C4648"/>
    <w:rsid w:val="004C48E5"/>
    <w:rsid w:val="004C4971"/>
    <w:rsid w:val="004C5AA1"/>
    <w:rsid w:val="004C5BBD"/>
    <w:rsid w:val="004C5D10"/>
    <w:rsid w:val="004C600D"/>
    <w:rsid w:val="004C6374"/>
    <w:rsid w:val="004C64D0"/>
    <w:rsid w:val="004C6641"/>
    <w:rsid w:val="004C683A"/>
    <w:rsid w:val="004C6B4F"/>
    <w:rsid w:val="004C6D63"/>
    <w:rsid w:val="004C6DF5"/>
    <w:rsid w:val="004C79D9"/>
    <w:rsid w:val="004D0EBA"/>
    <w:rsid w:val="004D14E1"/>
    <w:rsid w:val="004D199D"/>
    <w:rsid w:val="004D1E35"/>
    <w:rsid w:val="004D21E5"/>
    <w:rsid w:val="004D2237"/>
    <w:rsid w:val="004D259F"/>
    <w:rsid w:val="004D25E2"/>
    <w:rsid w:val="004D26A0"/>
    <w:rsid w:val="004D3A17"/>
    <w:rsid w:val="004D3E36"/>
    <w:rsid w:val="004D4588"/>
    <w:rsid w:val="004D4AC2"/>
    <w:rsid w:val="004D5038"/>
    <w:rsid w:val="004D50DC"/>
    <w:rsid w:val="004D51D4"/>
    <w:rsid w:val="004D5D9E"/>
    <w:rsid w:val="004D5EBD"/>
    <w:rsid w:val="004D6314"/>
    <w:rsid w:val="004D68BE"/>
    <w:rsid w:val="004D68ED"/>
    <w:rsid w:val="004D6A67"/>
    <w:rsid w:val="004D7312"/>
    <w:rsid w:val="004D7420"/>
    <w:rsid w:val="004E054D"/>
    <w:rsid w:val="004E06B0"/>
    <w:rsid w:val="004E07DA"/>
    <w:rsid w:val="004E1454"/>
    <w:rsid w:val="004E2459"/>
    <w:rsid w:val="004E26C8"/>
    <w:rsid w:val="004E2921"/>
    <w:rsid w:val="004E2BC5"/>
    <w:rsid w:val="004E305F"/>
    <w:rsid w:val="004E3834"/>
    <w:rsid w:val="004E3C85"/>
    <w:rsid w:val="004E3FB6"/>
    <w:rsid w:val="004E41AF"/>
    <w:rsid w:val="004E4277"/>
    <w:rsid w:val="004E46EE"/>
    <w:rsid w:val="004E4F95"/>
    <w:rsid w:val="004E53FC"/>
    <w:rsid w:val="004E578F"/>
    <w:rsid w:val="004E5CB9"/>
    <w:rsid w:val="004E5CF5"/>
    <w:rsid w:val="004E650B"/>
    <w:rsid w:val="004E6BC9"/>
    <w:rsid w:val="004E6CBA"/>
    <w:rsid w:val="004E73E8"/>
    <w:rsid w:val="004E7540"/>
    <w:rsid w:val="004E7FC0"/>
    <w:rsid w:val="004F0148"/>
    <w:rsid w:val="004F04C9"/>
    <w:rsid w:val="004F0564"/>
    <w:rsid w:val="004F056A"/>
    <w:rsid w:val="004F05B8"/>
    <w:rsid w:val="004F0DF9"/>
    <w:rsid w:val="004F1A7E"/>
    <w:rsid w:val="004F2715"/>
    <w:rsid w:val="004F2F35"/>
    <w:rsid w:val="004F34AC"/>
    <w:rsid w:val="004F3BE6"/>
    <w:rsid w:val="004F3D20"/>
    <w:rsid w:val="004F40AD"/>
    <w:rsid w:val="004F41C8"/>
    <w:rsid w:val="004F4978"/>
    <w:rsid w:val="004F4F47"/>
    <w:rsid w:val="004F56ED"/>
    <w:rsid w:val="004F588D"/>
    <w:rsid w:val="004F5D56"/>
    <w:rsid w:val="004F5FA0"/>
    <w:rsid w:val="004F6045"/>
    <w:rsid w:val="004F6147"/>
    <w:rsid w:val="004F614F"/>
    <w:rsid w:val="004F6782"/>
    <w:rsid w:val="004F69FE"/>
    <w:rsid w:val="004F6ED6"/>
    <w:rsid w:val="004F6EE4"/>
    <w:rsid w:val="004F752A"/>
    <w:rsid w:val="004F781C"/>
    <w:rsid w:val="004F7918"/>
    <w:rsid w:val="004F7F31"/>
    <w:rsid w:val="0050098F"/>
    <w:rsid w:val="00500CC6"/>
    <w:rsid w:val="00502190"/>
    <w:rsid w:val="005034E2"/>
    <w:rsid w:val="00503797"/>
    <w:rsid w:val="005038CB"/>
    <w:rsid w:val="0050398F"/>
    <w:rsid w:val="005039EE"/>
    <w:rsid w:val="00503F6D"/>
    <w:rsid w:val="00504CF2"/>
    <w:rsid w:val="00505B35"/>
    <w:rsid w:val="0050634D"/>
    <w:rsid w:val="00506441"/>
    <w:rsid w:val="005067EB"/>
    <w:rsid w:val="00506B64"/>
    <w:rsid w:val="00510431"/>
    <w:rsid w:val="005106A0"/>
    <w:rsid w:val="00510A77"/>
    <w:rsid w:val="00510B78"/>
    <w:rsid w:val="005111E1"/>
    <w:rsid w:val="00511586"/>
    <w:rsid w:val="0051227C"/>
    <w:rsid w:val="0051254F"/>
    <w:rsid w:val="005129F7"/>
    <w:rsid w:val="005130A1"/>
    <w:rsid w:val="005133C9"/>
    <w:rsid w:val="00513E25"/>
    <w:rsid w:val="0051430B"/>
    <w:rsid w:val="005144B5"/>
    <w:rsid w:val="00514710"/>
    <w:rsid w:val="0051524A"/>
    <w:rsid w:val="0051601C"/>
    <w:rsid w:val="005162F1"/>
    <w:rsid w:val="00516603"/>
    <w:rsid w:val="0051788F"/>
    <w:rsid w:val="0052095A"/>
    <w:rsid w:val="00520E0A"/>
    <w:rsid w:val="0052125B"/>
    <w:rsid w:val="00521565"/>
    <w:rsid w:val="005219BF"/>
    <w:rsid w:val="005221B4"/>
    <w:rsid w:val="005224A4"/>
    <w:rsid w:val="00522B66"/>
    <w:rsid w:val="00523055"/>
    <w:rsid w:val="005234BC"/>
    <w:rsid w:val="00523D53"/>
    <w:rsid w:val="00523D66"/>
    <w:rsid w:val="00523F12"/>
    <w:rsid w:val="00523FCF"/>
    <w:rsid w:val="0052446A"/>
    <w:rsid w:val="00524490"/>
    <w:rsid w:val="00525285"/>
    <w:rsid w:val="0052553B"/>
    <w:rsid w:val="00525A6A"/>
    <w:rsid w:val="00525BBB"/>
    <w:rsid w:val="00526118"/>
    <w:rsid w:val="005263EB"/>
    <w:rsid w:val="0052699C"/>
    <w:rsid w:val="00526C90"/>
    <w:rsid w:val="00526CF2"/>
    <w:rsid w:val="0052700A"/>
    <w:rsid w:val="005275E5"/>
    <w:rsid w:val="00527868"/>
    <w:rsid w:val="00527A5E"/>
    <w:rsid w:val="00527BA9"/>
    <w:rsid w:val="00530166"/>
    <w:rsid w:val="00530771"/>
    <w:rsid w:val="00530783"/>
    <w:rsid w:val="00530833"/>
    <w:rsid w:val="00530DE9"/>
    <w:rsid w:val="00530EBF"/>
    <w:rsid w:val="00531469"/>
    <w:rsid w:val="005320EA"/>
    <w:rsid w:val="0053578C"/>
    <w:rsid w:val="00535955"/>
    <w:rsid w:val="0053625D"/>
    <w:rsid w:val="00536F59"/>
    <w:rsid w:val="00537507"/>
    <w:rsid w:val="00537A32"/>
    <w:rsid w:val="0054077E"/>
    <w:rsid w:val="00540889"/>
    <w:rsid w:val="00540997"/>
    <w:rsid w:val="005412F3"/>
    <w:rsid w:val="00541413"/>
    <w:rsid w:val="005414EF"/>
    <w:rsid w:val="00542366"/>
    <w:rsid w:val="005424AA"/>
    <w:rsid w:val="005425AD"/>
    <w:rsid w:val="00542A02"/>
    <w:rsid w:val="005431F0"/>
    <w:rsid w:val="005431FC"/>
    <w:rsid w:val="0054332B"/>
    <w:rsid w:val="00544329"/>
    <w:rsid w:val="00544453"/>
    <w:rsid w:val="005446AA"/>
    <w:rsid w:val="005448CD"/>
    <w:rsid w:val="00545440"/>
    <w:rsid w:val="0054766B"/>
    <w:rsid w:val="005501CE"/>
    <w:rsid w:val="00550AA6"/>
    <w:rsid w:val="005516BD"/>
    <w:rsid w:val="0055172A"/>
    <w:rsid w:val="00552833"/>
    <w:rsid w:val="00552F06"/>
    <w:rsid w:val="005530E3"/>
    <w:rsid w:val="00553457"/>
    <w:rsid w:val="005539EC"/>
    <w:rsid w:val="00553A0B"/>
    <w:rsid w:val="00554329"/>
    <w:rsid w:val="00554607"/>
    <w:rsid w:val="00554627"/>
    <w:rsid w:val="005547FF"/>
    <w:rsid w:val="00555E12"/>
    <w:rsid w:val="005563C9"/>
    <w:rsid w:val="005566AA"/>
    <w:rsid w:val="00556B93"/>
    <w:rsid w:val="0055711B"/>
    <w:rsid w:val="0055738E"/>
    <w:rsid w:val="005574F9"/>
    <w:rsid w:val="00560031"/>
    <w:rsid w:val="00560404"/>
    <w:rsid w:val="00560624"/>
    <w:rsid w:val="00560881"/>
    <w:rsid w:val="00560C38"/>
    <w:rsid w:val="00560D2B"/>
    <w:rsid w:val="00560DE2"/>
    <w:rsid w:val="00560FAC"/>
    <w:rsid w:val="005611B9"/>
    <w:rsid w:val="005612D4"/>
    <w:rsid w:val="005613A3"/>
    <w:rsid w:val="005613A7"/>
    <w:rsid w:val="00561975"/>
    <w:rsid w:val="005619B7"/>
    <w:rsid w:val="00561C1C"/>
    <w:rsid w:val="00561CCE"/>
    <w:rsid w:val="00561D3C"/>
    <w:rsid w:val="00562E3D"/>
    <w:rsid w:val="005634BA"/>
    <w:rsid w:val="00563ADB"/>
    <w:rsid w:val="00563F75"/>
    <w:rsid w:val="005640EB"/>
    <w:rsid w:val="00564600"/>
    <w:rsid w:val="0056495D"/>
    <w:rsid w:val="00564EB4"/>
    <w:rsid w:val="005651DE"/>
    <w:rsid w:val="00565514"/>
    <w:rsid w:val="0056557A"/>
    <w:rsid w:val="005659DE"/>
    <w:rsid w:val="00565FCB"/>
    <w:rsid w:val="00566845"/>
    <w:rsid w:val="00566A6C"/>
    <w:rsid w:val="00566F82"/>
    <w:rsid w:val="00567B69"/>
    <w:rsid w:val="0057013D"/>
    <w:rsid w:val="00570584"/>
    <w:rsid w:val="0057094E"/>
    <w:rsid w:val="00570A00"/>
    <w:rsid w:val="005712D6"/>
    <w:rsid w:val="00571812"/>
    <w:rsid w:val="00571DCD"/>
    <w:rsid w:val="0057218C"/>
    <w:rsid w:val="005723F9"/>
    <w:rsid w:val="00572C81"/>
    <w:rsid w:val="00572E70"/>
    <w:rsid w:val="00572EB6"/>
    <w:rsid w:val="00573369"/>
    <w:rsid w:val="005737C9"/>
    <w:rsid w:val="00573C20"/>
    <w:rsid w:val="00574098"/>
    <w:rsid w:val="0057418A"/>
    <w:rsid w:val="00574923"/>
    <w:rsid w:val="00574D59"/>
    <w:rsid w:val="0057535A"/>
    <w:rsid w:val="00575C24"/>
    <w:rsid w:val="00576226"/>
    <w:rsid w:val="005762EA"/>
    <w:rsid w:val="005767AE"/>
    <w:rsid w:val="00576933"/>
    <w:rsid w:val="005773EC"/>
    <w:rsid w:val="00580390"/>
    <w:rsid w:val="00580F52"/>
    <w:rsid w:val="005816EE"/>
    <w:rsid w:val="005817B2"/>
    <w:rsid w:val="005819F7"/>
    <w:rsid w:val="00581C35"/>
    <w:rsid w:val="0058204A"/>
    <w:rsid w:val="00582265"/>
    <w:rsid w:val="005824C6"/>
    <w:rsid w:val="00582629"/>
    <w:rsid w:val="00582674"/>
    <w:rsid w:val="005826EE"/>
    <w:rsid w:val="0058271E"/>
    <w:rsid w:val="0058283F"/>
    <w:rsid w:val="00582BA6"/>
    <w:rsid w:val="005834BC"/>
    <w:rsid w:val="00583930"/>
    <w:rsid w:val="00583BFE"/>
    <w:rsid w:val="00583D8A"/>
    <w:rsid w:val="00583DBE"/>
    <w:rsid w:val="005840EF"/>
    <w:rsid w:val="005845A3"/>
    <w:rsid w:val="005848F8"/>
    <w:rsid w:val="00584E2F"/>
    <w:rsid w:val="00585151"/>
    <w:rsid w:val="0058523B"/>
    <w:rsid w:val="0058525B"/>
    <w:rsid w:val="00585C03"/>
    <w:rsid w:val="00585F1C"/>
    <w:rsid w:val="00586637"/>
    <w:rsid w:val="00587C46"/>
    <w:rsid w:val="00587F56"/>
    <w:rsid w:val="00587FD9"/>
    <w:rsid w:val="005902C9"/>
    <w:rsid w:val="005908B9"/>
    <w:rsid w:val="00591265"/>
    <w:rsid w:val="00591283"/>
    <w:rsid w:val="005915A4"/>
    <w:rsid w:val="005924D3"/>
    <w:rsid w:val="005924F1"/>
    <w:rsid w:val="005925E3"/>
    <w:rsid w:val="0059304D"/>
    <w:rsid w:val="005933AE"/>
    <w:rsid w:val="005934A8"/>
    <w:rsid w:val="00593CBE"/>
    <w:rsid w:val="00593F5D"/>
    <w:rsid w:val="0059404E"/>
    <w:rsid w:val="005944F1"/>
    <w:rsid w:val="005948E1"/>
    <w:rsid w:val="00594B14"/>
    <w:rsid w:val="00595156"/>
    <w:rsid w:val="005965C9"/>
    <w:rsid w:val="005966C9"/>
    <w:rsid w:val="005967C0"/>
    <w:rsid w:val="00596832"/>
    <w:rsid w:val="00596CCB"/>
    <w:rsid w:val="00596DB6"/>
    <w:rsid w:val="005970CD"/>
    <w:rsid w:val="00597753"/>
    <w:rsid w:val="005979C3"/>
    <w:rsid w:val="00597E6F"/>
    <w:rsid w:val="005A0203"/>
    <w:rsid w:val="005A052F"/>
    <w:rsid w:val="005A05DF"/>
    <w:rsid w:val="005A0C7F"/>
    <w:rsid w:val="005A0ECA"/>
    <w:rsid w:val="005A0EFC"/>
    <w:rsid w:val="005A1018"/>
    <w:rsid w:val="005A1099"/>
    <w:rsid w:val="005A10AE"/>
    <w:rsid w:val="005A12EF"/>
    <w:rsid w:val="005A13B0"/>
    <w:rsid w:val="005A15D8"/>
    <w:rsid w:val="005A1980"/>
    <w:rsid w:val="005A1A26"/>
    <w:rsid w:val="005A1BC8"/>
    <w:rsid w:val="005A1C64"/>
    <w:rsid w:val="005A1F74"/>
    <w:rsid w:val="005A207E"/>
    <w:rsid w:val="005A256B"/>
    <w:rsid w:val="005A2593"/>
    <w:rsid w:val="005A3196"/>
    <w:rsid w:val="005A339E"/>
    <w:rsid w:val="005A3858"/>
    <w:rsid w:val="005A3CF7"/>
    <w:rsid w:val="005A3E4B"/>
    <w:rsid w:val="005A408B"/>
    <w:rsid w:val="005A48B4"/>
    <w:rsid w:val="005A581C"/>
    <w:rsid w:val="005A6E32"/>
    <w:rsid w:val="005A6F80"/>
    <w:rsid w:val="005A7215"/>
    <w:rsid w:val="005A726F"/>
    <w:rsid w:val="005A7550"/>
    <w:rsid w:val="005A782E"/>
    <w:rsid w:val="005A793B"/>
    <w:rsid w:val="005A79AE"/>
    <w:rsid w:val="005A7EBC"/>
    <w:rsid w:val="005B0168"/>
    <w:rsid w:val="005B01B7"/>
    <w:rsid w:val="005B05E7"/>
    <w:rsid w:val="005B0774"/>
    <w:rsid w:val="005B0E02"/>
    <w:rsid w:val="005B1731"/>
    <w:rsid w:val="005B2054"/>
    <w:rsid w:val="005B247D"/>
    <w:rsid w:val="005B2561"/>
    <w:rsid w:val="005B25AA"/>
    <w:rsid w:val="005B2607"/>
    <w:rsid w:val="005B26FD"/>
    <w:rsid w:val="005B3EF1"/>
    <w:rsid w:val="005B3F34"/>
    <w:rsid w:val="005B429E"/>
    <w:rsid w:val="005B42A7"/>
    <w:rsid w:val="005B44D0"/>
    <w:rsid w:val="005B4CD8"/>
    <w:rsid w:val="005B5B11"/>
    <w:rsid w:val="005B5C27"/>
    <w:rsid w:val="005B5C4A"/>
    <w:rsid w:val="005B5FC3"/>
    <w:rsid w:val="005B60BD"/>
    <w:rsid w:val="005B67FE"/>
    <w:rsid w:val="005B6837"/>
    <w:rsid w:val="005B705F"/>
    <w:rsid w:val="005B7A53"/>
    <w:rsid w:val="005C0607"/>
    <w:rsid w:val="005C0A76"/>
    <w:rsid w:val="005C0F3A"/>
    <w:rsid w:val="005C0F51"/>
    <w:rsid w:val="005C0FA9"/>
    <w:rsid w:val="005C0FE5"/>
    <w:rsid w:val="005C11E6"/>
    <w:rsid w:val="005C147A"/>
    <w:rsid w:val="005C1F3B"/>
    <w:rsid w:val="005C208C"/>
    <w:rsid w:val="005C2A7E"/>
    <w:rsid w:val="005C2E67"/>
    <w:rsid w:val="005C35ED"/>
    <w:rsid w:val="005C35FA"/>
    <w:rsid w:val="005C37F2"/>
    <w:rsid w:val="005C42EA"/>
    <w:rsid w:val="005C4616"/>
    <w:rsid w:val="005C4D24"/>
    <w:rsid w:val="005C4DD7"/>
    <w:rsid w:val="005C539A"/>
    <w:rsid w:val="005C5693"/>
    <w:rsid w:val="005C6F04"/>
    <w:rsid w:val="005C74F8"/>
    <w:rsid w:val="005C75B9"/>
    <w:rsid w:val="005C778A"/>
    <w:rsid w:val="005C794A"/>
    <w:rsid w:val="005C7B1F"/>
    <w:rsid w:val="005D070B"/>
    <w:rsid w:val="005D0C8D"/>
    <w:rsid w:val="005D12BF"/>
    <w:rsid w:val="005D14E9"/>
    <w:rsid w:val="005D1B75"/>
    <w:rsid w:val="005D1C71"/>
    <w:rsid w:val="005D21A6"/>
    <w:rsid w:val="005D29D5"/>
    <w:rsid w:val="005D3947"/>
    <w:rsid w:val="005D3D18"/>
    <w:rsid w:val="005D3E4A"/>
    <w:rsid w:val="005D3E97"/>
    <w:rsid w:val="005D3F76"/>
    <w:rsid w:val="005D4095"/>
    <w:rsid w:val="005D4641"/>
    <w:rsid w:val="005D49FF"/>
    <w:rsid w:val="005D4ACD"/>
    <w:rsid w:val="005D4BBC"/>
    <w:rsid w:val="005D4C36"/>
    <w:rsid w:val="005D4D0A"/>
    <w:rsid w:val="005D4D75"/>
    <w:rsid w:val="005D526E"/>
    <w:rsid w:val="005D52B6"/>
    <w:rsid w:val="005D5695"/>
    <w:rsid w:val="005D63D6"/>
    <w:rsid w:val="005D6CA0"/>
    <w:rsid w:val="005D7ED3"/>
    <w:rsid w:val="005E0862"/>
    <w:rsid w:val="005E08CF"/>
    <w:rsid w:val="005E1375"/>
    <w:rsid w:val="005E147F"/>
    <w:rsid w:val="005E178A"/>
    <w:rsid w:val="005E1CEB"/>
    <w:rsid w:val="005E2576"/>
    <w:rsid w:val="005E2A30"/>
    <w:rsid w:val="005E2FF1"/>
    <w:rsid w:val="005E3850"/>
    <w:rsid w:val="005E3B4D"/>
    <w:rsid w:val="005E3B5B"/>
    <w:rsid w:val="005E3DEF"/>
    <w:rsid w:val="005E3EE3"/>
    <w:rsid w:val="005E41A6"/>
    <w:rsid w:val="005E4E97"/>
    <w:rsid w:val="005E54F0"/>
    <w:rsid w:val="005E5790"/>
    <w:rsid w:val="005E57F7"/>
    <w:rsid w:val="005E5C65"/>
    <w:rsid w:val="005E5DFA"/>
    <w:rsid w:val="005E682E"/>
    <w:rsid w:val="005E68F3"/>
    <w:rsid w:val="005E6A57"/>
    <w:rsid w:val="005E6F86"/>
    <w:rsid w:val="005E70D9"/>
    <w:rsid w:val="005E7479"/>
    <w:rsid w:val="005E756A"/>
    <w:rsid w:val="005E7892"/>
    <w:rsid w:val="005F0245"/>
    <w:rsid w:val="005F0652"/>
    <w:rsid w:val="005F07BE"/>
    <w:rsid w:val="005F0DE4"/>
    <w:rsid w:val="005F1146"/>
    <w:rsid w:val="005F191F"/>
    <w:rsid w:val="005F3C0A"/>
    <w:rsid w:val="005F3CEA"/>
    <w:rsid w:val="005F4587"/>
    <w:rsid w:val="005F4A97"/>
    <w:rsid w:val="005F4E85"/>
    <w:rsid w:val="005F546F"/>
    <w:rsid w:val="005F5479"/>
    <w:rsid w:val="005F5B32"/>
    <w:rsid w:val="005F66DC"/>
    <w:rsid w:val="005F731B"/>
    <w:rsid w:val="005F786A"/>
    <w:rsid w:val="005F7EA3"/>
    <w:rsid w:val="00600DA1"/>
    <w:rsid w:val="006013FB"/>
    <w:rsid w:val="00601583"/>
    <w:rsid w:val="00601F1A"/>
    <w:rsid w:val="00601F8B"/>
    <w:rsid w:val="0060259D"/>
    <w:rsid w:val="00602746"/>
    <w:rsid w:val="0060294C"/>
    <w:rsid w:val="00602FB1"/>
    <w:rsid w:val="00603073"/>
    <w:rsid w:val="00603105"/>
    <w:rsid w:val="00603128"/>
    <w:rsid w:val="006036E2"/>
    <w:rsid w:val="006037C5"/>
    <w:rsid w:val="00603A7A"/>
    <w:rsid w:val="00604319"/>
    <w:rsid w:val="00604F87"/>
    <w:rsid w:val="0060508A"/>
    <w:rsid w:val="006052B9"/>
    <w:rsid w:val="00605607"/>
    <w:rsid w:val="00605E4D"/>
    <w:rsid w:val="00606002"/>
    <w:rsid w:val="0060624B"/>
    <w:rsid w:val="00606458"/>
    <w:rsid w:val="00606720"/>
    <w:rsid w:val="00606841"/>
    <w:rsid w:val="00606CC5"/>
    <w:rsid w:val="00606E65"/>
    <w:rsid w:val="00607141"/>
    <w:rsid w:val="00607385"/>
    <w:rsid w:val="00607B23"/>
    <w:rsid w:val="00610057"/>
    <w:rsid w:val="00610C20"/>
    <w:rsid w:val="00611189"/>
    <w:rsid w:val="00611765"/>
    <w:rsid w:val="0061233F"/>
    <w:rsid w:val="006125C5"/>
    <w:rsid w:val="00612766"/>
    <w:rsid w:val="0061278B"/>
    <w:rsid w:val="00612B0D"/>
    <w:rsid w:val="0061385B"/>
    <w:rsid w:val="00613AB5"/>
    <w:rsid w:val="006144BB"/>
    <w:rsid w:val="00614667"/>
    <w:rsid w:val="006149AD"/>
    <w:rsid w:val="00614CAC"/>
    <w:rsid w:val="00615189"/>
    <w:rsid w:val="00616089"/>
    <w:rsid w:val="00616900"/>
    <w:rsid w:val="00616A41"/>
    <w:rsid w:val="00616ACC"/>
    <w:rsid w:val="00616B2A"/>
    <w:rsid w:val="0061744E"/>
    <w:rsid w:val="0061799E"/>
    <w:rsid w:val="00617B9D"/>
    <w:rsid w:val="00617CDA"/>
    <w:rsid w:val="00620102"/>
    <w:rsid w:val="0062032D"/>
    <w:rsid w:val="006204D9"/>
    <w:rsid w:val="0062057F"/>
    <w:rsid w:val="006205AD"/>
    <w:rsid w:val="0062165E"/>
    <w:rsid w:val="00621934"/>
    <w:rsid w:val="00621C89"/>
    <w:rsid w:val="00621FA9"/>
    <w:rsid w:val="00622007"/>
    <w:rsid w:val="00622079"/>
    <w:rsid w:val="00622782"/>
    <w:rsid w:val="00622874"/>
    <w:rsid w:val="006239A3"/>
    <w:rsid w:val="00623D94"/>
    <w:rsid w:val="00623F1D"/>
    <w:rsid w:val="00624D93"/>
    <w:rsid w:val="006254B1"/>
    <w:rsid w:val="0062607F"/>
    <w:rsid w:val="006261D9"/>
    <w:rsid w:val="006265D8"/>
    <w:rsid w:val="00626AAB"/>
    <w:rsid w:val="00630007"/>
    <w:rsid w:val="006305AE"/>
    <w:rsid w:val="00630940"/>
    <w:rsid w:val="00630B6A"/>
    <w:rsid w:val="006312F7"/>
    <w:rsid w:val="00631B50"/>
    <w:rsid w:val="006320CB"/>
    <w:rsid w:val="00632656"/>
    <w:rsid w:val="00632F67"/>
    <w:rsid w:val="006331E5"/>
    <w:rsid w:val="006335DE"/>
    <w:rsid w:val="006339B8"/>
    <w:rsid w:val="00633FD6"/>
    <w:rsid w:val="006345ED"/>
    <w:rsid w:val="006345EE"/>
    <w:rsid w:val="00634C72"/>
    <w:rsid w:val="0063515E"/>
    <w:rsid w:val="006361DC"/>
    <w:rsid w:val="00636330"/>
    <w:rsid w:val="00640005"/>
    <w:rsid w:val="0064043A"/>
    <w:rsid w:val="0064099A"/>
    <w:rsid w:val="00640EE9"/>
    <w:rsid w:val="00640FBA"/>
    <w:rsid w:val="00641758"/>
    <w:rsid w:val="00641A7A"/>
    <w:rsid w:val="00641B57"/>
    <w:rsid w:val="00641DF1"/>
    <w:rsid w:val="00641E4F"/>
    <w:rsid w:val="006420AB"/>
    <w:rsid w:val="00642978"/>
    <w:rsid w:val="00642B83"/>
    <w:rsid w:val="0064341D"/>
    <w:rsid w:val="00644462"/>
    <w:rsid w:val="00645164"/>
    <w:rsid w:val="00645C8C"/>
    <w:rsid w:val="006469A2"/>
    <w:rsid w:val="00646AB8"/>
    <w:rsid w:val="00646D0D"/>
    <w:rsid w:val="006470E5"/>
    <w:rsid w:val="006471F9"/>
    <w:rsid w:val="0064776F"/>
    <w:rsid w:val="0064782E"/>
    <w:rsid w:val="006479EC"/>
    <w:rsid w:val="00647A3C"/>
    <w:rsid w:val="0065045B"/>
    <w:rsid w:val="006507E9"/>
    <w:rsid w:val="00650822"/>
    <w:rsid w:val="00650A98"/>
    <w:rsid w:val="006521E6"/>
    <w:rsid w:val="006525F9"/>
    <w:rsid w:val="00652863"/>
    <w:rsid w:val="0065290E"/>
    <w:rsid w:val="00652921"/>
    <w:rsid w:val="00652950"/>
    <w:rsid w:val="00652E02"/>
    <w:rsid w:val="006532FB"/>
    <w:rsid w:val="00653C4B"/>
    <w:rsid w:val="00653D6D"/>
    <w:rsid w:val="006548AD"/>
    <w:rsid w:val="00654978"/>
    <w:rsid w:val="00655018"/>
    <w:rsid w:val="006559C6"/>
    <w:rsid w:val="006560A2"/>
    <w:rsid w:val="00656401"/>
    <w:rsid w:val="00656989"/>
    <w:rsid w:val="006572C7"/>
    <w:rsid w:val="00657372"/>
    <w:rsid w:val="006578FA"/>
    <w:rsid w:val="0066025F"/>
    <w:rsid w:val="00660473"/>
    <w:rsid w:val="0066047B"/>
    <w:rsid w:val="00660E13"/>
    <w:rsid w:val="0066141F"/>
    <w:rsid w:val="00661471"/>
    <w:rsid w:val="006615CE"/>
    <w:rsid w:val="00661B9D"/>
    <w:rsid w:val="006624EE"/>
    <w:rsid w:val="006628C1"/>
    <w:rsid w:val="00662E8A"/>
    <w:rsid w:val="00663136"/>
    <w:rsid w:val="00663BB8"/>
    <w:rsid w:val="00663CD7"/>
    <w:rsid w:val="00663EBA"/>
    <w:rsid w:val="00663F2E"/>
    <w:rsid w:val="0066419D"/>
    <w:rsid w:val="0066434A"/>
    <w:rsid w:val="00664404"/>
    <w:rsid w:val="00664879"/>
    <w:rsid w:val="006655C3"/>
    <w:rsid w:val="00665DB3"/>
    <w:rsid w:val="006661AE"/>
    <w:rsid w:val="006661E7"/>
    <w:rsid w:val="0066694C"/>
    <w:rsid w:val="00666EAA"/>
    <w:rsid w:val="0066711D"/>
    <w:rsid w:val="006671D6"/>
    <w:rsid w:val="00667451"/>
    <w:rsid w:val="006674AF"/>
    <w:rsid w:val="00667861"/>
    <w:rsid w:val="00667CE2"/>
    <w:rsid w:val="00667EF3"/>
    <w:rsid w:val="00667FEE"/>
    <w:rsid w:val="00670175"/>
    <w:rsid w:val="006701A1"/>
    <w:rsid w:val="006707CC"/>
    <w:rsid w:val="006708F6"/>
    <w:rsid w:val="00670DF0"/>
    <w:rsid w:val="00670E7B"/>
    <w:rsid w:val="00670ECD"/>
    <w:rsid w:val="0067129F"/>
    <w:rsid w:val="00671629"/>
    <w:rsid w:val="00671A26"/>
    <w:rsid w:val="00671D8A"/>
    <w:rsid w:val="00671E40"/>
    <w:rsid w:val="00671EAF"/>
    <w:rsid w:val="00673BEE"/>
    <w:rsid w:val="00673D65"/>
    <w:rsid w:val="00673E42"/>
    <w:rsid w:val="006740EF"/>
    <w:rsid w:val="006746D0"/>
    <w:rsid w:val="00675115"/>
    <w:rsid w:val="00675502"/>
    <w:rsid w:val="00675FA0"/>
    <w:rsid w:val="006775D3"/>
    <w:rsid w:val="00677B79"/>
    <w:rsid w:val="00677FAC"/>
    <w:rsid w:val="006805AC"/>
    <w:rsid w:val="00680B1F"/>
    <w:rsid w:val="00680E20"/>
    <w:rsid w:val="00680E4A"/>
    <w:rsid w:val="00681209"/>
    <w:rsid w:val="00681436"/>
    <w:rsid w:val="006815F6"/>
    <w:rsid w:val="00681A6F"/>
    <w:rsid w:val="00681C2D"/>
    <w:rsid w:val="00681D97"/>
    <w:rsid w:val="00681E9C"/>
    <w:rsid w:val="00681F24"/>
    <w:rsid w:val="006826D6"/>
    <w:rsid w:val="00682D13"/>
    <w:rsid w:val="00682DEB"/>
    <w:rsid w:val="00682F49"/>
    <w:rsid w:val="006838FF"/>
    <w:rsid w:val="00683A08"/>
    <w:rsid w:val="006840B6"/>
    <w:rsid w:val="006840C7"/>
    <w:rsid w:val="0068441B"/>
    <w:rsid w:val="0068476F"/>
    <w:rsid w:val="00684C89"/>
    <w:rsid w:val="00685196"/>
    <w:rsid w:val="0068553C"/>
    <w:rsid w:val="006856C2"/>
    <w:rsid w:val="00686F72"/>
    <w:rsid w:val="0068744E"/>
    <w:rsid w:val="00687644"/>
    <w:rsid w:val="00687A58"/>
    <w:rsid w:val="00687CF6"/>
    <w:rsid w:val="00687D00"/>
    <w:rsid w:val="0069098B"/>
    <w:rsid w:val="00691115"/>
    <w:rsid w:val="006914F0"/>
    <w:rsid w:val="006915DB"/>
    <w:rsid w:val="006926D4"/>
    <w:rsid w:val="00692D1A"/>
    <w:rsid w:val="006930F8"/>
    <w:rsid w:val="00693912"/>
    <w:rsid w:val="00693BDB"/>
    <w:rsid w:val="006940D3"/>
    <w:rsid w:val="006940F0"/>
    <w:rsid w:val="00694113"/>
    <w:rsid w:val="006947F6"/>
    <w:rsid w:val="006949CD"/>
    <w:rsid w:val="00694D72"/>
    <w:rsid w:val="00695C9D"/>
    <w:rsid w:val="006962AA"/>
    <w:rsid w:val="006966DF"/>
    <w:rsid w:val="00696FF1"/>
    <w:rsid w:val="006972F7"/>
    <w:rsid w:val="00697F3F"/>
    <w:rsid w:val="006A0405"/>
    <w:rsid w:val="006A0747"/>
    <w:rsid w:val="006A14AC"/>
    <w:rsid w:val="006A1640"/>
    <w:rsid w:val="006A16A8"/>
    <w:rsid w:val="006A18E6"/>
    <w:rsid w:val="006A1DBF"/>
    <w:rsid w:val="006A273B"/>
    <w:rsid w:val="006A29F8"/>
    <w:rsid w:val="006A3786"/>
    <w:rsid w:val="006A3E95"/>
    <w:rsid w:val="006A43FD"/>
    <w:rsid w:val="006A4E28"/>
    <w:rsid w:val="006A50E1"/>
    <w:rsid w:val="006A55B0"/>
    <w:rsid w:val="006A5946"/>
    <w:rsid w:val="006A5BE3"/>
    <w:rsid w:val="006A5C43"/>
    <w:rsid w:val="006A683D"/>
    <w:rsid w:val="006A6C1F"/>
    <w:rsid w:val="006A6CA6"/>
    <w:rsid w:val="006A77AB"/>
    <w:rsid w:val="006A7A44"/>
    <w:rsid w:val="006A7D09"/>
    <w:rsid w:val="006B0723"/>
    <w:rsid w:val="006B0794"/>
    <w:rsid w:val="006B0EF2"/>
    <w:rsid w:val="006B1213"/>
    <w:rsid w:val="006B14B4"/>
    <w:rsid w:val="006B1692"/>
    <w:rsid w:val="006B1A4C"/>
    <w:rsid w:val="006B25B8"/>
    <w:rsid w:val="006B26C9"/>
    <w:rsid w:val="006B3E1A"/>
    <w:rsid w:val="006B3F37"/>
    <w:rsid w:val="006B484B"/>
    <w:rsid w:val="006B49F5"/>
    <w:rsid w:val="006B4DB0"/>
    <w:rsid w:val="006B51B9"/>
    <w:rsid w:val="006B6130"/>
    <w:rsid w:val="006B632A"/>
    <w:rsid w:val="006B657B"/>
    <w:rsid w:val="006B7123"/>
    <w:rsid w:val="006B75B6"/>
    <w:rsid w:val="006B7772"/>
    <w:rsid w:val="006C0484"/>
    <w:rsid w:val="006C05A9"/>
    <w:rsid w:val="006C0F83"/>
    <w:rsid w:val="006C179E"/>
    <w:rsid w:val="006C1850"/>
    <w:rsid w:val="006C1A10"/>
    <w:rsid w:val="006C1A5F"/>
    <w:rsid w:val="006C1D4C"/>
    <w:rsid w:val="006C2910"/>
    <w:rsid w:val="006C2CB1"/>
    <w:rsid w:val="006C2D53"/>
    <w:rsid w:val="006C3AB5"/>
    <w:rsid w:val="006C3FF2"/>
    <w:rsid w:val="006C562C"/>
    <w:rsid w:val="006C61A8"/>
    <w:rsid w:val="006C65A0"/>
    <w:rsid w:val="006C6E7A"/>
    <w:rsid w:val="006C7394"/>
    <w:rsid w:val="006C76C7"/>
    <w:rsid w:val="006C7EC3"/>
    <w:rsid w:val="006D023C"/>
    <w:rsid w:val="006D0793"/>
    <w:rsid w:val="006D0B8E"/>
    <w:rsid w:val="006D0F97"/>
    <w:rsid w:val="006D130E"/>
    <w:rsid w:val="006D1A28"/>
    <w:rsid w:val="006D1B1C"/>
    <w:rsid w:val="006D21C1"/>
    <w:rsid w:val="006D2BDA"/>
    <w:rsid w:val="006D348B"/>
    <w:rsid w:val="006D3522"/>
    <w:rsid w:val="006D3530"/>
    <w:rsid w:val="006D3751"/>
    <w:rsid w:val="006D4415"/>
    <w:rsid w:val="006D47F4"/>
    <w:rsid w:val="006D48BD"/>
    <w:rsid w:val="006D4DAD"/>
    <w:rsid w:val="006D511D"/>
    <w:rsid w:val="006D5683"/>
    <w:rsid w:val="006D60C9"/>
    <w:rsid w:val="006D6997"/>
    <w:rsid w:val="006D6F11"/>
    <w:rsid w:val="006D7E4B"/>
    <w:rsid w:val="006D7EAC"/>
    <w:rsid w:val="006E02BA"/>
    <w:rsid w:val="006E03A8"/>
    <w:rsid w:val="006E0CFF"/>
    <w:rsid w:val="006E17E8"/>
    <w:rsid w:val="006E1A47"/>
    <w:rsid w:val="006E255D"/>
    <w:rsid w:val="006E3379"/>
    <w:rsid w:val="006E3648"/>
    <w:rsid w:val="006E38CF"/>
    <w:rsid w:val="006E4494"/>
    <w:rsid w:val="006E551D"/>
    <w:rsid w:val="006E566E"/>
    <w:rsid w:val="006E5CD9"/>
    <w:rsid w:val="006E737E"/>
    <w:rsid w:val="006E7CBD"/>
    <w:rsid w:val="006E7FC2"/>
    <w:rsid w:val="006F000F"/>
    <w:rsid w:val="006F003B"/>
    <w:rsid w:val="006F090F"/>
    <w:rsid w:val="006F1238"/>
    <w:rsid w:val="006F1358"/>
    <w:rsid w:val="006F1F39"/>
    <w:rsid w:val="006F27E3"/>
    <w:rsid w:val="006F28FB"/>
    <w:rsid w:val="006F2EE7"/>
    <w:rsid w:val="006F316D"/>
    <w:rsid w:val="006F337A"/>
    <w:rsid w:val="006F3918"/>
    <w:rsid w:val="006F39CD"/>
    <w:rsid w:val="006F3DAA"/>
    <w:rsid w:val="006F4F72"/>
    <w:rsid w:val="006F529F"/>
    <w:rsid w:val="006F5FB6"/>
    <w:rsid w:val="006F7DDF"/>
    <w:rsid w:val="00700123"/>
    <w:rsid w:val="007004A0"/>
    <w:rsid w:val="0070109F"/>
    <w:rsid w:val="00701447"/>
    <w:rsid w:val="007016A8"/>
    <w:rsid w:val="007016D3"/>
    <w:rsid w:val="00701979"/>
    <w:rsid w:val="00701F65"/>
    <w:rsid w:val="007021FC"/>
    <w:rsid w:val="007023A5"/>
    <w:rsid w:val="00702672"/>
    <w:rsid w:val="00702F78"/>
    <w:rsid w:val="00702F7F"/>
    <w:rsid w:val="00703425"/>
    <w:rsid w:val="00703C9A"/>
    <w:rsid w:val="00703CFD"/>
    <w:rsid w:val="00703E2E"/>
    <w:rsid w:val="00703FAC"/>
    <w:rsid w:val="00704A0E"/>
    <w:rsid w:val="00704A76"/>
    <w:rsid w:val="00704B01"/>
    <w:rsid w:val="00704E72"/>
    <w:rsid w:val="0070538E"/>
    <w:rsid w:val="00705495"/>
    <w:rsid w:val="007055DE"/>
    <w:rsid w:val="007056E8"/>
    <w:rsid w:val="0070661B"/>
    <w:rsid w:val="0070698D"/>
    <w:rsid w:val="00706F45"/>
    <w:rsid w:val="00706FCE"/>
    <w:rsid w:val="00707892"/>
    <w:rsid w:val="00707ACC"/>
    <w:rsid w:val="007103DE"/>
    <w:rsid w:val="007104DD"/>
    <w:rsid w:val="007108D9"/>
    <w:rsid w:val="00711196"/>
    <w:rsid w:val="00711564"/>
    <w:rsid w:val="00711B3F"/>
    <w:rsid w:val="00712024"/>
    <w:rsid w:val="007121B4"/>
    <w:rsid w:val="00712886"/>
    <w:rsid w:val="00713D1E"/>
    <w:rsid w:val="00713DE8"/>
    <w:rsid w:val="00714306"/>
    <w:rsid w:val="0071490A"/>
    <w:rsid w:val="007150D4"/>
    <w:rsid w:val="0071544C"/>
    <w:rsid w:val="007155A7"/>
    <w:rsid w:val="00715664"/>
    <w:rsid w:val="00715A72"/>
    <w:rsid w:val="00715EA4"/>
    <w:rsid w:val="00717B75"/>
    <w:rsid w:val="00717ECB"/>
    <w:rsid w:val="00717FE8"/>
    <w:rsid w:val="007203E3"/>
    <w:rsid w:val="0072064C"/>
    <w:rsid w:val="00720710"/>
    <w:rsid w:val="00720C72"/>
    <w:rsid w:val="007213E4"/>
    <w:rsid w:val="0072161F"/>
    <w:rsid w:val="0072163E"/>
    <w:rsid w:val="007219FB"/>
    <w:rsid w:val="00721B66"/>
    <w:rsid w:val="00721D3E"/>
    <w:rsid w:val="00722F64"/>
    <w:rsid w:val="00723F70"/>
    <w:rsid w:val="00723F81"/>
    <w:rsid w:val="007241E9"/>
    <w:rsid w:val="00724511"/>
    <w:rsid w:val="00724A61"/>
    <w:rsid w:val="00724F8A"/>
    <w:rsid w:val="0072578A"/>
    <w:rsid w:val="00725F9F"/>
    <w:rsid w:val="0072662E"/>
    <w:rsid w:val="00726CB3"/>
    <w:rsid w:val="00730355"/>
    <w:rsid w:val="00730825"/>
    <w:rsid w:val="00730CA1"/>
    <w:rsid w:val="00730D1A"/>
    <w:rsid w:val="007311D1"/>
    <w:rsid w:val="00731544"/>
    <w:rsid w:val="0073158E"/>
    <w:rsid w:val="007315F4"/>
    <w:rsid w:val="0073172A"/>
    <w:rsid w:val="00732773"/>
    <w:rsid w:val="00732EBC"/>
    <w:rsid w:val="00733672"/>
    <w:rsid w:val="0073379C"/>
    <w:rsid w:val="00733B01"/>
    <w:rsid w:val="00733FAF"/>
    <w:rsid w:val="00733FFC"/>
    <w:rsid w:val="0073414D"/>
    <w:rsid w:val="00734191"/>
    <w:rsid w:val="00734289"/>
    <w:rsid w:val="007345C7"/>
    <w:rsid w:val="00734DB4"/>
    <w:rsid w:val="00734EF6"/>
    <w:rsid w:val="00734F10"/>
    <w:rsid w:val="00735263"/>
    <w:rsid w:val="00735626"/>
    <w:rsid w:val="007358CC"/>
    <w:rsid w:val="00735B47"/>
    <w:rsid w:val="00735C2D"/>
    <w:rsid w:val="0073630A"/>
    <w:rsid w:val="00736733"/>
    <w:rsid w:val="00736A2F"/>
    <w:rsid w:val="007371A6"/>
    <w:rsid w:val="00737264"/>
    <w:rsid w:val="00737B6E"/>
    <w:rsid w:val="00737BA6"/>
    <w:rsid w:val="007409B2"/>
    <w:rsid w:val="00740BA0"/>
    <w:rsid w:val="00741015"/>
    <w:rsid w:val="00741510"/>
    <w:rsid w:val="00742DC6"/>
    <w:rsid w:val="007433F0"/>
    <w:rsid w:val="00743ADC"/>
    <w:rsid w:val="00743CE3"/>
    <w:rsid w:val="00744416"/>
    <w:rsid w:val="00744493"/>
    <w:rsid w:val="007446F8"/>
    <w:rsid w:val="00744C97"/>
    <w:rsid w:val="007462EC"/>
    <w:rsid w:val="00746589"/>
    <w:rsid w:val="0074663B"/>
    <w:rsid w:val="00747DCF"/>
    <w:rsid w:val="0075090A"/>
    <w:rsid w:val="00750B94"/>
    <w:rsid w:val="00751195"/>
    <w:rsid w:val="007514A9"/>
    <w:rsid w:val="00751720"/>
    <w:rsid w:val="0075215B"/>
    <w:rsid w:val="007522AF"/>
    <w:rsid w:val="007533C9"/>
    <w:rsid w:val="007539CB"/>
    <w:rsid w:val="00753B99"/>
    <w:rsid w:val="00753F62"/>
    <w:rsid w:val="007544A9"/>
    <w:rsid w:val="007550EE"/>
    <w:rsid w:val="00755901"/>
    <w:rsid w:val="00755D9A"/>
    <w:rsid w:val="00756B31"/>
    <w:rsid w:val="00757425"/>
    <w:rsid w:val="0075771E"/>
    <w:rsid w:val="00757887"/>
    <w:rsid w:val="0075790F"/>
    <w:rsid w:val="00761795"/>
    <w:rsid w:val="00761AC8"/>
    <w:rsid w:val="00761DB1"/>
    <w:rsid w:val="0076206F"/>
    <w:rsid w:val="00762226"/>
    <w:rsid w:val="00762400"/>
    <w:rsid w:val="00762BA4"/>
    <w:rsid w:val="00762CF0"/>
    <w:rsid w:val="007632E0"/>
    <w:rsid w:val="007634AC"/>
    <w:rsid w:val="00764453"/>
    <w:rsid w:val="00764801"/>
    <w:rsid w:val="00764C4A"/>
    <w:rsid w:val="0076515D"/>
    <w:rsid w:val="007655FA"/>
    <w:rsid w:val="007658E5"/>
    <w:rsid w:val="00765AA7"/>
    <w:rsid w:val="00765C16"/>
    <w:rsid w:val="00766003"/>
    <w:rsid w:val="007669D7"/>
    <w:rsid w:val="007679EB"/>
    <w:rsid w:val="00770C8A"/>
    <w:rsid w:val="00770D94"/>
    <w:rsid w:val="0077160D"/>
    <w:rsid w:val="00771631"/>
    <w:rsid w:val="007719AA"/>
    <w:rsid w:val="00771F9B"/>
    <w:rsid w:val="00772559"/>
    <w:rsid w:val="0077261D"/>
    <w:rsid w:val="00772656"/>
    <w:rsid w:val="0077271B"/>
    <w:rsid w:val="00772ADE"/>
    <w:rsid w:val="00772D6E"/>
    <w:rsid w:val="00772F01"/>
    <w:rsid w:val="00774114"/>
    <w:rsid w:val="007756C3"/>
    <w:rsid w:val="00776033"/>
    <w:rsid w:val="0077621D"/>
    <w:rsid w:val="007762CD"/>
    <w:rsid w:val="0077684B"/>
    <w:rsid w:val="00776BD3"/>
    <w:rsid w:val="00777290"/>
    <w:rsid w:val="007772E8"/>
    <w:rsid w:val="00780273"/>
    <w:rsid w:val="00780355"/>
    <w:rsid w:val="00780956"/>
    <w:rsid w:val="00781619"/>
    <w:rsid w:val="00781725"/>
    <w:rsid w:val="007818C2"/>
    <w:rsid w:val="00781C82"/>
    <w:rsid w:val="00781F43"/>
    <w:rsid w:val="0078233F"/>
    <w:rsid w:val="007828D5"/>
    <w:rsid w:val="00782A08"/>
    <w:rsid w:val="00782D8F"/>
    <w:rsid w:val="00782F00"/>
    <w:rsid w:val="00782FC5"/>
    <w:rsid w:val="00783263"/>
    <w:rsid w:val="0078357E"/>
    <w:rsid w:val="0078385A"/>
    <w:rsid w:val="007839E7"/>
    <w:rsid w:val="007841FF"/>
    <w:rsid w:val="00785009"/>
    <w:rsid w:val="0078599A"/>
    <w:rsid w:val="00785A63"/>
    <w:rsid w:val="00785E26"/>
    <w:rsid w:val="00785EFF"/>
    <w:rsid w:val="00786824"/>
    <w:rsid w:val="0078724C"/>
    <w:rsid w:val="0078751E"/>
    <w:rsid w:val="00787C9D"/>
    <w:rsid w:val="007906CA"/>
    <w:rsid w:val="00791503"/>
    <w:rsid w:val="00791E96"/>
    <w:rsid w:val="007934D4"/>
    <w:rsid w:val="0079394A"/>
    <w:rsid w:val="007939BD"/>
    <w:rsid w:val="00793C16"/>
    <w:rsid w:val="00793FBD"/>
    <w:rsid w:val="00795610"/>
    <w:rsid w:val="0079574C"/>
    <w:rsid w:val="00795792"/>
    <w:rsid w:val="00795B10"/>
    <w:rsid w:val="0079663A"/>
    <w:rsid w:val="00796AC3"/>
    <w:rsid w:val="00796C5E"/>
    <w:rsid w:val="00796F84"/>
    <w:rsid w:val="00796F8B"/>
    <w:rsid w:val="007970F4"/>
    <w:rsid w:val="0079775B"/>
    <w:rsid w:val="00797C38"/>
    <w:rsid w:val="00797D39"/>
    <w:rsid w:val="00797E54"/>
    <w:rsid w:val="007A0692"/>
    <w:rsid w:val="007A0B62"/>
    <w:rsid w:val="007A11B0"/>
    <w:rsid w:val="007A1236"/>
    <w:rsid w:val="007A1760"/>
    <w:rsid w:val="007A1D32"/>
    <w:rsid w:val="007A21A0"/>
    <w:rsid w:val="007A28A4"/>
    <w:rsid w:val="007A2A69"/>
    <w:rsid w:val="007A2A6F"/>
    <w:rsid w:val="007A39D3"/>
    <w:rsid w:val="007A3BDD"/>
    <w:rsid w:val="007A3D3F"/>
    <w:rsid w:val="007A3E4D"/>
    <w:rsid w:val="007A4506"/>
    <w:rsid w:val="007A4BE7"/>
    <w:rsid w:val="007A518D"/>
    <w:rsid w:val="007A57AE"/>
    <w:rsid w:val="007A6C29"/>
    <w:rsid w:val="007A6E20"/>
    <w:rsid w:val="007A6FD8"/>
    <w:rsid w:val="007A7136"/>
    <w:rsid w:val="007A73DA"/>
    <w:rsid w:val="007A7498"/>
    <w:rsid w:val="007A74B2"/>
    <w:rsid w:val="007A7C64"/>
    <w:rsid w:val="007B0571"/>
    <w:rsid w:val="007B06B8"/>
    <w:rsid w:val="007B07C4"/>
    <w:rsid w:val="007B0B94"/>
    <w:rsid w:val="007B0C12"/>
    <w:rsid w:val="007B109A"/>
    <w:rsid w:val="007B11EC"/>
    <w:rsid w:val="007B139D"/>
    <w:rsid w:val="007B16E5"/>
    <w:rsid w:val="007B1F57"/>
    <w:rsid w:val="007B2135"/>
    <w:rsid w:val="007B216F"/>
    <w:rsid w:val="007B25D1"/>
    <w:rsid w:val="007B2616"/>
    <w:rsid w:val="007B3057"/>
    <w:rsid w:val="007B4597"/>
    <w:rsid w:val="007B47A0"/>
    <w:rsid w:val="007B5174"/>
    <w:rsid w:val="007B5336"/>
    <w:rsid w:val="007B55C5"/>
    <w:rsid w:val="007B57D2"/>
    <w:rsid w:val="007B5E43"/>
    <w:rsid w:val="007B5F3C"/>
    <w:rsid w:val="007B5F62"/>
    <w:rsid w:val="007B6CC6"/>
    <w:rsid w:val="007B6F4D"/>
    <w:rsid w:val="007B70FB"/>
    <w:rsid w:val="007B72CD"/>
    <w:rsid w:val="007B74DB"/>
    <w:rsid w:val="007B7566"/>
    <w:rsid w:val="007C0482"/>
    <w:rsid w:val="007C123C"/>
    <w:rsid w:val="007C1637"/>
    <w:rsid w:val="007C1DC9"/>
    <w:rsid w:val="007C20FE"/>
    <w:rsid w:val="007C2343"/>
    <w:rsid w:val="007C24BB"/>
    <w:rsid w:val="007C2678"/>
    <w:rsid w:val="007C277D"/>
    <w:rsid w:val="007C3435"/>
    <w:rsid w:val="007C35A9"/>
    <w:rsid w:val="007C360B"/>
    <w:rsid w:val="007C376A"/>
    <w:rsid w:val="007C3888"/>
    <w:rsid w:val="007C4A77"/>
    <w:rsid w:val="007C4AC1"/>
    <w:rsid w:val="007C4ACA"/>
    <w:rsid w:val="007C55A5"/>
    <w:rsid w:val="007C55BE"/>
    <w:rsid w:val="007C5AB5"/>
    <w:rsid w:val="007C62D0"/>
    <w:rsid w:val="007C766F"/>
    <w:rsid w:val="007C7AD6"/>
    <w:rsid w:val="007C7C59"/>
    <w:rsid w:val="007C7DC7"/>
    <w:rsid w:val="007D03B3"/>
    <w:rsid w:val="007D0816"/>
    <w:rsid w:val="007D0F3B"/>
    <w:rsid w:val="007D15F0"/>
    <w:rsid w:val="007D178B"/>
    <w:rsid w:val="007D1B64"/>
    <w:rsid w:val="007D1F73"/>
    <w:rsid w:val="007D22CE"/>
    <w:rsid w:val="007D2C50"/>
    <w:rsid w:val="007D33FA"/>
    <w:rsid w:val="007D3A86"/>
    <w:rsid w:val="007D3B12"/>
    <w:rsid w:val="007D3BC5"/>
    <w:rsid w:val="007D3C12"/>
    <w:rsid w:val="007D40F5"/>
    <w:rsid w:val="007D46D8"/>
    <w:rsid w:val="007D4892"/>
    <w:rsid w:val="007D48E9"/>
    <w:rsid w:val="007D4A1A"/>
    <w:rsid w:val="007D4D44"/>
    <w:rsid w:val="007D53CB"/>
    <w:rsid w:val="007D561F"/>
    <w:rsid w:val="007D5857"/>
    <w:rsid w:val="007D5BB4"/>
    <w:rsid w:val="007D5E4F"/>
    <w:rsid w:val="007D6246"/>
    <w:rsid w:val="007D68DB"/>
    <w:rsid w:val="007D6E43"/>
    <w:rsid w:val="007D6F86"/>
    <w:rsid w:val="007D72CB"/>
    <w:rsid w:val="007D72EB"/>
    <w:rsid w:val="007D7CDD"/>
    <w:rsid w:val="007E08C9"/>
    <w:rsid w:val="007E0F8F"/>
    <w:rsid w:val="007E13A8"/>
    <w:rsid w:val="007E2236"/>
    <w:rsid w:val="007E296A"/>
    <w:rsid w:val="007E2A9F"/>
    <w:rsid w:val="007E317C"/>
    <w:rsid w:val="007E3456"/>
    <w:rsid w:val="007E35D0"/>
    <w:rsid w:val="007E3A03"/>
    <w:rsid w:val="007E3E82"/>
    <w:rsid w:val="007E44F9"/>
    <w:rsid w:val="007E47D5"/>
    <w:rsid w:val="007E4C3C"/>
    <w:rsid w:val="007E502A"/>
    <w:rsid w:val="007E5268"/>
    <w:rsid w:val="007E53AF"/>
    <w:rsid w:val="007E5ED9"/>
    <w:rsid w:val="007E5EDC"/>
    <w:rsid w:val="007E6646"/>
    <w:rsid w:val="007E67D9"/>
    <w:rsid w:val="007E6C51"/>
    <w:rsid w:val="007E7232"/>
    <w:rsid w:val="007E72AB"/>
    <w:rsid w:val="007E7E0F"/>
    <w:rsid w:val="007F0378"/>
    <w:rsid w:val="007F0684"/>
    <w:rsid w:val="007F06B6"/>
    <w:rsid w:val="007F06E8"/>
    <w:rsid w:val="007F0AF8"/>
    <w:rsid w:val="007F1933"/>
    <w:rsid w:val="007F1B94"/>
    <w:rsid w:val="007F1F1C"/>
    <w:rsid w:val="007F219A"/>
    <w:rsid w:val="007F35B8"/>
    <w:rsid w:val="007F3A71"/>
    <w:rsid w:val="007F3D80"/>
    <w:rsid w:val="007F3F16"/>
    <w:rsid w:val="007F4906"/>
    <w:rsid w:val="007F4981"/>
    <w:rsid w:val="007F507E"/>
    <w:rsid w:val="007F6340"/>
    <w:rsid w:val="007F65DB"/>
    <w:rsid w:val="007F6761"/>
    <w:rsid w:val="007F6BC4"/>
    <w:rsid w:val="007F70D4"/>
    <w:rsid w:val="007F76B6"/>
    <w:rsid w:val="007F7ABF"/>
    <w:rsid w:val="0080073F"/>
    <w:rsid w:val="00801607"/>
    <w:rsid w:val="00801713"/>
    <w:rsid w:val="0080176E"/>
    <w:rsid w:val="00801B94"/>
    <w:rsid w:val="00801CB1"/>
    <w:rsid w:val="008026A2"/>
    <w:rsid w:val="00802A50"/>
    <w:rsid w:val="00802AA7"/>
    <w:rsid w:val="00802B6F"/>
    <w:rsid w:val="008038AE"/>
    <w:rsid w:val="00803AAC"/>
    <w:rsid w:val="00803ACE"/>
    <w:rsid w:val="00805834"/>
    <w:rsid w:val="00805B99"/>
    <w:rsid w:val="00805D3E"/>
    <w:rsid w:val="008065B9"/>
    <w:rsid w:val="00806E9B"/>
    <w:rsid w:val="00807090"/>
    <w:rsid w:val="00807926"/>
    <w:rsid w:val="00807A15"/>
    <w:rsid w:val="00807AB5"/>
    <w:rsid w:val="008100A2"/>
    <w:rsid w:val="008107F5"/>
    <w:rsid w:val="00810A75"/>
    <w:rsid w:val="00810D27"/>
    <w:rsid w:val="00810E30"/>
    <w:rsid w:val="00810ED7"/>
    <w:rsid w:val="00811057"/>
    <w:rsid w:val="0081169E"/>
    <w:rsid w:val="008123D4"/>
    <w:rsid w:val="00812B2D"/>
    <w:rsid w:val="00813AEB"/>
    <w:rsid w:val="00814049"/>
    <w:rsid w:val="00814CAD"/>
    <w:rsid w:val="00814CEC"/>
    <w:rsid w:val="0081580E"/>
    <w:rsid w:val="00815914"/>
    <w:rsid w:val="00815BB1"/>
    <w:rsid w:val="0081623E"/>
    <w:rsid w:val="00817D96"/>
    <w:rsid w:val="00817E6F"/>
    <w:rsid w:val="00817F9A"/>
    <w:rsid w:val="00820896"/>
    <w:rsid w:val="00821A07"/>
    <w:rsid w:val="008227FA"/>
    <w:rsid w:val="008229A2"/>
    <w:rsid w:val="00823352"/>
    <w:rsid w:val="0082443D"/>
    <w:rsid w:val="00824A9E"/>
    <w:rsid w:val="00824E44"/>
    <w:rsid w:val="00825ED1"/>
    <w:rsid w:val="00825EDB"/>
    <w:rsid w:val="00825F58"/>
    <w:rsid w:val="008264EB"/>
    <w:rsid w:val="008266E6"/>
    <w:rsid w:val="008268CF"/>
    <w:rsid w:val="00826DEF"/>
    <w:rsid w:val="008270EE"/>
    <w:rsid w:val="00827497"/>
    <w:rsid w:val="008275A9"/>
    <w:rsid w:val="0083026B"/>
    <w:rsid w:val="008307F9"/>
    <w:rsid w:val="00830845"/>
    <w:rsid w:val="0083098F"/>
    <w:rsid w:val="008309E1"/>
    <w:rsid w:val="00831472"/>
    <w:rsid w:val="008327F0"/>
    <w:rsid w:val="008329FF"/>
    <w:rsid w:val="00832ECB"/>
    <w:rsid w:val="0083302B"/>
    <w:rsid w:val="00833511"/>
    <w:rsid w:val="00833526"/>
    <w:rsid w:val="008340EC"/>
    <w:rsid w:val="00834B47"/>
    <w:rsid w:val="00835459"/>
    <w:rsid w:val="00836259"/>
    <w:rsid w:val="00836E1B"/>
    <w:rsid w:val="0083793C"/>
    <w:rsid w:val="00837C92"/>
    <w:rsid w:val="00837F0F"/>
    <w:rsid w:val="00837FEE"/>
    <w:rsid w:val="008416E5"/>
    <w:rsid w:val="00841A00"/>
    <w:rsid w:val="00841E3A"/>
    <w:rsid w:val="0084210C"/>
    <w:rsid w:val="00842BBA"/>
    <w:rsid w:val="00842D41"/>
    <w:rsid w:val="00842E56"/>
    <w:rsid w:val="00843029"/>
    <w:rsid w:val="00843420"/>
    <w:rsid w:val="00843B5D"/>
    <w:rsid w:val="00843F87"/>
    <w:rsid w:val="008447D4"/>
    <w:rsid w:val="0084506C"/>
    <w:rsid w:val="008454BD"/>
    <w:rsid w:val="008463F3"/>
    <w:rsid w:val="00846509"/>
    <w:rsid w:val="008467D3"/>
    <w:rsid w:val="00846845"/>
    <w:rsid w:val="00846D76"/>
    <w:rsid w:val="00847650"/>
    <w:rsid w:val="008476DC"/>
    <w:rsid w:val="00847829"/>
    <w:rsid w:val="008479B1"/>
    <w:rsid w:val="0085005F"/>
    <w:rsid w:val="008500F5"/>
    <w:rsid w:val="0085062F"/>
    <w:rsid w:val="00851307"/>
    <w:rsid w:val="008515B1"/>
    <w:rsid w:val="00851C40"/>
    <w:rsid w:val="00852508"/>
    <w:rsid w:val="00852578"/>
    <w:rsid w:val="00852E5B"/>
    <w:rsid w:val="0085323E"/>
    <w:rsid w:val="008535EB"/>
    <w:rsid w:val="00853677"/>
    <w:rsid w:val="00853A88"/>
    <w:rsid w:val="00853ACD"/>
    <w:rsid w:val="00853ACF"/>
    <w:rsid w:val="00853F1F"/>
    <w:rsid w:val="008544D3"/>
    <w:rsid w:val="00855089"/>
    <w:rsid w:val="008558A1"/>
    <w:rsid w:val="00855A1E"/>
    <w:rsid w:val="00855DEB"/>
    <w:rsid w:val="0085642F"/>
    <w:rsid w:val="008573AF"/>
    <w:rsid w:val="008573F8"/>
    <w:rsid w:val="00857645"/>
    <w:rsid w:val="00857D80"/>
    <w:rsid w:val="008602FC"/>
    <w:rsid w:val="00860989"/>
    <w:rsid w:val="00860CF9"/>
    <w:rsid w:val="008614A8"/>
    <w:rsid w:val="008622D3"/>
    <w:rsid w:val="0086268A"/>
    <w:rsid w:val="008627D9"/>
    <w:rsid w:val="00862EE5"/>
    <w:rsid w:val="00863626"/>
    <w:rsid w:val="008639A2"/>
    <w:rsid w:val="00863BBB"/>
    <w:rsid w:val="008640FD"/>
    <w:rsid w:val="0086426C"/>
    <w:rsid w:val="008644D5"/>
    <w:rsid w:val="0086564F"/>
    <w:rsid w:val="00865681"/>
    <w:rsid w:val="00865C9A"/>
    <w:rsid w:val="00866618"/>
    <w:rsid w:val="00867578"/>
    <w:rsid w:val="00867B6B"/>
    <w:rsid w:val="00867FDD"/>
    <w:rsid w:val="0087000F"/>
    <w:rsid w:val="00870788"/>
    <w:rsid w:val="00870923"/>
    <w:rsid w:val="00870A8A"/>
    <w:rsid w:val="00870AFC"/>
    <w:rsid w:val="00870F67"/>
    <w:rsid w:val="00870F6E"/>
    <w:rsid w:val="008715CC"/>
    <w:rsid w:val="00872589"/>
    <w:rsid w:val="00872770"/>
    <w:rsid w:val="00873125"/>
    <w:rsid w:val="008731F2"/>
    <w:rsid w:val="00873754"/>
    <w:rsid w:val="00873CF3"/>
    <w:rsid w:val="008752FC"/>
    <w:rsid w:val="0087591B"/>
    <w:rsid w:val="00875FA4"/>
    <w:rsid w:val="008763C8"/>
    <w:rsid w:val="0087656D"/>
    <w:rsid w:val="0087672D"/>
    <w:rsid w:val="008779E9"/>
    <w:rsid w:val="00877D2C"/>
    <w:rsid w:val="00877D6E"/>
    <w:rsid w:val="00877E35"/>
    <w:rsid w:val="0088014E"/>
    <w:rsid w:val="00880AA4"/>
    <w:rsid w:val="00880BAB"/>
    <w:rsid w:val="008817FF"/>
    <w:rsid w:val="0088239C"/>
    <w:rsid w:val="00882745"/>
    <w:rsid w:val="008828F7"/>
    <w:rsid w:val="00882946"/>
    <w:rsid w:val="00882A65"/>
    <w:rsid w:val="00882C4D"/>
    <w:rsid w:val="00882D67"/>
    <w:rsid w:val="00882E58"/>
    <w:rsid w:val="0088318D"/>
    <w:rsid w:val="008835B1"/>
    <w:rsid w:val="00883B3F"/>
    <w:rsid w:val="00884A91"/>
    <w:rsid w:val="008851BE"/>
    <w:rsid w:val="00885538"/>
    <w:rsid w:val="00886188"/>
    <w:rsid w:val="0088651F"/>
    <w:rsid w:val="00886632"/>
    <w:rsid w:val="00886922"/>
    <w:rsid w:val="00887063"/>
    <w:rsid w:val="00887798"/>
    <w:rsid w:val="0088796B"/>
    <w:rsid w:val="00887D83"/>
    <w:rsid w:val="00887F1B"/>
    <w:rsid w:val="008900CF"/>
    <w:rsid w:val="008903F8"/>
    <w:rsid w:val="00890709"/>
    <w:rsid w:val="00891AE3"/>
    <w:rsid w:val="00891C10"/>
    <w:rsid w:val="00891D67"/>
    <w:rsid w:val="00892165"/>
    <w:rsid w:val="008922CF"/>
    <w:rsid w:val="008923D1"/>
    <w:rsid w:val="008925B9"/>
    <w:rsid w:val="00892AEE"/>
    <w:rsid w:val="008937AC"/>
    <w:rsid w:val="008937CB"/>
    <w:rsid w:val="00893FF7"/>
    <w:rsid w:val="0089427B"/>
    <w:rsid w:val="008942A5"/>
    <w:rsid w:val="0089483C"/>
    <w:rsid w:val="00894A6B"/>
    <w:rsid w:val="00894A7F"/>
    <w:rsid w:val="00895DCC"/>
    <w:rsid w:val="00895E5A"/>
    <w:rsid w:val="008962BC"/>
    <w:rsid w:val="008973BA"/>
    <w:rsid w:val="00897502"/>
    <w:rsid w:val="00897602"/>
    <w:rsid w:val="00897855"/>
    <w:rsid w:val="008A03C3"/>
    <w:rsid w:val="008A0B6D"/>
    <w:rsid w:val="008A0E02"/>
    <w:rsid w:val="008A0E63"/>
    <w:rsid w:val="008A0F85"/>
    <w:rsid w:val="008A173F"/>
    <w:rsid w:val="008A1EFD"/>
    <w:rsid w:val="008A1F90"/>
    <w:rsid w:val="008A211F"/>
    <w:rsid w:val="008A2385"/>
    <w:rsid w:val="008A2790"/>
    <w:rsid w:val="008A2830"/>
    <w:rsid w:val="008A2C5D"/>
    <w:rsid w:val="008A30BD"/>
    <w:rsid w:val="008A3C32"/>
    <w:rsid w:val="008A3F1E"/>
    <w:rsid w:val="008A444A"/>
    <w:rsid w:val="008A46CB"/>
    <w:rsid w:val="008A4876"/>
    <w:rsid w:val="008A4F57"/>
    <w:rsid w:val="008A52CE"/>
    <w:rsid w:val="008A544C"/>
    <w:rsid w:val="008A574C"/>
    <w:rsid w:val="008A5BC7"/>
    <w:rsid w:val="008A67A1"/>
    <w:rsid w:val="008A6A25"/>
    <w:rsid w:val="008A720F"/>
    <w:rsid w:val="008A77BD"/>
    <w:rsid w:val="008A7949"/>
    <w:rsid w:val="008A7A03"/>
    <w:rsid w:val="008A7B45"/>
    <w:rsid w:val="008B0BA7"/>
    <w:rsid w:val="008B0E9B"/>
    <w:rsid w:val="008B103F"/>
    <w:rsid w:val="008B12FC"/>
    <w:rsid w:val="008B1C8C"/>
    <w:rsid w:val="008B1D7A"/>
    <w:rsid w:val="008B1E06"/>
    <w:rsid w:val="008B20A4"/>
    <w:rsid w:val="008B2F1A"/>
    <w:rsid w:val="008B31AD"/>
    <w:rsid w:val="008B331F"/>
    <w:rsid w:val="008B3A87"/>
    <w:rsid w:val="008B3C1F"/>
    <w:rsid w:val="008B3D7A"/>
    <w:rsid w:val="008B4243"/>
    <w:rsid w:val="008B47F4"/>
    <w:rsid w:val="008B4953"/>
    <w:rsid w:val="008B4E19"/>
    <w:rsid w:val="008B4F72"/>
    <w:rsid w:val="008B58E4"/>
    <w:rsid w:val="008B5A61"/>
    <w:rsid w:val="008B5F58"/>
    <w:rsid w:val="008B6190"/>
    <w:rsid w:val="008B6367"/>
    <w:rsid w:val="008B63AD"/>
    <w:rsid w:val="008B6939"/>
    <w:rsid w:val="008B6A05"/>
    <w:rsid w:val="008B6ADB"/>
    <w:rsid w:val="008B7546"/>
    <w:rsid w:val="008B75A5"/>
    <w:rsid w:val="008B7ECB"/>
    <w:rsid w:val="008C0557"/>
    <w:rsid w:val="008C0771"/>
    <w:rsid w:val="008C0845"/>
    <w:rsid w:val="008C12D2"/>
    <w:rsid w:val="008C1779"/>
    <w:rsid w:val="008C1DC1"/>
    <w:rsid w:val="008C287C"/>
    <w:rsid w:val="008C28B3"/>
    <w:rsid w:val="008C3591"/>
    <w:rsid w:val="008C3982"/>
    <w:rsid w:val="008C3A88"/>
    <w:rsid w:val="008C3AC1"/>
    <w:rsid w:val="008C3D73"/>
    <w:rsid w:val="008C41CD"/>
    <w:rsid w:val="008C482E"/>
    <w:rsid w:val="008C4E96"/>
    <w:rsid w:val="008C4EB8"/>
    <w:rsid w:val="008C4FFE"/>
    <w:rsid w:val="008C51AD"/>
    <w:rsid w:val="008C5A8B"/>
    <w:rsid w:val="008C61B0"/>
    <w:rsid w:val="008C6E3D"/>
    <w:rsid w:val="008C6FD3"/>
    <w:rsid w:val="008C70EB"/>
    <w:rsid w:val="008C71DE"/>
    <w:rsid w:val="008C7C23"/>
    <w:rsid w:val="008C7FA7"/>
    <w:rsid w:val="008D0E8E"/>
    <w:rsid w:val="008D155D"/>
    <w:rsid w:val="008D15E6"/>
    <w:rsid w:val="008D229E"/>
    <w:rsid w:val="008D24C5"/>
    <w:rsid w:val="008D24FA"/>
    <w:rsid w:val="008D2F91"/>
    <w:rsid w:val="008D36D2"/>
    <w:rsid w:val="008D3E05"/>
    <w:rsid w:val="008D3FE4"/>
    <w:rsid w:val="008D415F"/>
    <w:rsid w:val="008D463D"/>
    <w:rsid w:val="008D536E"/>
    <w:rsid w:val="008D5506"/>
    <w:rsid w:val="008D56FD"/>
    <w:rsid w:val="008D5C9A"/>
    <w:rsid w:val="008D5D6F"/>
    <w:rsid w:val="008D5DAB"/>
    <w:rsid w:val="008D6641"/>
    <w:rsid w:val="008D6847"/>
    <w:rsid w:val="008D6968"/>
    <w:rsid w:val="008D6C68"/>
    <w:rsid w:val="008D71F3"/>
    <w:rsid w:val="008D746A"/>
    <w:rsid w:val="008D7640"/>
    <w:rsid w:val="008D7AFD"/>
    <w:rsid w:val="008D7DEB"/>
    <w:rsid w:val="008D7E3E"/>
    <w:rsid w:val="008D7EA6"/>
    <w:rsid w:val="008E0029"/>
    <w:rsid w:val="008E01BA"/>
    <w:rsid w:val="008E0219"/>
    <w:rsid w:val="008E03B3"/>
    <w:rsid w:val="008E054A"/>
    <w:rsid w:val="008E08F2"/>
    <w:rsid w:val="008E0DE2"/>
    <w:rsid w:val="008E0EF1"/>
    <w:rsid w:val="008E19E9"/>
    <w:rsid w:val="008E1A0B"/>
    <w:rsid w:val="008E1CA4"/>
    <w:rsid w:val="008E22E0"/>
    <w:rsid w:val="008E260B"/>
    <w:rsid w:val="008E2BCC"/>
    <w:rsid w:val="008E3682"/>
    <w:rsid w:val="008E3958"/>
    <w:rsid w:val="008E52E7"/>
    <w:rsid w:val="008E53DB"/>
    <w:rsid w:val="008E5A4E"/>
    <w:rsid w:val="008E6282"/>
    <w:rsid w:val="008E646A"/>
    <w:rsid w:val="008E6D37"/>
    <w:rsid w:val="008E6F52"/>
    <w:rsid w:val="008E6F6B"/>
    <w:rsid w:val="008E712B"/>
    <w:rsid w:val="008E7155"/>
    <w:rsid w:val="008E71FB"/>
    <w:rsid w:val="008E7365"/>
    <w:rsid w:val="008E78ED"/>
    <w:rsid w:val="008F0248"/>
    <w:rsid w:val="008F07B8"/>
    <w:rsid w:val="008F0932"/>
    <w:rsid w:val="008F0945"/>
    <w:rsid w:val="008F0A86"/>
    <w:rsid w:val="008F0EF5"/>
    <w:rsid w:val="008F1238"/>
    <w:rsid w:val="008F14CA"/>
    <w:rsid w:val="008F257A"/>
    <w:rsid w:val="008F2A47"/>
    <w:rsid w:val="008F35D9"/>
    <w:rsid w:val="008F3793"/>
    <w:rsid w:val="008F3F41"/>
    <w:rsid w:val="008F438C"/>
    <w:rsid w:val="008F43D6"/>
    <w:rsid w:val="008F45BC"/>
    <w:rsid w:val="008F49F3"/>
    <w:rsid w:val="008F525C"/>
    <w:rsid w:val="008F5309"/>
    <w:rsid w:val="008F540C"/>
    <w:rsid w:val="008F6060"/>
    <w:rsid w:val="008F61B8"/>
    <w:rsid w:val="008F6426"/>
    <w:rsid w:val="008F6B8B"/>
    <w:rsid w:val="0090097F"/>
    <w:rsid w:val="00900D92"/>
    <w:rsid w:val="0090146E"/>
    <w:rsid w:val="009015F4"/>
    <w:rsid w:val="009017C8"/>
    <w:rsid w:val="00901E4D"/>
    <w:rsid w:val="0090296B"/>
    <w:rsid w:val="00903424"/>
    <w:rsid w:val="00904206"/>
    <w:rsid w:val="0090441B"/>
    <w:rsid w:val="00905456"/>
    <w:rsid w:val="00905C75"/>
    <w:rsid w:val="0090621C"/>
    <w:rsid w:val="00906618"/>
    <w:rsid w:val="00906BB6"/>
    <w:rsid w:val="00906C4A"/>
    <w:rsid w:val="00907986"/>
    <w:rsid w:val="00907D90"/>
    <w:rsid w:val="00910078"/>
    <w:rsid w:val="009104AB"/>
    <w:rsid w:val="00910866"/>
    <w:rsid w:val="0091095D"/>
    <w:rsid w:val="00910E2C"/>
    <w:rsid w:val="009110AD"/>
    <w:rsid w:val="009111CC"/>
    <w:rsid w:val="009114FF"/>
    <w:rsid w:val="00911A79"/>
    <w:rsid w:val="00911D8B"/>
    <w:rsid w:val="00911DAD"/>
    <w:rsid w:val="00912464"/>
    <w:rsid w:val="009127CC"/>
    <w:rsid w:val="009133DD"/>
    <w:rsid w:val="00914525"/>
    <w:rsid w:val="009151EB"/>
    <w:rsid w:val="00915465"/>
    <w:rsid w:val="009158B9"/>
    <w:rsid w:val="009160F5"/>
    <w:rsid w:val="0091620A"/>
    <w:rsid w:val="00916301"/>
    <w:rsid w:val="00916863"/>
    <w:rsid w:val="0091688E"/>
    <w:rsid w:val="00916F1E"/>
    <w:rsid w:val="00917458"/>
    <w:rsid w:val="00917CA8"/>
    <w:rsid w:val="0092096D"/>
    <w:rsid w:val="00920975"/>
    <w:rsid w:val="009217B9"/>
    <w:rsid w:val="00921D9C"/>
    <w:rsid w:val="00921E56"/>
    <w:rsid w:val="009221ED"/>
    <w:rsid w:val="0092259C"/>
    <w:rsid w:val="009234E2"/>
    <w:rsid w:val="00923EDA"/>
    <w:rsid w:val="00926F12"/>
    <w:rsid w:val="009278EB"/>
    <w:rsid w:val="00927C90"/>
    <w:rsid w:val="00927DE3"/>
    <w:rsid w:val="00930591"/>
    <w:rsid w:val="00930609"/>
    <w:rsid w:val="00930B72"/>
    <w:rsid w:val="0093110E"/>
    <w:rsid w:val="0093122C"/>
    <w:rsid w:val="0093196E"/>
    <w:rsid w:val="00931A58"/>
    <w:rsid w:val="00932113"/>
    <w:rsid w:val="00932670"/>
    <w:rsid w:val="00932AD7"/>
    <w:rsid w:val="00932AFD"/>
    <w:rsid w:val="00932DAC"/>
    <w:rsid w:val="00932E71"/>
    <w:rsid w:val="009332E0"/>
    <w:rsid w:val="00934DE7"/>
    <w:rsid w:val="00935130"/>
    <w:rsid w:val="009352C5"/>
    <w:rsid w:val="00935534"/>
    <w:rsid w:val="0093562F"/>
    <w:rsid w:val="0093573A"/>
    <w:rsid w:val="009359EE"/>
    <w:rsid w:val="00935F61"/>
    <w:rsid w:val="009360BB"/>
    <w:rsid w:val="00936276"/>
    <w:rsid w:val="00936981"/>
    <w:rsid w:val="00936B1F"/>
    <w:rsid w:val="0093775C"/>
    <w:rsid w:val="00937887"/>
    <w:rsid w:val="009379F0"/>
    <w:rsid w:val="00937A67"/>
    <w:rsid w:val="00937BEC"/>
    <w:rsid w:val="0094055F"/>
    <w:rsid w:val="00940757"/>
    <w:rsid w:val="00941A0C"/>
    <w:rsid w:val="00941A8A"/>
    <w:rsid w:val="00941FF5"/>
    <w:rsid w:val="00942B2E"/>
    <w:rsid w:val="00942DF0"/>
    <w:rsid w:val="00943238"/>
    <w:rsid w:val="00943464"/>
    <w:rsid w:val="009434EB"/>
    <w:rsid w:val="00943572"/>
    <w:rsid w:val="00943CFE"/>
    <w:rsid w:val="00943F96"/>
    <w:rsid w:val="00943FA2"/>
    <w:rsid w:val="0094494D"/>
    <w:rsid w:val="00944BA5"/>
    <w:rsid w:val="00944E59"/>
    <w:rsid w:val="00944FD3"/>
    <w:rsid w:val="00945401"/>
    <w:rsid w:val="009456F4"/>
    <w:rsid w:val="009459F4"/>
    <w:rsid w:val="00945ABE"/>
    <w:rsid w:val="00945E58"/>
    <w:rsid w:val="00945F1C"/>
    <w:rsid w:val="00945F58"/>
    <w:rsid w:val="00946127"/>
    <w:rsid w:val="00946907"/>
    <w:rsid w:val="00947607"/>
    <w:rsid w:val="00950CAE"/>
    <w:rsid w:val="00951164"/>
    <w:rsid w:val="009512EC"/>
    <w:rsid w:val="00952E7D"/>
    <w:rsid w:val="0095315A"/>
    <w:rsid w:val="009534DD"/>
    <w:rsid w:val="009535C2"/>
    <w:rsid w:val="00953A73"/>
    <w:rsid w:val="0095432C"/>
    <w:rsid w:val="00954BB2"/>
    <w:rsid w:val="00954D5A"/>
    <w:rsid w:val="009551A8"/>
    <w:rsid w:val="00955665"/>
    <w:rsid w:val="00955C1A"/>
    <w:rsid w:val="00956984"/>
    <w:rsid w:val="009569BE"/>
    <w:rsid w:val="00956B6C"/>
    <w:rsid w:val="00957932"/>
    <w:rsid w:val="00957B5B"/>
    <w:rsid w:val="009601CB"/>
    <w:rsid w:val="0096059A"/>
    <w:rsid w:val="0096081E"/>
    <w:rsid w:val="00960C64"/>
    <w:rsid w:val="00960D39"/>
    <w:rsid w:val="00960F7E"/>
    <w:rsid w:val="009611A5"/>
    <w:rsid w:val="00961279"/>
    <w:rsid w:val="0096193B"/>
    <w:rsid w:val="00961B25"/>
    <w:rsid w:val="009622A5"/>
    <w:rsid w:val="0096267A"/>
    <w:rsid w:val="009629FE"/>
    <w:rsid w:val="00963188"/>
    <w:rsid w:val="00963240"/>
    <w:rsid w:val="00963957"/>
    <w:rsid w:val="00963B82"/>
    <w:rsid w:val="00964475"/>
    <w:rsid w:val="00964A6E"/>
    <w:rsid w:val="00964FB4"/>
    <w:rsid w:val="009656A4"/>
    <w:rsid w:val="0096582E"/>
    <w:rsid w:val="00965DAE"/>
    <w:rsid w:val="009666BD"/>
    <w:rsid w:val="00966B91"/>
    <w:rsid w:val="00966BFB"/>
    <w:rsid w:val="00966FF8"/>
    <w:rsid w:val="0096749A"/>
    <w:rsid w:val="00967CDA"/>
    <w:rsid w:val="00970048"/>
    <w:rsid w:val="00971831"/>
    <w:rsid w:val="0097216D"/>
    <w:rsid w:val="00972D8F"/>
    <w:rsid w:val="00973C2B"/>
    <w:rsid w:val="0097437B"/>
    <w:rsid w:val="0097441E"/>
    <w:rsid w:val="00975990"/>
    <w:rsid w:val="00975FB0"/>
    <w:rsid w:val="009762C7"/>
    <w:rsid w:val="0097670F"/>
    <w:rsid w:val="00976C61"/>
    <w:rsid w:val="0097710C"/>
    <w:rsid w:val="009803EC"/>
    <w:rsid w:val="00980DC7"/>
    <w:rsid w:val="00981215"/>
    <w:rsid w:val="009812AC"/>
    <w:rsid w:val="009812FC"/>
    <w:rsid w:val="009813BF"/>
    <w:rsid w:val="009816E3"/>
    <w:rsid w:val="009819CD"/>
    <w:rsid w:val="00981AC2"/>
    <w:rsid w:val="00982032"/>
    <w:rsid w:val="009824DD"/>
    <w:rsid w:val="00982C0D"/>
    <w:rsid w:val="009834ED"/>
    <w:rsid w:val="00983D98"/>
    <w:rsid w:val="009844B4"/>
    <w:rsid w:val="0098453B"/>
    <w:rsid w:val="0098461D"/>
    <w:rsid w:val="009849BE"/>
    <w:rsid w:val="00984BB9"/>
    <w:rsid w:val="00984D82"/>
    <w:rsid w:val="0098572B"/>
    <w:rsid w:val="00985CDA"/>
    <w:rsid w:val="0098603A"/>
    <w:rsid w:val="00986137"/>
    <w:rsid w:val="00986B96"/>
    <w:rsid w:val="0098740B"/>
    <w:rsid w:val="00987506"/>
    <w:rsid w:val="00987512"/>
    <w:rsid w:val="00987C6F"/>
    <w:rsid w:val="00990117"/>
    <w:rsid w:val="0099018C"/>
    <w:rsid w:val="00990708"/>
    <w:rsid w:val="00990718"/>
    <w:rsid w:val="00990C3D"/>
    <w:rsid w:val="00991269"/>
    <w:rsid w:val="0099199D"/>
    <w:rsid w:val="00991B9A"/>
    <w:rsid w:val="0099238D"/>
    <w:rsid w:val="0099242C"/>
    <w:rsid w:val="00992837"/>
    <w:rsid w:val="00992A01"/>
    <w:rsid w:val="00993499"/>
    <w:rsid w:val="009934DB"/>
    <w:rsid w:val="009939CB"/>
    <w:rsid w:val="00993D95"/>
    <w:rsid w:val="009945C0"/>
    <w:rsid w:val="009948FE"/>
    <w:rsid w:val="009949AE"/>
    <w:rsid w:val="00994D3D"/>
    <w:rsid w:val="00995267"/>
    <w:rsid w:val="009952F4"/>
    <w:rsid w:val="00995756"/>
    <w:rsid w:val="00995B8C"/>
    <w:rsid w:val="00995E08"/>
    <w:rsid w:val="00996468"/>
    <w:rsid w:val="009966AD"/>
    <w:rsid w:val="009967AF"/>
    <w:rsid w:val="00997125"/>
    <w:rsid w:val="00997F39"/>
    <w:rsid w:val="009A0208"/>
    <w:rsid w:val="009A03AC"/>
    <w:rsid w:val="009A0B05"/>
    <w:rsid w:val="009A0BE4"/>
    <w:rsid w:val="009A1089"/>
    <w:rsid w:val="009A1B80"/>
    <w:rsid w:val="009A1D3F"/>
    <w:rsid w:val="009A1F44"/>
    <w:rsid w:val="009A21EE"/>
    <w:rsid w:val="009A24A0"/>
    <w:rsid w:val="009A253B"/>
    <w:rsid w:val="009A3205"/>
    <w:rsid w:val="009A346F"/>
    <w:rsid w:val="009A3C6E"/>
    <w:rsid w:val="009A3CC7"/>
    <w:rsid w:val="009A3DA2"/>
    <w:rsid w:val="009A49BD"/>
    <w:rsid w:val="009A640C"/>
    <w:rsid w:val="009A671A"/>
    <w:rsid w:val="009A6A04"/>
    <w:rsid w:val="009A6A34"/>
    <w:rsid w:val="009A78A6"/>
    <w:rsid w:val="009A7BB0"/>
    <w:rsid w:val="009B01AE"/>
    <w:rsid w:val="009B04F2"/>
    <w:rsid w:val="009B0A43"/>
    <w:rsid w:val="009B0EAE"/>
    <w:rsid w:val="009B123D"/>
    <w:rsid w:val="009B12D4"/>
    <w:rsid w:val="009B1C1B"/>
    <w:rsid w:val="009B1E55"/>
    <w:rsid w:val="009B1FF8"/>
    <w:rsid w:val="009B22AC"/>
    <w:rsid w:val="009B35BF"/>
    <w:rsid w:val="009B4C28"/>
    <w:rsid w:val="009B4C3E"/>
    <w:rsid w:val="009B4D2F"/>
    <w:rsid w:val="009B5038"/>
    <w:rsid w:val="009B56BE"/>
    <w:rsid w:val="009B573C"/>
    <w:rsid w:val="009B6071"/>
    <w:rsid w:val="009B6E0F"/>
    <w:rsid w:val="009B6EF9"/>
    <w:rsid w:val="009B7356"/>
    <w:rsid w:val="009B78A7"/>
    <w:rsid w:val="009B7A8A"/>
    <w:rsid w:val="009C03A2"/>
    <w:rsid w:val="009C099B"/>
    <w:rsid w:val="009C0B86"/>
    <w:rsid w:val="009C113F"/>
    <w:rsid w:val="009C1832"/>
    <w:rsid w:val="009C1ADB"/>
    <w:rsid w:val="009C37BF"/>
    <w:rsid w:val="009C398A"/>
    <w:rsid w:val="009C39D9"/>
    <w:rsid w:val="009C407C"/>
    <w:rsid w:val="009C4676"/>
    <w:rsid w:val="009C4ADF"/>
    <w:rsid w:val="009C576C"/>
    <w:rsid w:val="009C5BB9"/>
    <w:rsid w:val="009C5FC3"/>
    <w:rsid w:val="009C60E9"/>
    <w:rsid w:val="009C6629"/>
    <w:rsid w:val="009C7231"/>
    <w:rsid w:val="009C7896"/>
    <w:rsid w:val="009C7E85"/>
    <w:rsid w:val="009D014A"/>
    <w:rsid w:val="009D0530"/>
    <w:rsid w:val="009D0C23"/>
    <w:rsid w:val="009D0CF4"/>
    <w:rsid w:val="009D0D52"/>
    <w:rsid w:val="009D140A"/>
    <w:rsid w:val="009D1A74"/>
    <w:rsid w:val="009D1C65"/>
    <w:rsid w:val="009D2470"/>
    <w:rsid w:val="009D2B87"/>
    <w:rsid w:val="009D2C76"/>
    <w:rsid w:val="009D2CDC"/>
    <w:rsid w:val="009D3079"/>
    <w:rsid w:val="009D39E1"/>
    <w:rsid w:val="009D3D90"/>
    <w:rsid w:val="009D4060"/>
    <w:rsid w:val="009D43C4"/>
    <w:rsid w:val="009D4AF8"/>
    <w:rsid w:val="009D4C5D"/>
    <w:rsid w:val="009D5B6B"/>
    <w:rsid w:val="009D645F"/>
    <w:rsid w:val="009D6D3F"/>
    <w:rsid w:val="009D7410"/>
    <w:rsid w:val="009D7601"/>
    <w:rsid w:val="009D7622"/>
    <w:rsid w:val="009E055D"/>
    <w:rsid w:val="009E09DF"/>
    <w:rsid w:val="009E0BE2"/>
    <w:rsid w:val="009E137C"/>
    <w:rsid w:val="009E188B"/>
    <w:rsid w:val="009E1908"/>
    <w:rsid w:val="009E2463"/>
    <w:rsid w:val="009E262E"/>
    <w:rsid w:val="009E2B4C"/>
    <w:rsid w:val="009E2C55"/>
    <w:rsid w:val="009E2E3F"/>
    <w:rsid w:val="009E2FAC"/>
    <w:rsid w:val="009E44A4"/>
    <w:rsid w:val="009E4A34"/>
    <w:rsid w:val="009E4E3B"/>
    <w:rsid w:val="009E59F4"/>
    <w:rsid w:val="009E5A96"/>
    <w:rsid w:val="009E5DD3"/>
    <w:rsid w:val="009E5EDA"/>
    <w:rsid w:val="009E61B0"/>
    <w:rsid w:val="009E622E"/>
    <w:rsid w:val="009E6387"/>
    <w:rsid w:val="009E63F0"/>
    <w:rsid w:val="009E7209"/>
    <w:rsid w:val="009E760A"/>
    <w:rsid w:val="009E7BCD"/>
    <w:rsid w:val="009E7BFC"/>
    <w:rsid w:val="009F012F"/>
    <w:rsid w:val="009F0217"/>
    <w:rsid w:val="009F05AC"/>
    <w:rsid w:val="009F0707"/>
    <w:rsid w:val="009F086C"/>
    <w:rsid w:val="009F09BE"/>
    <w:rsid w:val="009F1191"/>
    <w:rsid w:val="009F1443"/>
    <w:rsid w:val="009F1448"/>
    <w:rsid w:val="009F1778"/>
    <w:rsid w:val="009F1949"/>
    <w:rsid w:val="009F1EEE"/>
    <w:rsid w:val="009F1F3F"/>
    <w:rsid w:val="009F2131"/>
    <w:rsid w:val="009F239C"/>
    <w:rsid w:val="009F2E88"/>
    <w:rsid w:val="009F39A1"/>
    <w:rsid w:val="009F3FE4"/>
    <w:rsid w:val="009F43DD"/>
    <w:rsid w:val="009F4825"/>
    <w:rsid w:val="009F49FF"/>
    <w:rsid w:val="009F5CE6"/>
    <w:rsid w:val="009F6041"/>
    <w:rsid w:val="009F60E0"/>
    <w:rsid w:val="009F68A3"/>
    <w:rsid w:val="009F6B75"/>
    <w:rsid w:val="009F6F3D"/>
    <w:rsid w:val="009F71FD"/>
    <w:rsid w:val="009F74DB"/>
    <w:rsid w:val="009F77DF"/>
    <w:rsid w:val="009F7813"/>
    <w:rsid w:val="009F7F8E"/>
    <w:rsid w:val="00A00221"/>
    <w:rsid w:val="00A00437"/>
    <w:rsid w:val="00A00792"/>
    <w:rsid w:val="00A00BCB"/>
    <w:rsid w:val="00A00DDA"/>
    <w:rsid w:val="00A01385"/>
    <w:rsid w:val="00A01B9D"/>
    <w:rsid w:val="00A0201C"/>
    <w:rsid w:val="00A02C0A"/>
    <w:rsid w:val="00A03068"/>
    <w:rsid w:val="00A03652"/>
    <w:rsid w:val="00A03A2A"/>
    <w:rsid w:val="00A03E4B"/>
    <w:rsid w:val="00A042BE"/>
    <w:rsid w:val="00A047DA"/>
    <w:rsid w:val="00A0480E"/>
    <w:rsid w:val="00A04844"/>
    <w:rsid w:val="00A04982"/>
    <w:rsid w:val="00A051EA"/>
    <w:rsid w:val="00A05464"/>
    <w:rsid w:val="00A05CA6"/>
    <w:rsid w:val="00A05CF4"/>
    <w:rsid w:val="00A06990"/>
    <w:rsid w:val="00A06ED8"/>
    <w:rsid w:val="00A06F9D"/>
    <w:rsid w:val="00A07570"/>
    <w:rsid w:val="00A10103"/>
    <w:rsid w:val="00A10BC9"/>
    <w:rsid w:val="00A11137"/>
    <w:rsid w:val="00A111EA"/>
    <w:rsid w:val="00A1135E"/>
    <w:rsid w:val="00A11447"/>
    <w:rsid w:val="00A11555"/>
    <w:rsid w:val="00A11B67"/>
    <w:rsid w:val="00A11DEE"/>
    <w:rsid w:val="00A127F8"/>
    <w:rsid w:val="00A12A38"/>
    <w:rsid w:val="00A12A97"/>
    <w:rsid w:val="00A12B28"/>
    <w:rsid w:val="00A1374B"/>
    <w:rsid w:val="00A13EAB"/>
    <w:rsid w:val="00A15545"/>
    <w:rsid w:val="00A1602B"/>
    <w:rsid w:val="00A162DF"/>
    <w:rsid w:val="00A16324"/>
    <w:rsid w:val="00A16FA7"/>
    <w:rsid w:val="00A17013"/>
    <w:rsid w:val="00A17AF1"/>
    <w:rsid w:val="00A17B4D"/>
    <w:rsid w:val="00A17B91"/>
    <w:rsid w:val="00A20220"/>
    <w:rsid w:val="00A2055E"/>
    <w:rsid w:val="00A20CAE"/>
    <w:rsid w:val="00A21676"/>
    <w:rsid w:val="00A21C7C"/>
    <w:rsid w:val="00A225DB"/>
    <w:rsid w:val="00A23269"/>
    <w:rsid w:val="00A23DCC"/>
    <w:rsid w:val="00A23F95"/>
    <w:rsid w:val="00A24090"/>
    <w:rsid w:val="00A24C51"/>
    <w:rsid w:val="00A252DC"/>
    <w:rsid w:val="00A256A9"/>
    <w:rsid w:val="00A25E6E"/>
    <w:rsid w:val="00A26159"/>
    <w:rsid w:val="00A26462"/>
    <w:rsid w:val="00A26700"/>
    <w:rsid w:val="00A26B21"/>
    <w:rsid w:val="00A274E2"/>
    <w:rsid w:val="00A27891"/>
    <w:rsid w:val="00A27A34"/>
    <w:rsid w:val="00A27BE4"/>
    <w:rsid w:val="00A27E94"/>
    <w:rsid w:val="00A301FD"/>
    <w:rsid w:val="00A30B97"/>
    <w:rsid w:val="00A31193"/>
    <w:rsid w:val="00A312FC"/>
    <w:rsid w:val="00A31F9A"/>
    <w:rsid w:val="00A31FF4"/>
    <w:rsid w:val="00A32429"/>
    <w:rsid w:val="00A3288D"/>
    <w:rsid w:val="00A3307A"/>
    <w:rsid w:val="00A33111"/>
    <w:rsid w:val="00A33A21"/>
    <w:rsid w:val="00A33A75"/>
    <w:rsid w:val="00A34BDA"/>
    <w:rsid w:val="00A358DC"/>
    <w:rsid w:val="00A362FE"/>
    <w:rsid w:val="00A36EC0"/>
    <w:rsid w:val="00A37357"/>
    <w:rsid w:val="00A374BC"/>
    <w:rsid w:val="00A375B5"/>
    <w:rsid w:val="00A37719"/>
    <w:rsid w:val="00A40089"/>
    <w:rsid w:val="00A4164A"/>
    <w:rsid w:val="00A41C3D"/>
    <w:rsid w:val="00A41F2E"/>
    <w:rsid w:val="00A432A0"/>
    <w:rsid w:val="00A4354B"/>
    <w:rsid w:val="00A43F0A"/>
    <w:rsid w:val="00A43FF9"/>
    <w:rsid w:val="00A44220"/>
    <w:rsid w:val="00A45207"/>
    <w:rsid w:val="00A45944"/>
    <w:rsid w:val="00A46305"/>
    <w:rsid w:val="00A465E9"/>
    <w:rsid w:val="00A468F2"/>
    <w:rsid w:val="00A46A4B"/>
    <w:rsid w:val="00A470C6"/>
    <w:rsid w:val="00A47774"/>
    <w:rsid w:val="00A47BC1"/>
    <w:rsid w:val="00A50713"/>
    <w:rsid w:val="00A5077D"/>
    <w:rsid w:val="00A50899"/>
    <w:rsid w:val="00A50D1E"/>
    <w:rsid w:val="00A51049"/>
    <w:rsid w:val="00A51084"/>
    <w:rsid w:val="00A512A2"/>
    <w:rsid w:val="00A5175F"/>
    <w:rsid w:val="00A51875"/>
    <w:rsid w:val="00A518F7"/>
    <w:rsid w:val="00A51A4B"/>
    <w:rsid w:val="00A5216F"/>
    <w:rsid w:val="00A52254"/>
    <w:rsid w:val="00A52401"/>
    <w:rsid w:val="00A5287D"/>
    <w:rsid w:val="00A529D4"/>
    <w:rsid w:val="00A54C42"/>
    <w:rsid w:val="00A550F7"/>
    <w:rsid w:val="00A55BF7"/>
    <w:rsid w:val="00A55F9E"/>
    <w:rsid w:val="00A562BE"/>
    <w:rsid w:val="00A568ED"/>
    <w:rsid w:val="00A56A4F"/>
    <w:rsid w:val="00A56DDE"/>
    <w:rsid w:val="00A5773B"/>
    <w:rsid w:val="00A5787F"/>
    <w:rsid w:val="00A57E73"/>
    <w:rsid w:val="00A600F7"/>
    <w:rsid w:val="00A601FA"/>
    <w:rsid w:val="00A60436"/>
    <w:rsid w:val="00A6052E"/>
    <w:rsid w:val="00A60601"/>
    <w:rsid w:val="00A607D9"/>
    <w:rsid w:val="00A60C3A"/>
    <w:rsid w:val="00A61BD3"/>
    <w:rsid w:val="00A61C35"/>
    <w:rsid w:val="00A621B7"/>
    <w:rsid w:val="00A62DC7"/>
    <w:rsid w:val="00A62E23"/>
    <w:rsid w:val="00A63037"/>
    <w:rsid w:val="00A6323E"/>
    <w:rsid w:val="00A63277"/>
    <w:rsid w:val="00A638B4"/>
    <w:rsid w:val="00A63AF3"/>
    <w:rsid w:val="00A63C03"/>
    <w:rsid w:val="00A6419E"/>
    <w:rsid w:val="00A64E32"/>
    <w:rsid w:val="00A64E8C"/>
    <w:rsid w:val="00A64EF8"/>
    <w:rsid w:val="00A65CE4"/>
    <w:rsid w:val="00A65E01"/>
    <w:rsid w:val="00A6619D"/>
    <w:rsid w:val="00A664B6"/>
    <w:rsid w:val="00A6677B"/>
    <w:rsid w:val="00A66CE9"/>
    <w:rsid w:val="00A67D1C"/>
    <w:rsid w:val="00A702BB"/>
    <w:rsid w:val="00A70798"/>
    <w:rsid w:val="00A70BB5"/>
    <w:rsid w:val="00A70F1D"/>
    <w:rsid w:val="00A70FB9"/>
    <w:rsid w:val="00A70FE6"/>
    <w:rsid w:val="00A710AC"/>
    <w:rsid w:val="00A7177F"/>
    <w:rsid w:val="00A717AD"/>
    <w:rsid w:val="00A7186E"/>
    <w:rsid w:val="00A71CBF"/>
    <w:rsid w:val="00A71FC9"/>
    <w:rsid w:val="00A725DB"/>
    <w:rsid w:val="00A72980"/>
    <w:rsid w:val="00A729FA"/>
    <w:rsid w:val="00A72C03"/>
    <w:rsid w:val="00A733FB"/>
    <w:rsid w:val="00A73738"/>
    <w:rsid w:val="00A73D7C"/>
    <w:rsid w:val="00A73E8F"/>
    <w:rsid w:val="00A747DC"/>
    <w:rsid w:val="00A74D4E"/>
    <w:rsid w:val="00A74DFA"/>
    <w:rsid w:val="00A752A2"/>
    <w:rsid w:val="00A753BD"/>
    <w:rsid w:val="00A761EE"/>
    <w:rsid w:val="00A766DD"/>
    <w:rsid w:val="00A76A99"/>
    <w:rsid w:val="00A76B33"/>
    <w:rsid w:val="00A76FA4"/>
    <w:rsid w:val="00A777C4"/>
    <w:rsid w:val="00A77933"/>
    <w:rsid w:val="00A77F98"/>
    <w:rsid w:val="00A77FCB"/>
    <w:rsid w:val="00A80559"/>
    <w:rsid w:val="00A80813"/>
    <w:rsid w:val="00A80EA4"/>
    <w:rsid w:val="00A8115F"/>
    <w:rsid w:val="00A819DD"/>
    <w:rsid w:val="00A81C95"/>
    <w:rsid w:val="00A81DE0"/>
    <w:rsid w:val="00A81F01"/>
    <w:rsid w:val="00A82D4D"/>
    <w:rsid w:val="00A83A16"/>
    <w:rsid w:val="00A83CA5"/>
    <w:rsid w:val="00A83DCF"/>
    <w:rsid w:val="00A84336"/>
    <w:rsid w:val="00A84863"/>
    <w:rsid w:val="00A84EAD"/>
    <w:rsid w:val="00A84EBD"/>
    <w:rsid w:val="00A84EDD"/>
    <w:rsid w:val="00A84F34"/>
    <w:rsid w:val="00A86125"/>
    <w:rsid w:val="00A8620E"/>
    <w:rsid w:val="00A864E9"/>
    <w:rsid w:val="00A86521"/>
    <w:rsid w:val="00A86CC9"/>
    <w:rsid w:val="00A8717F"/>
    <w:rsid w:val="00A87673"/>
    <w:rsid w:val="00A87906"/>
    <w:rsid w:val="00A87958"/>
    <w:rsid w:val="00A87E75"/>
    <w:rsid w:val="00A87E9E"/>
    <w:rsid w:val="00A901BE"/>
    <w:rsid w:val="00A904E2"/>
    <w:rsid w:val="00A90D2E"/>
    <w:rsid w:val="00A912E7"/>
    <w:rsid w:val="00A915CA"/>
    <w:rsid w:val="00A91B6C"/>
    <w:rsid w:val="00A91E97"/>
    <w:rsid w:val="00A92BCF"/>
    <w:rsid w:val="00A93095"/>
    <w:rsid w:val="00A93309"/>
    <w:rsid w:val="00A939EB"/>
    <w:rsid w:val="00A9448F"/>
    <w:rsid w:val="00A94F32"/>
    <w:rsid w:val="00A95326"/>
    <w:rsid w:val="00A9542D"/>
    <w:rsid w:val="00A954FD"/>
    <w:rsid w:val="00A957DD"/>
    <w:rsid w:val="00A95C73"/>
    <w:rsid w:val="00A95E2B"/>
    <w:rsid w:val="00A96085"/>
    <w:rsid w:val="00A96151"/>
    <w:rsid w:val="00A96424"/>
    <w:rsid w:val="00A96A1C"/>
    <w:rsid w:val="00A96A42"/>
    <w:rsid w:val="00A97616"/>
    <w:rsid w:val="00A97AC3"/>
    <w:rsid w:val="00AA0125"/>
    <w:rsid w:val="00AA0297"/>
    <w:rsid w:val="00AA1499"/>
    <w:rsid w:val="00AA170D"/>
    <w:rsid w:val="00AA19A6"/>
    <w:rsid w:val="00AA1AED"/>
    <w:rsid w:val="00AA1EE1"/>
    <w:rsid w:val="00AA20B1"/>
    <w:rsid w:val="00AA262E"/>
    <w:rsid w:val="00AA2993"/>
    <w:rsid w:val="00AA2BA2"/>
    <w:rsid w:val="00AA2C89"/>
    <w:rsid w:val="00AA3451"/>
    <w:rsid w:val="00AA3C1A"/>
    <w:rsid w:val="00AA43BD"/>
    <w:rsid w:val="00AA46E6"/>
    <w:rsid w:val="00AA48B6"/>
    <w:rsid w:val="00AA48C1"/>
    <w:rsid w:val="00AA5EC1"/>
    <w:rsid w:val="00AA60A4"/>
    <w:rsid w:val="00AA6AB5"/>
    <w:rsid w:val="00AA6FE1"/>
    <w:rsid w:val="00AA73A8"/>
    <w:rsid w:val="00AA7ADF"/>
    <w:rsid w:val="00AA7C13"/>
    <w:rsid w:val="00AA7E0A"/>
    <w:rsid w:val="00AB006F"/>
    <w:rsid w:val="00AB0BEA"/>
    <w:rsid w:val="00AB1A9F"/>
    <w:rsid w:val="00AB200F"/>
    <w:rsid w:val="00AB3037"/>
    <w:rsid w:val="00AB3184"/>
    <w:rsid w:val="00AB33CF"/>
    <w:rsid w:val="00AB33F9"/>
    <w:rsid w:val="00AB35B0"/>
    <w:rsid w:val="00AB3CEC"/>
    <w:rsid w:val="00AB3E8B"/>
    <w:rsid w:val="00AB4AFF"/>
    <w:rsid w:val="00AB537C"/>
    <w:rsid w:val="00AB5887"/>
    <w:rsid w:val="00AB5B81"/>
    <w:rsid w:val="00AB5C13"/>
    <w:rsid w:val="00AB5D24"/>
    <w:rsid w:val="00AB617F"/>
    <w:rsid w:val="00AB6276"/>
    <w:rsid w:val="00AB64E5"/>
    <w:rsid w:val="00AB65F3"/>
    <w:rsid w:val="00AB6C31"/>
    <w:rsid w:val="00AB7213"/>
    <w:rsid w:val="00AB7442"/>
    <w:rsid w:val="00AB74CF"/>
    <w:rsid w:val="00AC0717"/>
    <w:rsid w:val="00AC0A0A"/>
    <w:rsid w:val="00AC1226"/>
    <w:rsid w:val="00AC1686"/>
    <w:rsid w:val="00AC179A"/>
    <w:rsid w:val="00AC18EF"/>
    <w:rsid w:val="00AC24F6"/>
    <w:rsid w:val="00AC299E"/>
    <w:rsid w:val="00AC2A54"/>
    <w:rsid w:val="00AC2CAF"/>
    <w:rsid w:val="00AC4AC3"/>
    <w:rsid w:val="00AC598F"/>
    <w:rsid w:val="00AC5C6A"/>
    <w:rsid w:val="00AC635D"/>
    <w:rsid w:val="00AC6484"/>
    <w:rsid w:val="00AC65AF"/>
    <w:rsid w:val="00AC679E"/>
    <w:rsid w:val="00AC7052"/>
    <w:rsid w:val="00AC7703"/>
    <w:rsid w:val="00AC7E57"/>
    <w:rsid w:val="00AD0558"/>
    <w:rsid w:val="00AD10E5"/>
    <w:rsid w:val="00AD13A8"/>
    <w:rsid w:val="00AD1A75"/>
    <w:rsid w:val="00AD1FF4"/>
    <w:rsid w:val="00AD23CC"/>
    <w:rsid w:val="00AD2479"/>
    <w:rsid w:val="00AD248F"/>
    <w:rsid w:val="00AD31B5"/>
    <w:rsid w:val="00AD31EC"/>
    <w:rsid w:val="00AD32BE"/>
    <w:rsid w:val="00AD35A4"/>
    <w:rsid w:val="00AD37F0"/>
    <w:rsid w:val="00AD3C2A"/>
    <w:rsid w:val="00AD3E6B"/>
    <w:rsid w:val="00AD4028"/>
    <w:rsid w:val="00AD4379"/>
    <w:rsid w:val="00AD4652"/>
    <w:rsid w:val="00AD4A21"/>
    <w:rsid w:val="00AD4C27"/>
    <w:rsid w:val="00AD4DAE"/>
    <w:rsid w:val="00AD59D8"/>
    <w:rsid w:val="00AD5D1F"/>
    <w:rsid w:val="00AD5D9A"/>
    <w:rsid w:val="00AD5E26"/>
    <w:rsid w:val="00AD6676"/>
    <w:rsid w:val="00AD6833"/>
    <w:rsid w:val="00AD6D41"/>
    <w:rsid w:val="00AD715B"/>
    <w:rsid w:val="00AD7356"/>
    <w:rsid w:val="00AD77FA"/>
    <w:rsid w:val="00AE06F7"/>
    <w:rsid w:val="00AE0E20"/>
    <w:rsid w:val="00AE1220"/>
    <w:rsid w:val="00AE14B9"/>
    <w:rsid w:val="00AE1923"/>
    <w:rsid w:val="00AE1B66"/>
    <w:rsid w:val="00AE1CFC"/>
    <w:rsid w:val="00AE1D4C"/>
    <w:rsid w:val="00AE23AB"/>
    <w:rsid w:val="00AE252A"/>
    <w:rsid w:val="00AE29AA"/>
    <w:rsid w:val="00AE3B14"/>
    <w:rsid w:val="00AE3D0F"/>
    <w:rsid w:val="00AE4513"/>
    <w:rsid w:val="00AE48A4"/>
    <w:rsid w:val="00AE4D24"/>
    <w:rsid w:val="00AE4F38"/>
    <w:rsid w:val="00AE507F"/>
    <w:rsid w:val="00AE521A"/>
    <w:rsid w:val="00AE600B"/>
    <w:rsid w:val="00AE6139"/>
    <w:rsid w:val="00AE6873"/>
    <w:rsid w:val="00AE6D21"/>
    <w:rsid w:val="00AE6D50"/>
    <w:rsid w:val="00AE7F9B"/>
    <w:rsid w:val="00AF03AA"/>
    <w:rsid w:val="00AF1099"/>
    <w:rsid w:val="00AF1DE2"/>
    <w:rsid w:val="00AF278C"/>
    <w:rsid w:val="00AF2806"/>
    <w:rsid w:val="00AF34EA"/>
    <w:rsid w:val="00AF362D"/>
    <w:rsid w:val="00AF406C"/>
    <w:rsid w:val="00AF428A"/>
    <w:rsid w:val="00AF498E"/>
    <w:rsid w:val="00AF4AF0"/>
    <w:rsid w:val="00AF4E90"/>
    <w:rsid w:val="00AF4FDE"/>
    <w:rsid w:val="00AF5391"/>
    <w:rsid w:val="00AF5912"/>
    <w:rsid w:val="00AF5D8B"/>
    <w:rsid w:val="00AF698E"/>
    <w:rsid w:val="00AF6A75"/>
    <w:rsid w:val="00AF6EE6"/>
    <w:rsid w:val="00AF7341"/>
    <w:rsid w:val="00AF7555"/>
    <w:rsid w:val="00AF7CBE"/>
    <w:rsid w:val="00B0063B"/>
    <w:rsid w:val="00B00A76"/>
    <w:rsid w:val="00B00EA1"/>
    <w:rsid w:val="00B00F17"/>
    <w:rsid w:val="00B01DB9"/>
    <w:rsid w:val="00B01E36"/>
    <w:rsid w:val="00B025A1"/>
    <w:rsid w:val="00B0264A"/>
    <w:rsid w:val="00B03DEE"/>
    <w:rsid w:val="00B04C10"/>
    <w:rsid w:val="00B04D6B"/>
    <w:rsid w:val="00B0575B"/>
    <w:rsid w:val="00B068E4"/>
    <w:rsid w:val="00B068FF"/>
    <w:rsid w:val="00B069DE"/>
    <w:rsid w:val="00B06A46"/>
    <w:rsid w:val="00B078AE"/>
    <w:rsid w:val="00B07ED5"/>
    <w:rsid w:val="00B1063A"/>
    <w:rsid w:val="00B10802"/>
    <w:rsid w:val="00B1147E"/>
    <w:rsid w:val="00B115ED"/>
    <w:rsid w:val="00B117CB"/>
    <w:rsid w:val="00B117D7"/>
    <w:rsid w:val="00B12047"/>
    <w:rsid w:val="00B12732"/>
    <w:rsid w:val="00B12E82"/>
    <w:rsid w:val="00B12FD8"/>
    <w:rsid w:val="00B13785"/>
    <w:rsid w:val="00B13B16"/>
    <w:rsid w:val="00B13B8E"/>
    <w:rsid w:val="00B13BC6"/>
    <w:rsid w:val="00B142E0"/>
    <w:rsid w:val="00B15237"/>
    <w:rsid w:val="00B156A9"/>
    <w:rsid w:val="00B15E04"/>
    <w:rsid w:val="00B16360"/>
    <w:rsid w:val="00B166F6"/>
    <w:rsid w:val="00B2074F"/>
    <w:rsid w:val="00B210CC"/>
    <w:rsid w:val="00B21E4C"/>
    <w:rsid w:val="00B231BC"/>
    <w:rsid w:val="00B23573"/>
    <w:rsid w:val="00B23ABE"/>
    <w:rsid w:val="00B23B67"/>
    <w:rsid w:val="00B23E8B"/>
    <w:rsid w:val="00B23F6D"/>
    <w:rsid w:val="00B24B78"/>
    <w:rsid w:val="00B26797"/>
    <w:rsid w:val="00B26C98"/>
    <w:rsid w:val="00B26E4F"/>
    <w:rsid w:val="00B27027"/>
    <w:rsid w:val="00B271E8"/>
    <w:rsid w:val="00B275D8"/>
    <w:rsid w:val="00B27981"/>
    <w:rsid w:val="00B3135E"/>
    <w:rsid w:val="00B313F6"/>
    <w:rsid w:val="00B31BDA"/>
    <w:rsid w:val="00B31DC7"/>
    <w:rsid w:val="00B31E63"/>
    <w:rsid w:val="00B32506"/>
    <w:rsid w:val="00B32CCD"/>
    <w:rsid w:val="00B32CDB"/>
    <w:rsid w:val="00B32F66"/>
    <w:rsid w:val="00B33678"/>
    <w:rsid w:val="00B33E58"/>
    <w:rsid w:val="00B33FD6"/>
    <w:rsid w:val="00B340B5"/>
    <w:rsid w:val="00B348D2"/>
    <w:rsid w:val="00B34AFD"/>
    <w:rsid w:val="00B3512D"/>
    <w:rsid w:val="00B353F0"/>
    <w:rsid w:val="00B354E2"/>
    <w:rsid w:val="00B358C1"/>
    <w:rsid w:val="00B35C85"/>
    <w:rsid w:val="00B361AC"/>
    <w:rsid w:val="00B36705"/>
    <w:rsid w:val="00B36B2F"/>
    <w:rsid w:val="00B37073"/>
    <w:rsid w:val="00B37391"/>
    <w:rsid w:val="00B3740B"/>
    <w:rsid w:val="00B37D98"/>
    <w:rsid w:val="00B40037"/>
    <w:rsid w:val="00B4141C"/>
    <w:rsid w:val="00B414E0"/>
    <w:rsid w:val="00B41861"/>
    <w:rsid w:val="00B41A1A"/>
    <w:rsid w:val="00B41D7E"/>
    <w:rsid w:val="00B42107"/>
    <w:rsid w:val="00B4244B"/>
    <w:rsid w:val="00B4274F"/>
    <w:rsid w:val="00B427F8"/>
    <w:rsid w:val="00B42B07"/>
    <w:rsid w:val="00B439E2"/>
    <w:rsid w:val="00B43A1C"/>
    <w:rsid w:val="00B43F14"/>
    <w:rsid w:val="00B440D1"/>
    <w:rsid w:val="00B443DF"/>
    <w:rsid w:val="00B446E4"/>
    <w:rsid w:val="00B4492B"/>
    <w:rsid w:val="00B44A28"/>
    <w:rsid w:val="00B453BC"/>
    <w:rsid w:val="00B457F9"/>
    <w:rsid w:val="00B45B91"/>
    <w:rsid w:val="00B45BBA"/>
    <w:rsid w:val="00B462D8"/>
    <w:rsid w:val="00B46347"/>
    <w:rsid w:val="00B46444"/>
    <w:rsid w:val="00B47117"/>
    <w:rsid w:val="00B475E1"/>
    <w:rsid w:val="00B4762E"/>
    <w:rsid w:val="00B47D1C"/>
    <w:rsid w:val="00B507E3"/>
    <w:rsid w:val="00B5155A"/>
    <w:rsid w:val="00B51800"/>
    <w:rsid w:val="00B51E22"/>
    <w:rsid w:val="00B51E5E"/>
    <w:rsid w:val="00B51F70"/>
    <w:rsid w:val="00B52425"/>
    <w:rsid w:val="00B52EAD"/>
    <w:rsid w:val="00B52F35"/>
    <w:rsid w:val="00B52F36"/>
    <w:rsid w:val="00B546AB"/>
    <w:rsid w:val="00B5474A"/>
    <w:rsid w:val="00B547C5"/>
    <w:rsid w:val="00B54851"/>
    <w:rsid w:val="00B54B97"/>
    <w:rsid w:val="00B54C7E"/>
    <w:rsid w:val="00B554EB"/>
    <w:rsid w:val="00B55825"/>
    <w:rsid w:val="00B55C56"/>
    <w:rsid w:val="00B55E9E"/>
    <w:rsid w:val="00B566ED"/>
    <w:rsid w:val="00B57205"/>
    <w:rsid w:val="00B57320"/>
    <w:rsid w:val="00B574FC"/>
    <w:rsid w:val="00B603D4"/>
    <w:rsid w:val="00B604C7"/>
    <w:rsid w:val="00B60CC4"/>
    <w:rsid w:val="00B60E24"/>
    <w:rsid w:val="00B61068"/>
    <w:rsid w:val="00B6118D"/>
    <w:rsid w:val="00B61F6B"/>
    <w:rsid w:val="00B62104"/>
    <w:rsid w:val="00B6233A"/>
    <w:rsid w:val="00B62AFD"/>
    <w:rsid w:val="00B6312A"/>
    <w:rsid w:val="00B63594"/>
    <w:rsid w:val="00B63CE9"/>
    <w:rsid w:val="00B64FF2"/>
    <w:rsid w:val="00B651B7"/>
    <w:rsid w:val="00B65553"/>
    <w:rsid w:val="00B65643"/>
    <w:rsid w:val="00B658B7"/>
    <w:rsid w:val="00B66D63"/>
    <w:rsid w:val="00B66E77"/>
    <w:rsid w:val="00B674BE"/>
    <w:rsid w:val="00B6799D"/>
    <w:rsid w:val="00B67A5D"/>
    <w:rsid w:val="00B67BF5"/>
    <w:rsid w:val="00B70240"/>
    <w:rsid w:val="00B7038A"/>
    <w:rsid w:val="00B706E0"/>
    <w:rsid w:val="00B70E68"/>
    <w:rsid w:val="00B71BEA"/>
    <w:rsid w:val="00B71D0E"/>
    <w:rsid w:val="00B71D57"/>
    <w:rsid w:val="00B7222F"/>
    <w:rsid w:val="00B72616"/>
    <w:rsid w:val="00B72C21"/>
    <w:rsid w:val="00B7351F"/>
    <w:rsid w:val="00B73814"/>
    <w:rsid w:val="00B73D20"/>
    <w:rsid w:val="00B73F56"/>
    <w:rsid w:val="00B743DF"/>
    <w:rsid w:val="00B74B6F"/>
    <w:rsid w:val="00B752A3"/>
    <w:rsid w:val="00B75640"/>
    <w:rsid w:val="00B75690"/>
    <w:rsid w:val="00B759E3"/>
    <w:rsid w:val="00B76B9D"/>
    <w:rsid w:val="00B7706F"/>
    <w:rsid w:val="00B77355"/>
    <w:rsid w:val="00B776A8"/>
    <w:rsid w:val="00B77A84"/>
    <w:rsid w:val="00B77E94"/>
    <w:rsid w:val="00B80321"/>
    <w:rsid w:val="00B81EC7"/>
    <w:rsid w:val="00B821B7"/>
    <w:rsid w:val="00B8299B"/>
    <w:rsid w:val="00B83503"/>
    <w:rsid w:val="00B84D02"/>
    <w:rsid w:val="00B84ED5"/>
    <w:rsid w:val="00B85018"/>
    <w:rsid w:val="00B85517"/>
    <w:rsid w:val="00B858B4"/>
    <w:rsid w:val="00B863E7"/>
    <w:rsid w:val="00B86CD2"/>
    <w:rsid w:val="00B8778B"/>
    <w:rsid w:val="00B9031C"/>
    <w:rsid w:val="00B90653"/>
    <w:rsid w:val="00B925DB"/>
    <w:rsid w:val="00B9333B"/>
    <w:rsid w:val="00B938E4"/>
    <w:rsid w:val="00B93D40"/>
    <w:rsid w:val="00B947BF"/>
    <w:rsid w:val="00B94811"/>
    <w:rsid w:val="00B94BC2"/>
    <w:rsid w:val="00B94E55"/>
    <w:rsid w:val="00B94F87"/>
    <w:rsid w:val="00B951C1"/>
    <w:rsid w:val="00B9556E"/>
    <w:rsid w:val="00B95619"/>
    <w:rsid w:val="00B95DC7"/>
    <w:rsid w:val="00B96335"/>
    <w:rsid w:val="00B96C53"/>
    <w:rsid w:val="00B975CF"/>
    <w:rsid w:val="00B97784"/>
    <w:rsid w:val="00BA0103"/>
    <w:rsid w:val="00BA0DF2"/>
    <w:rsid w:val="00BA0E5B"/>
    <w:rsid w:val="00BA0F89"/>
    <w:rsid w:val="00BA1049"/>
    <w:rsid w:val="00BA108A"/>
    <w:rsid w:val="00BA179D"/>
    <w:rsid w:val="00BA181F"/>
    <w:rsid w:val="00BA1AFD"/>
    <w:rsid w:val="00BA217B"/>
    <w:rsid w:val="00BA2A85"/>
    <w:rsid w:val="00BA3074"/>
    <w:rsid w:val="00BA3094"/>
    <w:rsid w:val="00BA37F0"/>
    <w:rsid w:val="00BA3CC9"/>
    <w:rsid w:val="00BA42EA"/>
    <w:rsid w:val="00BA4418"/>
    <w:rsid w:val="00BA4525"/>
    <w:rsid w:val="00BA4547"/>
    <w:rsid w:val="00BA4AAE"/>
    <w:rsid w:val="00BA4BFB"/>
    <w:rsid w:val="00BA4D60"/>
    <w:rsid w:val="00BA4E2C"/>
    <w:rsid w:val="00BA509D"/>
    <w:rsid w:val="00BA51F6"/>
    <w:rsid w:val="00BA5B47"/>
    <w:rsid w:val="00BA5ED6"/>
    <w:rsid w:val="00BA648B"/>
    <w:rsid w:val="00BA6818"/>
    <w:rsid w:val="00BA6E28"/>
    <w:rsid w:val="00BA74ED"/>
    <w:rsid w:val="00BA771E"/>
    <w:rsid w:val="00BA77DE"/>
    <w:rsid w:val="00BA782E"/>
    <w:rsid w:val="00BA7A25"/>
    <w:rsid w:val="00BA7C2F"/>
    <w:rsid w:val="00BB05F4"/>
    <w:rsid w:val="00BB0630"/>
    <w:rsid w:val="00BB064E"/>
    <w:rsid w:val="00BB12F6"/>
    <w:rsid w:val="00BB13AC"/>
    <w:rsid w:val="00BB1CAB"/>
    <w:rsid w:val="00BB2405"/>
    <w:rsid w:val="00BB2DFE"/>
    <w:rsid w:val="00BB3436"/>
    <w:rsid w:val="00BB3828"/>
    <w:rsid w:val="00BB3A7C"/>
    <w:rsid w:val="00BB3D9E"/>
    <w:rsid w:val="00BB4199"/>
    <w:rsid w:val="00BB48F9"/>
    <w:rsid w:val="00BB4D2D"/>
    <w:rsid w:val="00BB4D97"/>
    <w:rsid w:val="00BB51DC"/>
    <w:rsid w:val="00BB53DF"/>
    <w:rsid w:val="00BB56C4"/>
    <w:rsid w:val="00BB5776"/>
    <w:rsid w:val="00BB5B56"/>
    <w:rsid w:val="00BB6030"/>
    <w:rsid w:val="00BB6067"/>
    <w:rsid w:val="00BB6172"/>
    <w:rsid w:val="00BB6853"/>
    <w:rsid w:val="00BB6B0B"/>
    <w:rsid w:val="00BB6C0B"/>
    <w:rsid w:val="00BB6DEB"/>
    <w:rsid w:val="00BB6F1C"/>
    <w:rsid w:val="00BB772D"/>
    <w:rsid w:val="00BB7E75"/>
    <w:rsid w:val="00BC0725"/>
    <w:rsid w:val="00BC091B"/>
    <w:rsid w:val="00BC13E1"/>
    <w:rsid w:val="00BC1A7C"/>
    <w:rsid w:val="00BC23C0"/>
    <w:rsid w:val="00BC25A3"/>
    <w:rsid w:val="00BC265E"/>
    <w:rsid w:val="00BC2978"/>
    <w:rsid w:val="00BC3563"/>
    <w:rsid w:val="00BC3677"/>
    <w:rsid w:val="00BC4118"/>
    <w:rsid w:val="00BC466E"/>
    <w:rsid w:val="00BC4D34"/>
    <w:rsid w:val="00BC6794"/>
    <w:rsid w:val="00BC6862"/>
    <w:rsid w:val="00BC730B"/>
    <w:rsid w:val="00BC7530"/>
    <w:rsid w:val="00BC77EA"/>
    <w:rsid w:val="00BC7C23"/>
    <w:rsid w:val="00BD0264"/>
    <w:rsid w:val="00BD070A"/>
    <w:rsid w:val="00BD0750"/>
    <w:rsid w:val="00BD08AA"/>
    <w:rsid w:val="00BD0E33"/>
    <w:rsid w:val="00BD14A8"/>
    <w:rsid w:val="00BD1D83"/>
    <w:rsid w:val="00BD35F1"/>
    <w:rsid w:val="00BD369A"/>
    <w:rsid w:val="00BD37BA"/>
    <w:rsid w:val="00BD383C"/>
    <w:rsid w:val="00BD3A57"/>
    <w:rsid w:val="00BD4CCC"/>
    <w:rsid w:val="00BD51DF"/>
    <w:rsid w:val="00BD577E"/>
    <w:rsid w:val="00BD58C0"/>
    <w:rsid w:val="00BD58CD"/>
    <w:rsid w:val="00BD5FD1"/>
    <w:rsid w:val="00BD601C"/>
    <w:rsid w:val="00BD6550"/>
    <w:rsid w:val="00BD6B3A"/>
    <w:rsid w:val="00BD6E31"/>
    <w:rsid w:val="00BD70AE"/>
    <w:rsid w:val="00BD7A78"/>
    <w:rsid w:val="00BE024B"/>
    <w:rsid w:val="00BE05AF"/>
    <w:rsid w:val="00BE0CB7"/>
    <w:rsid w:val="00BE0DCB"/>
    <w:rsid w:val="00BE14AB"/>
    <w:rsid w:val="00BE172B"/>
    <w:rsid w:val="00BE1859"/>
    <w:rsid w:val="00BE1C87"/>
    <w:rsid w:val="00BE24E9"/>
    <w:rsid w:val="00BE2D0C"/>
    <w:rsid w:val="00BE2E40"/>
    <w:rsid w:val="00BE2EA5"/>
    <w:rsid w:val="00BE2EBD"/>
    <w:rsid w:val="00BE2F37"/>
    <w:rsid w:val="00BE32A6"/>
    <w:rsid w:val="00BE3535"/>
    <w:rsid w:val="00BE3F30"/>
    <w:rsid w:val="00BE4090"/>
    <w:rsid w:val="00BE40B0"/>
    <w:rsid w:val="00BE428C"/>
    <w:rsid w:val="00BE538C"/>
    <w:rsid w:val="00BE55E1"/>
    <w:rsid w:val="00BE6738"/>
    <w:rsid w:val="00BE72B2"/>
    <w:rsid w:val="00BE756C"/>
    <w:rsid w:val="00BE7822"/>
    <w:rsid w:val="00BE7934"/>
    <w:rsid w:val="00BE79B8"/>
    <w:rsid w:val="00BE7AC2"/>
    <w:rsid w:val="00BF00B4"/>
    <w:rsid w:val="00BF01F1"/>
    <w:rsid w:val="00BF04AD"/>
    <w:rsid w:val="00BF05A0"/>
    <w:rsid w:val="00BF07D6"/>
    <w:rsid w:val="00BF0BDC"/>
    <w:rsid w:val="00BF10ED"/>
    <w:rsid w:val="00BF1740"/>
    <w:rsid w:val="00BF19B3"/>
    <w:rsid w:val="00BF2146"/>
    <w:rsid w:val="00BF2184"/>
    <w:rsid w:val="00BF2BBE"/>
    <w:rsid w:val="00BF36F1"/>
    <w:rsid w:val="00BF381C"/>
    <w:rsid w:val="00BF4606"/>
    <w:rsid w:val="00BF4733"/>
    <w:rsid w:val="00BF498B"/>
    <w:rsid w:val="00BF4E4A"/>
    <w:rsid w:val="00BF4EB8"/>
    <w:rsid w:val="00BF5D42"/>
    <w:rsid w:val="00BF6690"/>
    <w:rsid w:val="00BF6A28"/>
    <w:rsid w:val="00BF7E99"/>
    <w:rsid w:val="00C00469"/>
    <w:rsid w:val="00C0047B"/>
    <w:rsid w:val="00C010FA"/>
    <w:rsid w:val="00C015EB"/>
    <w:rsid w:val="00C01A05"/>
    <w:rsid w:val="00C01AF6"/>
    <w:rsid w:val="00C01BB0"/>
    <w:rsid w:val="00C01C75"/>
    <w:rsid w:val="00C02210"/>
    <w:rsid w:val="00C037FC"/>
    <w:rsid w:val="00C03BCA"/>
    <w:rsid w:val="00C03FC3"/>
    <w:rsid w:val="00C042FB"/>
    <w:rsid w:val="00C0440C"/>
    <w:rsid w:val="00C04568"/>
    <w:rsid w:val="00C04A9A"/>
    <w:rsid w:val="00C04B40"/>
    <w:rsid w:val="00C04DCB"/>
    <w:rsid w:val="00C05057"/>
    <w:rsid w:val="00C05098"/>
    <w:rsid w:val="00C05267"/>
    <w:rsid w:val="00C05422"/>
    <w:rsid w:val="00C0546D"/>
    <w:rsid w:val="00C05541"/>
    <w:rsid w:val="00C0591B"/>
    <w:rsid w:val="00C0643E"/>
    <w:rsid w:val="00C06A28"/>
    <w:rsid w:val="00C06FD8"/>
    <w:rsid w:val="00C07889"/>
    <w:rsid w:val="00C07AE4"/>
    <w:rsid w:val="00C10E4A"/>
    <w:rsid w:val="00C10F84"/>
    <w:rsid w:val="00C111C4"/>
    <w:rsid w:val="00C115D3"/>
    <w:rsid w:val="00C11958"/>
    <w:rsid w:val="00C11E2F"/>
    <w:rsid w:val="00C11E76"/>
    <w:rsid w:val="00C1230A"/>
    <w:rsid w:val="00C125A7"/>
    <w:rsid w:val="00C129C1"/>
    <w:rsid w:val="00C13EC6"/>
    <w:rsid w:val="00C14145"/>
    <w:rsid w:val="00C14D49"/>
    <w:rsid w:val="00C15346"/>
    <w:rsid w:val="00C15E18"/>
    <w:rsid w:val="00C163E9"/>
    <w:rsid w:val="00C16DA8"/>
    <w:rsid w:val="00C17D16"/>
    <w:rsid w:val="00C202DC"/>
    <w:rsid w:val="00C20364"/>
    <w:rsid w:val="00C203F0"/>
    <w:rsid w:val="00C20431"/>
    <w:rsid w:val="00C20959"/>
    <w:rsid w:val="00C20C2D"/>
    <w:rsid w:val="00C20D32"/>
    <w:rsid w:val="00C20DA8"/>
    <w:rsid w:val="00C20DF3"/>
    <w:rsid w:val="00C21563"/>
    <w:rsid w:val="00C21792"/>
    <w:rsid w:val="00C21910"/>
    <w:rsid w:val="00C2200C"/>
    <w:rsid w:val="00C224D0"/>
    <w:rsid w:val="00C22655"/>
    <w:rsid w:val="00C2285B"/>
    <w:rsid w:val="00C22E4B"/>
    <w:rsid w:val="00C22FD7"/>
    <w:rsid w:val="00C23397"/>
    <w:rsid w:val="00C233C0"/>
    <w:rsid w:val="00C23610"/>
    <w:rsid w:val="00C238FD"/>
    <w:rsid w:val="00C23CB8"/>
    <w:rsid w:val="00C23E65"/>
    <w:rsid w:val="00C240D2"/>
    <w:rsid w:val="00C2442D"/>
    <w:rsid w:val="00C24886"/>
    <w:rsid w:val="00C24A19"/>
    <w:rsid w:val="00C24A20"/>
    <w:rsid w:val="00C24D83"/>
    <w:rsid w:val="00C25770"/>
    <w:rsid w:val="00C2636E"/>
    <w:rsid w:val="00C268C6"/>
    <w:rsid w:val="00C270A5"/>
    <w:rsid w:val="00C274F3"/>
    <w:rsid w:val="00C27F83"/>
    <w:rsid w:val="00C3074B"/>
    <w:rsid w:val="00C30904"/>
    <w:rsid w:val="00C30957"/>
    <w:rsid w:val="00C3188D"/>
    <w:rsid w:val="00C318AF"/>
    <w:rsid w:val="00C321FC"/>
    <w:rsid w:val="00C324F0"/>
    <w:rsid w:val="00C3267E"/>
    <w:rsid w:val="00C327BC"/>
    <w:rsid w:val="00C32E23"/>
    <w:rsid w:val="00C3327C"/>
    <w:rsid w:val="00C3385B"/>
    <w:rsid w:val="00C33BE1"/>
    <w:rsid w:val="00C34193"/>
    <w:rsid w:val="00C34B20"/>
    <w:rsid w:val="00C35323"/>
    <w:rsid w:val="00C354FC"/>
    <w:rsid w:val="00C35747"/>
    <w:rsid w:val="00C35780"/>
    <w:rsid w:val="00C35A2D"/>
    <w:rsid w:val="00C3607D"/>
    <w:rsid w:val="00C3671C"/>
    <w:rsid w:val="00C368B2"/>
    <w:rsid w:val="00C369C5"/>
    <w:rsid w:val="00C36E59"/>
    <w:rsid w:val="00C36FB7"/>
    <w:rsid w:val="00C37102"/>
    <w:rsid w:val="00C378BB"/>
    <w:rsid w:val="00C37A49"/>
    <w:rsid w:val="00C4004B"/>
    <w:rsid w:val="00C40C65"/>
    <w:rsid w:val="00C40D7A"/>
    <w:rsid w:val="00C411C6"/>
    <w:rsid w:val="00C411E8"/>
    <w:rsid w:val="00C42009"/>
    <w:rsid w:val="00C42089"/>
    <w:rsid w:val="00C4227F"/>
    <w:rsid w:val="00C425B1"/>
    <w:rsid w:val="00C43733"/>
    <w:rsid w:val="00C43770"/>
    <w:rsid w:val="00C43996"/>
    <w:rsid w:val="00C43D1B"/>
    <w:rsid w:val="00C43DB2"/>
    <w:rsid w:val="00C43F3C"/>
    <w:rsid w:val="00C44997"/>
    <w:rsid w:val="00C44B2F"/>
    <w:rsid w:val="00C44B92"/>
    <w:rsid w:val="00C44D9B"/>
    <w:rsid w:val="00C4508E"/>
    <w:rsid w:val="00C45F1A"/>
    <w:rsid w:val="00C45FCA"/>
    <w:rsid w:val="00C46358"/>
    <w:rsid w:val="00C46905"/>
    <w:rsid w:val="00C46E0F"/>
    <w:rsid w:val="00C46FC4"/>
    <w:rsid w:val="00C4786D"/>
    <w:rsid w:val="00C47A35"/>
    <w:rsid w:val="00C47C19"/>
    <w:rsid w:val="00C47DE2"/>
    <w:rsid w:val="00C50543"/>
    <w:rsid w:val="00C505BA"/>
    <w:rsid w:val="00C508DA"/>
    <w:rsid w:val="00C50B3A"/>
    <w:rsid w:val="00C51470"/>
    <w:rsid w:val="00C5157D"/>
    <w:rsid w:val="00C519DA"/>
    <w:rsid w:val="00C51A3B"/>
    <w:rsid w:val="00C522FC"/>
    <w:rsid w:val="00C52CEE"/>
    <w:rsid w:val="00C530B7"/>
    <w:rsid w:val="00C53C97"/>
    <w:rsid w:val="00C54D41"/>
    <w:rsid w:val="00C5514C"/>
    <w:rsid w:val="00C56DA7"/>
    <w:rsid w:val="00C56EA1"/>
    <w:rsid w:val="00C57721"/>
    <w:rsid w:val="00C57A60"/>
    <w:rsid w:val="00C57C31"/>
    <w:rsid w:val="00C57D85"/>
    <w:rsid w:val="00C603F9"/>
    <w:rsid w:val="00C60AE1"/>
    <w:rsid w:val="00C61102"/>
    <w:rsid w:val="00C620C3"/>
    <w:rsid w:val="00C624A9"/>
    <w:rsid w:val="00C62B22"/>
    <w:rsid w:val="00C63304"/>
    <w:rsid w:val="00C63926"/>
    <w:rsid w:val="00C63BC0"/>
    <w:rsid w:val="00C63D7F"/>
    <w:rsid w:val="00C63FCC"/>
    <w:rsid w:val="00C63FEC"/>
    <w:rsid w:val="00C64D09"/>
    <w:rsid w:val="00C65A73"/>
    <w:rsid w:val="00C65AE0"/>
    <w:rsid w:val="00C65E33"/>
    <w:rsid w:val="00C661CD"/>
    <w:rsid w:val="00C66925"/>
    <w:rsid w:val="00C66FFA"/>
    <w:rsid w:val="00C6779C"/>
    <w:rsid w:val="00C67BA4"/>
    <w:rsid w:val="00C67C07"/>
    <w:rsid w:val="00C700B4"/>
    <w:rsid w:val="00C703AA"/>
    <w:rsid w:val="00C7112E"/>
    <w:rsid w:val="00C71A7E"/>
    <w:rsid w:val="00C71C06"/>
    <w:rsid w:val="00C7254D"/>
    <w:rsid w:val="00C72A44"/>
    <w:rsid w:val="00C72CA9"/>
    <w:rsid w:val="00C72F5F"/>
    <w:rsid w:val="00C73184"/>
    <w:rsid w:val="00C733D9"/>
    <w:rsid w:val="00C73401"/>
    <w:rsid w:val="00C7346A"/>
    <w:rsid w:val="00C736A6"/>
    <w:rsid w:val="00C73BEB"/>
    <w:rsid w:val="00C73F09"/>
    <w:rsid w:val="00C744F3"/>
    <w:rsid w:val="00C74825"/>
    <w:rsid w:val="00C7524C"/>
    <w:rsid w:val="00C76508"/>
    <w:rsid w:val="00C766FC"/>
    <w:rsid w:val="00C76BCA"/>
    <w:rsid w:val="00C76D6D"/>
    <w:rsid w:val="00C775FD"/>
    <w:rsid w:val="00C776FD"/>
    <w:rsid w:val="00C8020F"/>
    <w:rsid w:val="00C804E2"/>
    <w:rsid w:val="00C80B8B"/>
    <w:rsid w:val="00C81705"/>
    <w:rsid w:val="00C81842"/>
    <w:rsid w:val="00C81CF0"/>
    <w:rsid w:val="00C82240"/>
    <w:rsid w:val="00C8225E"/>
    <w:rsid w:val="00C82B49"/>
    <w:rsid w:val="00C82BD2"/>
    <w:rsid w:val="00C82D8D"/>
    <w:rsid w:val="00C836FC"/>
    <w:rsid w:val="00C83948"/>
    <w:rsid w:val="00C83AF5"/>
    <w:rsid w:val="00C83C4A"/>
    <w:rsid w:val="00C83E7A"/>
    <w:rsid w:val="00C83FC0"/>
    <w:rsid w:val="00C84351"/>
    <w:rsid w:val="00C848BA"/>
    <w:rsid w:val="00C84F98"/>
    <w:rsid w:val="00C852CD"/>
    <w:rsid w:val="00C856EC"/>
    <w:rsid w:val="00C85810"/>
    <w:rsid w:val="00C85969"/>
    <w:rsid w:val="00C85CA7"/>
    <w:rsid w:val="00C8627D"/>
    <w:rsid w:val="00C86A07"/>
    <w:rsid w:val="00C87201"/>
    <w:rsid w:val="00C8799A"/>
    <w:rsid w:val="00C9029B"/>
    <w:rsid w:val="00C903B9"/>
    <w:rsid w:val="00C909E3"/>
    <w:rsid w:val="00C90DD2"/>
    <w:rsid w:val="00C91C46"/>
    <w:rsid w:val="00C93087"/>
    <w:rsid w:val="00C93512"/>
    <w:rsid w:val="00C935FF"/>
    <w:rsid w:val="00C93944"/>
    <w:rsid w:val="00C93964"/>
    <w:rsid w:val="00C939E0"/>
    <w:rsid w:val="00C93BBF"/>
    <w:rsid w:val="00C94149"/>
    <w:rsid w:val="00C9424C"/>
    <w:rsid w:val="00C94660"/>
    <w:rsid w:val="00C94796"/>
    <w:rsid w:val="00C94C8D"/>
    <w:rsid w:val="00C9516A"/>
    <w:rsid w:val="00C955D7"/>
    <w:rsid w:val="00C95F4E"/>
    <w:rsid w:val="00C96502"/>
    <w:rsid w:val="00C9681F"/>
    <w:rsid w:val="00C971AB"/>
    <w:rsid w:val="00C9755E"/>
    <w:rsid w:val="00C97617"/>
    <w:rsid w:val="00C97DCE"/>
    <w:rsid w:val="00CA043B"/>
    <w:rsid w:val="00CA062B"/>
    <w:rsid w:val="00CA0CFC"/>
    <w:rsid w:val="00CA121B"/>
    <w:rsid w:val="00CA1283"/>
    <w:rsid w:val="00CA19A4"/>
    <w:rsid w:val="00CA1D40"/>
    <w:rsid w:val="00CA1EDA"/>
    <w:rsid w:val="00CA2076"/>
    <w:rsid w:val="00CA2564"/>
    <w:rsid w:val="00CA2E6A"/>
    <w:rsid w:val="00CA301A"/>
    <w:rsid w:val="00CA3771"/>
    <w:rsid w:val="00CA3981"/>
    <w:rsid w:val="00CA461D"/>
    <w:rsid w:val="00CA46A4"/>
    <w:rsid w:val="00CA4B8E"/>
    <w:rsid w:val="00CA4CB1"/>
    <w:rsid w:val="00CA5A78"/>
    <w:rsid w:val="00CA5AB7"/>
    <w:rsid w:val="00CA5F9E"/>
    <w:rsid w:val="00CA5FEC"/>
    <w:rsid w:val="00CA68D4"/>
    <w:rsid w:val="00CA776F"/>
    <w:rsid w:val="00CA7CF2"/>
    <w:rsid w:val="00CB0479"/>
    <w:rsid w:val="00CB0A16"/>
    <w:rsid w:val="00CB0F0C"/>
    <w:rsid w:val="00CB10F5"/>
    <w:rsid w:val="00CB1696"/>
    <w:rsid w:val="00CB177F"/>
    <w:rsid w:val="00CB1DCD"/>
    <w:rsid w:val="00CB2363"/>
    <w:rsid w:val="00CB2434"/>
    <w:rsid w:val="00CB2774"/>
    <w:rsid w:val="00CB2A32"/>
    <w:rsid w:val="00CB2A50"/>
    <w:rsid w:val="00CB4022"/>
    <w:rsid w:val="00CB4562"/>
    <w:rsid w:val="00CB471F"/>
    <w:rsid w:val="00CB47F9"/>
    <w:rsid w:val="00CB4FA0"/>
    <w:rsid w:val="00CB5679"/>
    <w:rsid w:val="00CB5713"/>
    <w:rsid w:val="00CB5AAB"/>
    <w:rsid w:val="00CB6792"/>
    <w:rsid w:val="00CB68A2"/>
    <w:rsid w:val="00CB70E1"/>
    <w:rsid w:val="00CB731B"/>
    <w:rsid w:val="00CB7F3B"/>
    <w:rsid w:val="00CC01EB"/>
    <w:rsid w:val="00CC0A7F"/>
    <w:rsid w:val="00CC150E"/>
    <w:rsid w:val="00CC1768"/>
    <w:rsid w:val="00CC1F89"/>
    <w:rsid w:val="00CC2314"/>
    <w:rsid w:val="00CC2408"/>
    <w:rsid w:val="00CC258C"/>
    <w:rsid w:val="00CC25FD"/>
    <w:rsid w:val="00CC2CA2"/>
    <w:rsid w:val="00CC327F"/>
    <w:rsid w:val="00CC34CB"/>
    <w:rsid w:val="00CC385A"/>
    <w:rsid w:val="00CC474A"/>
    <w:rsid w:val="00CC47D7"/>
    <w:rsid w:val="00CC4C03"/>
    <w:rsid w:val="00CC60F5"/>
    <w:rsid w:val="00CC61AA"/>
    <w:rsid w:val="00CC6E85"/>
    <w:rsid w:val="00CC71A0"/>
    <w:rsid w:val="00CC7238"/>
    <w:rsid w:val="00CC75C2"/>
    <w:rsid w:val="00CC778A"/>
    <w:rsid w:val="00CC7F04"/>
    <w:rsid w:val="00CC7F41"/>
    <w:rsid w:val="00CD000D"/>
    <w:rsid w:val="00CD016C"/>
    <w:rsid w:val="00CD0246"/>
    <w:rsid w:val="00CD0842"/>
    <w:rsid w:val="00CD1074"/>
    <w:rsid w:val="00CD157B"/>
    <w:rsid w:val="00CD173D"/>
    <w:rsid w:val="00CD23D6"/>
    <w:rsid w:val="00CD2656"/>
    <w:rsid w:val="00CD365A"/>
    <w:rsid w:val="00CD3A18"/>
    <w:rsid w:val="00CD3B31"/>
    <w:rsid w:val="00CD3F18"/>
    <w:rsid w:val="00CD3FFB"/>
    <w:rsid w:val="00CD45E3"/>
    <w:rsid w:val="00CD483F"/>
    <w:rsid w:val="00CD48E4"/>
    <w:rsid w:val="00CD4B8D"/>
    <w:rsid w:val="00CD4FBF"/>
    <w:rsid w:val="00CD55AF"/>
    <w:rsid w:val="00CD5857"/>
    <w:rsid w:val="00CD58E5"/>
    <w:rsid w:val="00CD5E1F"/>
    <w:rsid w:val="00CD5FFD"/>
    <w:rsid w:val="00CD6874"/>
    <w:rsid w:val="00CD688F"/>
    <w:rsid w:val="00CD7104"/>
    <w:rsid w:val="00CE0055"/>
    <w:rsid w:val="00CE02E6"/>
    <w:rsid w:val="00CE088E"/>
    <w:rsid w:val="00CE0912"/>
    <w:rsid w:val="00CE0C8D"/>
    <w:rsid w:val="00CE1043"/>
    <w:rsid w:val="00CE1570"/>
    <w:rsid w:val="00CE1DEC"/>
    <w:rsid w:val="00CE1F54"/>
    <w:rsid w:val="00CE2E1B"/>
    <w:rsid w:val="00CE301A"/>
    <w:rsid w:val="00CE31E5"/>
    <w:rsid w:val="00CE3564"/>
    <w:rsid w:val="00CE48FB"/>
    <w:rsid w:val="00CE4E97"/>
    <w:rsid w:val="00CE60F0"/>
    <w:rsid w:val="00CE629E"/>
    <w:rsid w:val="00CE62B8"/>
    <w:rsid w:val="00CE63A8"/>
    <w:rsid w:val="00CE6528"/>
    <w:rsid w:val="00CE6B16"/>
    <w:rsid w:val="00CE6BB0"/>
    <w:rsid w:val="00CE6F27"/>
    <w:rsid w:val="00CE6F96"/>
    <w:rsid w:val="00CE727D"/>
    <w:rsid w:val="00CE7672"/>
    <w:rsid w:val="00CE79FE"/>
    <w:rsid w:val="00CE7E16"/>
    <w:rsid w:val="00CF010F"/>
    <w:rsid w:val="00CF0423"/>
    <w:rsid w:val="00CF072B"/>
    <w:rsid w:val="00CF0ADD"/>
    <w:rsid w:val="00CF0AFE"/>
    <w:rsid w:val="00CF0D20"/>
    <w:rsid w:val="00CF19EB"/>
    <w:rsid w:val="00CF2753"/>
    <w:rsid w:val="00CF28EE"/>
    <w:rsid w:val="00CF2FA8"/>
    <w:rsid w:val="00CF3159"/>
    <w:rsid w:val="00CF3885"/>
    <w:rsid w:val="00CF402D"/>
    <w:rsid w:val="00CF431B"/>
    <w:rsid w:val="00CF5577"/>
    <w:rsid w:val="00CF5BE3"/>
    <w:rsid w:val="00CF620E"/>
    <w:rsid w:val="00CF62A8"/>
    <w:rsid w:val="00CF6DF4"/>
    <w:rsid w:val="00CF6EA7"/>
    <w:rsid w:val="00CF7684"/>
    <w:rsid w:val="00CF7A07"/>
    <w:rsid w:val="00CF7AF7"/>
    <w:rsid w:val="00D00680"/>
    <w:rsid w:val="00D00A23"/>
    <w:rsid w:val="00D011FE"/>
    <w:rsid w:val="00D0212E"/>
    <w:rsid w:val="00D0214A"/>
    <w:rsid w:val="00D026CD"/>
    <w:rsid w:val="00D02A25"/>
    <w:rsid w:val="00D04C15"/>
    <w:rsid w:val="00D04F7B"/>
    <w:rsid w:val="00D0512C"/>
    <w:rsid w:val="00D053C2"/>
    <w:rsid w:val="00D05FA5"/>
    <w:rsid w:val="00D06211"/>
    <w:rsid w:val="00D06E9F"/>
    <w:rsid w:val="00D06FFF"/>
    <w:rsid w:val="00D07871"/>
    <w:rsid w:val="00D07B7D"/>
    <w:rsid w:val="00D113E7"/>
    <w:rsid w:val="00D116F0"/>
    <w:rsid w:val="00D119B8"/>
    <w:rsid w:val="00D11B26"/>
    <w:rsid w:val="00D122BD"/>
    <w:rsid w:val="00D123EA"/>
    <w:rsid w:val="00D124C5"/>
    <w:rsid w:val="00D12A77"/>
    <w:rsid w:val="00D12C8C"/>
    <w:rsid w:val="00D12E24"/>
    <w:rsid w:val="00D134C5"/>
    <w:rsid w:val="00D13CD4"/>
    <w:rsid w:val="00D14332"/>
    <w:rsid w:val="00D14C3A"/>
    <w:rsid w:val="00D15178"/>
    <w:rsid w:val="00D151AE"/>
    <w:rsid w:val="00D15B0C"/>
    <w:rsid w:val="00D15F88"/>
    <w:rsid w:val="00D167E6"/>
    <w:rsid w:val="00D16C97"/>
    <w:rsid w:val="00D16F9B"/>
    <w:rsid w:val="00D17611"/>
    <w:rsid w:val="00D1786A"/>
    <w:rsid w:val="00D17A0C"/>
    <w:rsid w:val="00D17E0F"/>
    <w:rsid w:val="00D17E1D"/>
    <w:rsid w:val="00D17E36"/>
    <w:rsid w:val="00D211A0"/>
    <w:rsid w:val="00D21A5A"/>
    <w:rsid w:val="00D21E2C"/>
    <w:rsid w:val="00D22039"/>
    <w:rsid w:val="00D22381"/>
    <w:rsid w:val="00D22863"/>
    <w:rsid w:val="00D22A36"/>
    <w:rsid w:val="00D23502"/>
    <w:rsid w:val="00D239B8"/>
    <w:rsid w:val="00D23D51"/>
    <w:rsid w:val="00D24778"/>
    <w:rsid w:val="00D259F3"/>
    <w:rsid w:val="00D25ADF"/>
    <w:rsid w:val="00D25BE6"/>
    <w:rsid w:val="00D25C2E"/>
    <w:rsid w:val="00D25FFA"/>
    <w:rsid w:val="00D264A4"/>
    <w:rsid w:val="00D26E87"/>
    <w:rsid w:val="00D27086"/>
    <w:rsid w:val="00D274E2"/>
    <w:rsid w:val="00D279F9"/>
    <w:rsid w:val="00D27BB8"/>
    <w:rsid w:val="00D27CDB"/>
    <w:rsid w:val="00D27D1C"/>
    <w:rsid w:val="00D30112"/>
    <w:rsid w:val="00D3018C"/>
    <w:rsid w:val="00D30458"/>
    <w:rsid w:val="00D30B67"/>
    <w:rsid w:val="00D30D2F"/>
    <w:rsid w:val="00D30E04"/>
    <w:rsid w:val="00D3146B"/>
    <w:rsid w:val="00D31529"/>
    <w:rsid w:val="00D3190D"/>
    <w:rsid w:val="00D31C33"/>
    <w:rsid w:val="00D3345B"/>
    <w:rsid w:val="00D33974"/>
    <w:rsid w:val="00D346EB"/>
    <w:rsid w:val="00D34B45"/>
    <w:rsid w:val="00D35344"/>
    <w:rsid w:val="00D35DEF"/>
    <w:rsid w:val="00D362D1"/>
    <w:rsid w:val="00D36D7D"/>
    <w:rsid w:val="00D36FEC"/>
    <w:rsid w:val="00D3723B"/>
    <w:rsid w:val="00D377B1"/>
    <w:rsid w:val="00D37996"/>
    <w:rsid w:val="00D37C81"/>
    <w:rsid w:val="00D37DF7"/>
    <w:rsid w:val="00D405B2"/>
    <w:rsid w:val="00D40BBB"/>
    <w:rsid w:val="00D4101C"/>
    <w:rsid w:val="00D411AB"/>
    <w:rsid w:val="00D41B32"/>
    <w:rsid w:val="00D41BD7"/>
    <w:rsid w:val="00D41E32"/>
    <w:rsid w:val="00D42078"/>
    <w:rsid w:val="00D42CC1"/>
    <w:rsid w:val="00D42D59"/>
    <w:rsid w:val="00D42F6C"/>
    <w:rsid w:val="00D43663"/>
    <w:rsid w:val="00D43A1F"/>
    <w:rsid w:val="00D44755"/>
    <w:rsid w:val="00D4477C"/>
    <w:rsid w:val="00D45EDA"/>
    <w:rsid w:val="00D46126"/>
    <w:rsid w:val="00D46750"/>
    <w:rsid w:val="00D47F43"/>
    <w:rsid w:val="00D50DFF"/>
    <w:rsid w:val="00D50F88"/>
    <w:rsid w:val="00D512A4"/>
    <w:rsid w:val="00D5138A"/>
    <w:rsid w:val="00D51A7A"/>
    <w:rsid w:val="00D51B6D"/>
    <w:rsid w:val="00D521C2"/>
    <w:rsid w:val="00D52785"/>
    <w:rsid w:val="00D53401"/>
    <w:rsid w:val="00D5370C"/>
    <w:rsid w:val="00D539EF"/>
    <w:rsid w:val="00D53A72"/>
    <w:rsid w:val="00D54038"/>
    <w:rsid w:val="00D54213"/>
    <w:rsid w:val="00D54F96"/>
    <w:rsid w:val="00D5509A"/>
    <w:rsid w:val="00D550A4"/>
    <w:rsid w:val="00D5556F"/>
    <w:rsid w:val="00D55A61"/>
    <w:rsid w:val="00D5610F"/>
    <w:rsid w:val="00D5676F"/>
    <w:rsid w:val="00D56AE7"/>
    <w:rsid w:val="00D57027"/>
    <w:rsid w:val="00D573B0"/>
    <w:rsid w:val="00D57521"/>
    <w:rsid w:val="00D576B6"/>
    <w:rsid w:val="00D578DF"/>
    <w:rsid w:val="00D600EC"/>
    <w:rsid w:val="00D60147"/>
    <w:rsid w:val="00D60CB8"/>
    <w:rsid w:val="00D60D04"/>
    <w:rsid w:val="00D60DEF"/>
    <w:rsid w:val="00D61D9D"/>
    <w:rsid w:val="00D6217D"/>
    <w:rsid w:val="00D6231B"/>
    <w:rsid w:val="00D62C17"/>
    <w:rsid w:val="00D62DFA"/>
    <w:rsid w:val="00D63ACC"/>
    <w:rsid w:val="00D63D29"/>
    <w:rsid w:val="00D63EDB"/>
    <w:rsid w:val="00D65C79"/>
    <w:rsid w:val="00D66949"/>
    <w:rsid w:val="00D67A60"/>
    <w:rsid w:val="00D67A77"/>
    <w:rsid w:val="00D67A9E"/>
    <w:rsid w:val="00D70016"/>
    <w:rsid w:val="00D70178"/>
    <w:rsid w:val="00D701CE"/>
    <w:rsid w:val="00D701D4"/>
    <w:rsid w:val="00D701D7"/>
    <w:rsid w:val="00D7069F"/>
    <w:rsid w:val="00D7100B"/>
    <w:rsid w:val="00D7121B"/>
    <w:rsid w:val="00D71336"/>
    <w:rsid w:val="00D71461"/>
    <w:rsid w:val="00D71471"/>
    <w:rsid w:val="00D71B67"/>
    <w:rsid w:val="00D71C56"/>
    <w:rsid w:val="00D72BE6"/>
    <w:rsid w:val="00D73B2C"/>
    <w:rsid w:val="00D73C72"/>
    <w:rsid w:val="00D73DDB"/>
    <w:rsid w:val="00D745D7"/>
    <w:rsid w:val="00D7519D"/>
    <w:rsid w:val="00D75281"/>
    <w:rsid w:val="00D75A53"/>
    <w:rsid w:val="00D75B25"/>
    <w:rsid w:val="00D760B7"/>
    <w:rsid w:val="00D763AA"/>
    <w:rsid w:val="00D7657C"/>
    <w:rsid w:val="00D765FD"/>
    <w:rsid w:val="00D76BAD"/>
    <w:rsid w:val="00D76C97"/>
    <w:rsid w:val="00D76E8B"/>
    <w:rsid w:val="00D7706C"/>
    <w:rsid w:val="00D77433"/>
    <w:rsid w:val="00D776E3"/>
    <w:rsid w:val="00D779A5"/>
    <w:rsid w:val="00D8044E"/>
    <w:rsid w:val="00D80CCC"/>
    <w:rsid w:val="00D80F0E"/>
    <w:rsid w:val="00D810BB"/>
    <w:rsid w:val="00D81524"/>
    <w:rsid w:val="00D81801"/>
    <w:rsid w:val="00D81FBB"/>
    <w:rsid w:val="00D8205D"/>
    <w:rsid w:val="00D82A69"/>
    <w:rsid w:val="00D834ED"/>
    <w:rsid w:val="00D8352F"/>
    <w:rsid w:val="00D836E9"/>
    <w:rsid w:val="00D83D93"/>
    <w:rsid w:val="00D844C1"/>
    <w:rsid w:val="00D8462F"/>
    <w:rsid w:val="00D846FB"/>
    <w:rsid w:val="00D849D6"/>
    <w:rsid w:val="00D84E58"/>
    <w:rsid w:val="00D85504"/>
    <w:rsid w:val="00D8567A"/>
    <w:rsid w:val="00D86512"/>
    <w:rsid w:val="00D86695"/>
    <w:rsid w:val="00D867A8"/>
    <w:rsid w:val="00D86A06"/>
    <w:rsid w:val="00D86ABB"/>
    <w:rsid w:val="00D86AD8"/>
    <w:rsid w:val="00D87080"/>
    <w:rsid w:val="00D87115"/>
    <w:rsid w:val="00D879C1"/>
    <w:rsid w:val="00D87B29"/>
    <w:rsid w:val="00D87D72"/>
    <w:rsid w:val="00D9035B"/>
    <w:rsid w:val="00D90444"/>
    <w:rsid w:val="00D90A77"/>
    <w:rsid w:val="00D90BA1"/>
    <w:rsid w:val="00D91492"/>
    <w:rsid w:val="00D91911"/>
    <w:rsid w:val="00D91A0A"/>
    <w:rsid w:val="00D91A82"/>
    <w:rsid w:val="00D91B5D"/>
    <w:rsid w:val="00D91B8A"/>
    <w:rsid w:val="00D92F25"/>
    <w:rsid w:val="00D9376B"/>
    <w:rsid w:val="00D93E53"/>
    <w:rsid w:val="00D9449B"/>
    <w:rsid w:val="00D94A33"/>
    <w:rsid w:val="00D94AD1"/>
    <w:rsid w:val="00D96787"/>
    <w:rsid w:val="00D967A5"/>
    <w:rsid w:val="00D96B99"/>
    <w:rsid w:val="00D96D89"/>
    <w:rsid w:val="00D97CB3"/>
    <w:rsid w:val="00D97F7F"/>
    <w:rsid w:val="00DA00C4"/>
    <w:rsid w:val="00DA00E5"/>
    <w:rsid w:val="00DA037D"/>
    <w:rsid w:val="00DA1306"/>
    <w:rsid w:val="00DA182E"/>
    <w:rsid w:val="00DA1E23"/>
    <w:rsid w:val="00DA31BB"/>
    <w:rsid w:val="00DA32AF"/>
    <w:rsid w:val="00DA33EF"/>
    <w:rsid w:val="00DA35AD"/>
    <w:rsid w:val="00DA3EAD"/>
    <w:rsid w:val="00DA4370"/>
    <w:rsid w:val="00DA4479"/>
    <w:rsid w:val="00DA4694"/>
    <w:rsid w:val="00DA477A"/>
    <w:rsid w:val="00DA4973"/>
    <w:rsid w:val="00DA4F32"/>
    <w:rsid w:val="00DA5172"/>
    <w:rsid w:val="00DA5259"/>
    <w:rsid w:val="00DA545B"/>
    <w:rsid w:val="00DA585B"/>
    <w:rsid w:val="00DA5A3E"/>
    <w:rsid w:val="00DA67B4"/>
    <w:rsid w:val="00DA6B61"/>
    <w:rsid w:val="00DA6CF4"/>
    <w:rsid w:val="00DA70E8"/>
    <w:rsid w:val="00DA73AF"/>
    <w:rsid w:val="00DA7CFE"/>
    <w:rsid w:val="00DB0056"/>
    <w:rsid w:val="00DB016D"/>
    <w:rsid w:val="00DB09C0"/>
    <w:rsid w:val="00DB0DD9"/>
    <w:rsid w:val="00DB10A8"/>
    <w:rsid w:val="00DB11DF"/>
    <w:rsid w:val="00DB2C19"/>
    <w:rsid w:val="00DB30F4"/>
    <w:rsid w:val="00DB31E4"/>
    <w:rsid w:val="00DB3A12"/>
    <w:rsid w:val="00DB3D95"/>
    <w:rsid w:val="00DB3D9F"/>
    <w:rsid w:val="00DB49CD"/>
    <w:rsid w:val="00DB5435"/>
    <w:rsid w:val="00DB5698"/>
    <w:rsid w:val="00DB59FC"/>
    <w:rsid w:val="00DB63F0"/>
    <w:rsid w:val="00DB6947"/>
    <w:rsid w:val="00DB6D8A"/>
    <w:rsid w:val="00DB6E07"/>
    <w:rsid w:val="00DB7131"/>
    <w:rsid w:val="00DB7344"/>
    <w:rsid w:val="00DB73D7"/>
    <w:rsid w:val="00DB768C"/>
    <w:rsid w:val="00DB77CD"/>
    <w:rsid w:val="00DB7E8D"/>
    <w:rsid w:val="00DB7ED2"/>
    <w:rsid w:val="00DC0050"/>
    <w:rsid w:val="00DC0D2B"/>
    <w:rsid w:val="00DC0EA9"/>
    <w:rsid w:val="00DC1061"/>
    <w:rsid w:val="00DC10F2"/>
    <w:rsid w:val="00DC1326"/>
    <w:rsid w:val="00DC143B"/>
    <w:rsid w:val="00DC1926"/>
    <w:rsid w:val="00DC1C01"/>
    <w:rsid w:val="00DC1E36"/>
    <w:rsid w:val="00DC2244"/>
    <w:rsid w:val="00DC22A2"/>
    <w:rsid w:val="00DC2860"/>
    <w:rsid w:val="00DC2886"/>
    <w:rsid w:val="00DC2B13"/>
    <w:rsid w:val="00DC2C91"/>
    <w:rsid w:val="00DC390F"/>
    <w:rsid w:val="00DC3A85"/>
    <w:rsid w:val="00DC56E3"/>
    <w:rsid w:val="00DC5DB6"/>
    <w:rsid w:val="00DC6192"/>
    <w:rsid w:val="00DC6EC3"/>
    <w:rsid w:val="00DC77BD"/>
    <w:rsid w:val="00DC7B88"/>
    <w:rsid w:val="00DC7C54"/>
    <w:rsid w:val="00DC7F49"/>
    <w:rsid w:val="00DD0179"/>
    <w:rsid w:val="00DD09EB"/>
    <w:rsid w:val="00DD0CED"/>
    <w:rsid w:val="00DD1A9E"/>
    <w:rsid w:val="00DD2301"/>
    <w:rsid w:val="00DD2520"/>
    <w:rsid w:val="00DD28FB"/>
    <w:rsid w:val="00DD30CB"/>
    <w:rsid w:val="00DD323E"/>
    <w:rsid w:val="00DD357B"/>
    <w:rsid w:val="00DD3791"/>
    <w:rsid w:val="00DD3A1E"/>
    <w:rsid w:val="00DD3AFE"/>
    <w:rsid w:val="00DD3D22"/>
    <w:rsid w:val="00DD417C"/>
    <w:rsid w:val="00DD426D"/>
    <w:rsid w:val="00DD436B"/>
    <w:rsid w:val="00DD4752"/>
    <w:rsid w:val="00DD47E4"/>
    <w:rsid w:val="00DD488F"/>
    <w:rsid w:val="00DD4D46"/>
    <w:rsid w:val="00DD4DAF"/>
    <w:rsid w:val="00DD50A3"/>
    <w:rsid w:val="00DD5130"/>
    <w:rsid w:val="00DD584B"/>
    <w:rsid w:val="00DD5948"/>
    <w:rsid w:val="00DD6294"/>
    <w:rsid w:val="00DD67E5"/>
    <w:rsid w:val="00DD6A57"/>
    <w:rsid w:val="00DD6DAA"/>
    <w:rsid w:val="00DD6DE4"/>
    <w:rsid w:val="00DD7848"/>
    <w:rsid w:val="00DD7EAF"/>
    <w:rsid w:val="00DE01F6"/>
    <w:rsid w:val="00DE0520"/>
    <w:rsid w:val="00DE0ED3"/>
    <w:rsid w:val="00DE0FBE"/>
    <w:rsid w:val="00DE1031"/>
    <w:rsid w:val="00DE1B18"/>
    <w:rsid w:val="00DE1D5F"/>
    <w:rsid w:val="00DE1FD6"/>
    <w:rsid w:val="00DE20F1"/>
    <w:rsid w:val="00DE21F5"/>
    <w:rsid w:val="00DE2411"/>
    <w:rsid w:val="00DE2445"/>
    <w:rsid w:val="00DE2792"/>
    <w:rsid w:val="00DE2C16"/>
    <w:rsid w:val="00DE2EB4"/>
    <w:rsid w:val="00DE34E7"/>
    <w:rsid w:val="00DE357C"/>
    <w:rsid w:val="00DE38E9"/>
    <w:rsid w:val="00DE390B"/>
    <w:rsid w:val="00DE3A21"/>
    <w:rsid w:val="00DE3CE5"/>
    <w:rsid w:val="00DE4063"/>
    <w:rsid w:val="00DE472C"/>
    <w:rsid w:val="00DE4B1A"/>
    <w:rsid w:val="00DE56AD"/>
    <w:rsid w:val="00DE5A62"/>
    <w:rsid w:val="00DE6EB9"/>
    <w:rsid w:val="00DE76A7"/>
    <w:rsid w:val="00DE7B6E"/>
    <w:rsid w:val="00DF074F"/>
    <w:rsid w:val="00DF12B3"/>
    <w:rsid w:val="00DF17D8"/>
    <w:rsid w:val="00DF1A16"/>
    <w:rsid w:val="00DF1C08"/>
    <w:rsid w:val="00DF21F4"/>
    <w:rsid w:val="00DF2583"/>
    <w:rsid w:val="00DF26B1"/>
    <w:rsid w:val="00DF2CE5"/>
    <w:rsid w:val="00DF2E7F"/>
    <w:rsid w:val="00DF3158"/>
    <w:rsid w:val="00DF3219"/>
    <w:rsid w:val="00DF3814"/>
    <w:rsid w:val="00DF3BF6"/>
    <w:rsid w:val="00DF3DA5"/>
    <w:rsid w:val="00DF480A"/>
    <w:rsid w:val="00DF4FB9"/>
    <w:rsid w:val="00DF52D1"/>
    <w:rsid w:val="00DF5789"/>
    <w:rsid w:val="00DF5984"/>
    <w:rsid w:val="00DF5A45"/>
    <w:rsid w:val="00DF6037"/>
    <w:rsid w:val="00DF630F"/>
    <w:rsid w:val="00DF663B"/>
    <w:rsid w:val="00DF71D8"/>
    <w:rsid w:val="00DF787F"/>
    <w:rsid w:val="00E00719"/>
    <w:rsid w:val="00E0085F"/>
    <w:rsid w:val="00E0188B"/>
    <w:rsid w:val="00E01CA7"/>
    <w:rsid w:val="00E020CB"/>
    <w:rsid w:val="00E02D07"/>
    <w:rsid w:val="00E02E95"/>
    <w:rsid w:val="00E033BA"/>
    <w:rsid w:val="00E03692"/>
    <w:rsid w:val="00E037C1"/>
    <w:rsid w:val="00E0382F"/>
    <w:rsid w:val="00E03980"/>
    <w:rsid w:val="00E03DA9"/>
    <w:rsid w:val="00E041EC"/>
    <w:rsid w:val="00E047AD"/>
    <w:rsid w:val="00E052CE"/>
    <w:rsid w:val="00E058EE"/>
    <w:rsid w:val="00E05C35"/>
    <w:rsid w:val="00E06676"/>
    <w:rsid w:val="00E066F5"/>
    <w:rsid w:val="00E06A0D"/>
    <w:rsid w:val="00E0716E"/>
    <w:rsid w:val="00E073BA"/>
    <w:rsid w:val="00E075DE"/>
    <w:rsid w:val="00E07AA3"/>
    <w:rsid w:val="00E07AB5"/>
    <w:rsid w:val="00E10A5A"/>
    <w:rsid w:val="00E10EC8"/>
    <w:rsid w:val="00E11D68"/>
    <w:rsid w:val="00E11DB0"/>
    <w:rsid w:val="00E1213E"/>
    <w:rsid w:val="00E1219F"/>
    <w:rsid w:val="00E1228B"/>
    <w:rsid w:val="00E12742"/>
    <w:rsid w:val="00E12CBB"/>
    <w:rsid w:val="00E12D6C"/>
    <w:rsid w:val="00E12EDF"/>
    <w:rsid w:val="00E13408"/>
    <w:rsid w:val="00E1448C"/>
    <w:rsid w:val="00E14B7B"/>
    <w:rsid w:val="00E14D04"/>
    <w:rsid w:val="00E15B76"/>
    <w:rsid w:val="00E16431"/>
    <w:rsid w:val="00E16805"/>
    <w:rsid w:val="00E1695A"/>
    <w:rsid w:val="00E16B28"/>
    <w:rsid w:val="00E16CA5"/>
    <w:rsid w:val="00E16D2F"/>
    <w:rsid w:val="00E17B40"/>
    <w:rsid w:val="00E17D6E"/>
    <w:rsid w:val="00E17F71"/>
    <w:rsid w:val="00E2102D"/>
    <w:rsid w:val="00E21224"/>
    <w:rsid w:val="00E2148C"/>
    <w:rsid w:val="00E21C86"/>
    <w:rsid w:val="00E21EAD"/>
    <w:rsid w:val="00E21F8A"/>
    <w:rsid w:val="00E223B3"/>
    <w:rsid w:val="00E22541"/>
    <w:rsid w:val="00E22D6F"/>
    <w:rsid w:val="00E22E87"/>
    <w:rsid w:val="00E2360B"/>
    <w:rsid w:val="00E23C52"/>
    <w:rsid w:val="00E23C67"/>
    <w:rsid w:val="00E23CEF"/>
    <w:rsid w:val="00E23D0D"/>
    <w:rsid w:val="00E23FAE"/>
    <w:rsid w:val="00E245C3"/>
    <w:rsid w:val="00E246BA"/>
    <w:rsid w:val="00E247DE"/>
    <w:rsid w:val="00E24BC4"/>
    <w:rsid w:val="00E2631F"/>
    <w:rsid w:val="00E2675C"/>
    <w:rsid w:val="00E26A6B"/>
    <w:rsid w:val="00E26D12"/>
    <w:rsid w:val="00E27665"/>
    <w:rsid w:val="00E278AC"/>
    <w:rsid w:val="00E27BEE"/>
    <w:rsid w:val="00E3052B"/>
    <w:rsid w:val="00E309AE"/>
    <w:rsid w:val="00E30EEA"/>
    <w:rsid w:val="00E31471"/>
    <w:rsid w:val="00E31710"/>
    <w:rsid w:val="00E32188"/>
    <w:rsid w:val="00E328D8"/>
    <w:rsid w:val="00E32CE2"/>
    <w:rsid w:val="00E32D37"/>
    <w:rsid w:val="00E32F10"/>
    <w:rsid w:val="00E33C12"/>
    <w:rsid w:val="00E33F65"/>
    <w:rsid w:val="00E34142"/>
    <w:rsid w:val="00E3460C"/>
    <w:rsid w:val="00E3470B"/>
    <w:rsid w:val="00E3489A"/>
    <w:rsid w:val="00E3495E"/>
    <w:rsid w:val="00E35CB7"/>
    <w:rsid w:val="00E35F92"/>
    <w:rsid w:val="00E3617F"/>
    <w:rsid w:val="00E3638F"/>
    <w:rsid w:val="00E37667"/>
    <w:rsid w:val="00E4024F"/>
    <w:rsid w:val="00E406DA"/>
    <w:rsid w:val="00E40ADA"/>
    <w:rsid w:val="00E40B1E"/>
    <w:rsid w:val="00E415FC"/>
    <w:rsid w:val="00E4170E"/>
    <w:rsid w:val="00E4246E"/>
    <w:rsid w:val="00E43398"/>
    <w:rsid w:val="00E43AA3"/>
    <w:rsid w:val="00E43EB0"/>
    <w:rsid w:val="00E43FB8"/>
    <w:rsid w:val="00E44214"/>
    <w:rsid w:val="00E44A83"/>
    <w:rsid w:val="00E44BFF"/>
    <w:rsid w:val="00E44C59"/>
    <w:rsid w:val="00E453AF"/>
    <w:rsid w:val="00E4549D"/>
    <w:rsid w:val="00E45BF2"/>
    <w:rsid w:val="00E45DEA"/>
    <w:rsid w:val="00E4677E"/>
    <w:rsid w:val="00E46935"/>
    <w:rsid w:val="00E47684"/>
    <w:rsid w:val="00E47A76"/>
    <w:rsid w:val="00E500ED"/>
    <w:rsid w:val="00E50C4C"/>
    <w:rsid w:val="00E51829"/>
    <w:rsid w:val="00E52E0B"/>
    <w:rsid w:val="00E53651"/>
    <w:rsid w:val="00E53DCD"/>
    <w:rsid w:val="00E54066"/>
    <w:rsid w:val="00E54291"/>
    <w:rsid w:val="00E54585"/>
    <w:rsid w:val="00E5459C"/>
    <w:rsid w:val="00E5475E"/>
    <w:rsid w:val="00E549C2"/>
    <w:rsid w:val="00E55537"/>
    <w:rsid w:val="00E557B5"/>
    <w:rsid w:val="00E55E1B"/>
    <w:rsid w:val="00E56BD8"/>
    <w:rsid w:val="00E56F3C"/>
    <w:rsid w:val="00E57B6A"/>
    <w:rsid w:val="00E60952"/>
    <w:rsid w:val="00E61819"/>
    <w:rsid w:val="00E61E23"/>
    <w:rsid w:val="00E620A6"/>
    <w:rsid w:val="00E6210D"/>
    <w:rsid w:val="00E62171"/>
    <w:rsid w:val="00E62656"/>
    <w:rsid w:val="00E62768"/>
    <w:rsid w:val="00E62E62"/>
    <w:rsid w:val="00E62F0B"/>
    <w:rsid w:val="00E6462C"/>
    <w:rsid w:val="00E64745"/>
    <w:rsid w:val="00E65BCA"/>
    <w:rsid w:val="00E65F73"/>
    <w:rsid w:val="00E66365"/>
    <w:rsid w:val="00E664B9"/>
    <w:rsid w:val="00E672DE"/>
    <w:rsid w:val="00E70029"/>
    <w:rsid w:val="00E71702"/>
    <w:rsid w:val="00E718FA"/>
    <w:rsid w:val="00E719D3"/>
    <w:rsid w:val="00E720FE"/>
    <w:rsid w:val="00E7210E"/>
    <w:rsid w:val="00E72A86"/>
    <w:rsid w:val="00E72C29"/>
    <w:rsid w:val="00E72D83"/>
    <w:rsid w:val="00E73583"/>
    <w:rsid w:val="00E73A50"/>
    <w:rsid w:val="00E73E05"/>
    <w:rsid w:val="00E73FEE"/>
    <w:rsid w:val="00E7442B"/>
    <w:rsid w:val="00E74DB2"/>
    <w:rsid w:val="00E74EE7"/>
    <w:rsid w:val="00E75236"/>
    <w:rsid w:val="00E75D1A"/>
    <w:rsid w:val="00E75F5F"/>
    <w:rsid w:val="00E76782"/>
    <w:rsid w:val="00E76956"/>
    <w:rsid w:val="00E76B6E"/>
    <w:rsid w:val="00E76DB9"/>
    <w:rsid w:val="00E77030"/>
    <w:rsid w:val="00E773C5"/>
    <w:rsid w:val="00E77744"/>
    <w:rsid w:val="00E777AD"/>
    <w:rsid w:val="00E779CB"/>
    <w:rsid w:val="00E80B80"/>
    <w:rsid w:val="00E814BC"/>
    <w:rsid w:val="00E81603"/>
    <w:rsid w:val="00E81756"/>
    <w:rsid w:val="00E81A4E"/>
    <w:rsid w:val="00E82C70"/>
    <w:rsid w:val="00E82DC8"/>
    <w:rsid w:val="00E83D1B"/>
    <w:rsid w:val="00E84AB4"/>
    <w:rsid w:val="00E84B48"/>
    <w:rsid w:val="00E84CC9"/>
    <w:rsid w:val="00E84EBF"/>
    <w:rsid w:val="00E8590A"/>
    <w:rsid w:val="00E85F38"/>
    <w:rsid w:val="00E861A8"/>
    <w:rsid w:val="00E86ED2"/>
    <w:rsid w:val="00E871DB"/>
    <w:rsid w:val="00E87629"/>
    <w:rsid w:val="00E87846"/>
    <w:rsid w:val="00E87853"/>
    <w:rsid w:val="00E90075"/>
    <w:rsid w:val="00E90423"/>
    <w:rsid w:val="00E9047F"/>
    <w:rsid w:val="00E90630"/>
    <w:rsid w:val="00E90C12"/>
    <w:rsid w:val="00E91621"/>
    <w:rsid w:val="00E91C47"/>
    <w:rsid w:val="00E91D47"/>
    <w:rsid w:val="00E91FEE"/>
    <w:rsid w:val="00E92935"/>
    <w:rsid w:val="00E94784"/>
    <w:rsid w:val="00E949D3"/>
    <w:rsid w:val="00E94A10"/>
    <w:rsid w:val="00E95F82"/>
    <w:rsid w:val="00E96141"/>
    <w:rsid w:val="00E96473"/>
    <w:rsid w:val="00E96829"/>
    <w:rsid w:val="00E9686D"/>
    <w:rsid w:val="00E9757C"/>
    <w:rsid w:val="00E97928"/>
    <w:rsid w:val="00E97A5E"/>
    <w:rsid w:val="00EA0D57"/>
    <w:rsid w:val="00EA0E45"/>
    <w:rsid w:val="00EA1EAD"/>
    <w:rsid w:val="00EA205B"/>
    <w:rsid w:val="00EA3628"/>
    <w:rsid w:val="00EA36D3"/>
    <w:rsid w:val="00EA3702"/>
    <w:rsid w:val="00EA446D"/>
    <w:rsid w:val="00EA4907"/>
    <w:rsid w:val="00EA4974"/>
    <w:rsid w:val="00EA4A2E"/>
    <w:rsid w:val="00EA4BCD"/>
    <w:rsid w:val="00EA4CE0"/>
    <w:rsid w:val="00EA4EE3"/>
    <w:rsid w:val="00EA52B7"/>
    <w:rsid w:val="00EA5618"/>
    <w:rsid w:val="00EA5AC7"/>
    <w:rsid w:val="00EA6303"/>
    <w:rsid w:val="00EA63E7"/>
    <w:rsid w:val="00EA67FD"/>
    <w:rsid w:val="00EA6872"/>
    <w:rsid w:val="00EA6B29"/>
    <w:rsid w:val="00EA6B90"/>
    <w:rsid w:val="00EA6EA1"/>
    <w:rsid w:val="00EA740F"/>
    <w:rsid w:val="00EA7587"/>
    <w:rsid w:val="00EA7A0F"/>
    <w:rsid w:val="00EB04B5"/>
    <w:rsid w:val="00EB06AF"/>
    <w:rsid w:val="00EB1023"/>
    <w:rsid w:val="00EB1073"/>
    <w:rsid w:val="00EB199B"/>
    <w:rsid w:val="00EB1BC0"/>
    <w:rsid w:val="00EB210B"/>
    <w:rsid w:val="00EB2248"/>
    <w:rsid w:val="00EB2453"/>
    <w:rsid w:val="00EB269D"/>
    <w:rsid w:val="00EB2979"/>
    <w:rsid w:val="00EB39F9"/>
    <w:rsid w:val="00EB3BCE"/>
    <w:rsid w:val="00EB47E5"/>
    <w:rsid w:val="00EB5877"/>
    <w:rsid w:val="00EB5A86"/>
    <w:rsid w:val="00EB5CAD"/>
    <w:rsid w:val="00EB61ED"/>
    <w:rsid w:val="00EB621E"/>
    <w:rsid w:val="00EB65A1"/>
    <w:rsid w:val="00EB6633"/>
    <w:rsid w:val="00EB684B"/>
    <w:rsid w:val="00EB730C"/>
    <w:rsid w:val="00EB7561"/>
    <w:rsid w:val="00EB7939"/>
    <w:rsid w:val="00EB7B45"/>
    <w:rsid w:val="00EB7C89"/>
    <w:rsid w:val="00EC018B"/>
    <w:rsid w:val="00EC0324"/>
    <w:rsid w:val="00EC0DD2"/>
    <w:rsid w:val="00EC0E73"/>
    <w:rsid w:val="00EC13B2"/>
    <w:rsid w:val="00EC1543"/>
    <w:rsid w:val="00EC23B5"/>
    <w:rsid w:val="00EC2BC2"/>
    <w:rsid w:val="00EC2C2F"/>
    <w:rsid w:val="00EC2CF2"/>
    <w:rsid w:val="00EC2D72"/>
    <w:rsid w:val="00EC2DE4"/>
    <w:rsid w:val="00EC3159"/>
    <w:rsid w:val="00EC323A"/>
    <w:rsid w:val="00EC34E3"/>
    <w:rsid w:val="00EC3700"/>
    <w:rsid w:val="00EC37CE"/>
    <w:rsid w:val="00EC3C14"/>
    <w:rsid w:val="00EC3D4A"/>
    <w:rsid w:val="00EC3FFF"/>
    <w:rsid w:val="00EC4820"/>
    <w:rsid w:val="00EC5062"/>
    <w:rsid w:val="00EC53F0"/>
    <w:rsid w:val="00EC5DD1"/>
    <w:rsid w:val="00EC70F7"/>
    <w:rsid w:val="00EC7EB7"/>
    <w:rsid w:val="00EC7F4A"/>
    <w:rsid w:val="00ED0291"/>
    <w:rsid w:val="00ED0516"/>
    <w:rsid w:val="00ED053F"/>
    <w:rsid w:val="00ED198F"/>
    <w:rsid w:val="00ED1A2D"/>
    <w:rsid w:val="00ED1BFF"/>
    <w:rsid w:val="00ED241C"/>
    <w:rsid w:val="00ED26AE"/>
    <w:rsid w:val="00ED28D4"/>
    <w:rsid w:val="00ED296D"/>
    <w:rsid w:val="00ED2B38"/>
    <w:rsid w:val="00ED2F2E"/>
    <w:rsid w:val="00ED3A50"/>
    <w:rsid w:val="00ED4090"/>
    <w:rsid w:val="00ED4348"/>
    <w:rsid w:val="00ED43DA"/>
    <w:rsid w:val="00ED46D7"/>
    <w:rsid w:val="00ED4C1B"/>
    <w:rsid w:val="00ED529E"/>
    <w:rsid w:val="00ED542F"/>
    <w:rsid w:val="00ED66C5"/>
    <w:rsid w:val="00ED6A8D"/>
    <w:rsid w:val="00ED6B2E"/>
    <w:rsid w:val="00ED710B"/>
    <w:rsid w:val="00ED7133"/>
    <w:rsid w:val="00EE11F8"/>
    <w:rsid w:val="00EE190E"/>
    <w:rsid w:val="00EE1BEB"/>
    <w:rsid w:val="00EE1E35"/>
    <w:rsid w:val="00EE27E2"/>
    <w:rsid w:val="00EE2819"/>
    <w:rsid w:val="00EE2EC4"/>
    <w:rsid w:val="00EE38B4"/>
    <w:rsid w:val="00EE392A"/>
    <w:rsid w:val="00EE3B06"/>
    <w:rsid w:val="00EE3B46"/>
    <w:rsid w:val="00EE3B79"/>
    <w:rsid w:val="00EE3F23"/>
    <w:rsid w:val="00EE59ED"/>
    <w:rsid w:val="00EE60A1"/>
    <w:rsid w:val="00EE6168"/>
    <w:rsid w:val="00EE6853"/>
    <w:rsid w:val="00EE6C9F"/>
    <w:rsid w:val="00EE6D50"/>
    <w:rsid w:val="00EE7E5F"/>
    <w:rsid w:val="00EF0345"/>
    <w:rsid w:val="00EF04B9"/>
    <w:rsid w:val="00EF067D"/>
    <w:rsid w:val="00EF0CF9"/>
    <w:rsid w:val="00EF105D"/>
    <w:rsid w:val="00EF1A9B"/>
    <w:rsid w:val="00EF2262"/>
    <w:rsid w:val="00EF2380"/>
    <w:rsid w:val="00EF24F5"/>
    <w:rsid w:val="00EF2565"/>
    <w:rsid w:val="00EF2765"/>
    <w:rsid w:val="00EF27D0"/>
    <w:rsid w:val="00EF28B1"/>
    <w:rsid w:val="00EF2DE8"/>
    <w:rsid w:val="00EF32F6"/>
    <w:rsid w:val="00EF4580"/>
    <w:rsid w:val="00EF4EF1"/>
    <w:rsid w:val="00EF539F"/>
    <w:rsid w:val="00EF5925"/>
    <w:rsid w:val="00EF662C"/>
    <w:rsid w:val="00EF6928"/>
    <w:rsid w:val="00EF6DB5"/>
    <w:rsid w:val="00EF6FA9"/>
    <w:rsid w:val="00EF7405"/>
    <w:rsid w:val="00EF78EA"/>
    <w:rsid w:val="00F016E4"/>
    <w:rsid w:val="00F017DC"/>
    <w:rsid w:val="00F01CB5"/>
    <w:rsid w:val="00F01E6C"/>
    <w:rsid w:val="00F02075"/>
    <w:rsid w:val="00F03111"/>
    <w:rsid w:val="00F03219"/>
    <w:rsid w:val="00F03702"/>
    <w:rsid w:val="00F03C06"/>
    <w:rsid w:val="00F04097"/>
    <w:rsid w:val="00F045E2"/>
    <w:rsid w:val="00F051B0"/>
    <w:rsid w:val="00F05409"/>
    <w:rsid w:val="00F06448"/>
    <w:rsid w:val="00F0689B"/>
    <w:rsid w:val="00F06E52"/>
    <w:rsid w:val="00F06F62"/>
    <w:rsid w:val="00F078AE"/>
    <w:rsid w:val="00F07BD0"/>
    <w:rsid w:val="00F07EC3"/>
    <w:rsid w:val="00F100E0"/>
    <w:rsid w:val="00F10625"/>
    <w:rsid w:val="00F1079D"/>
    <w:rsid w:val="00F11081"/>
    <w:rsid w:val="00F11209"/>
    <w:rsid w:val="00F11547"/>
    <w:rsid w:val="00F11A95"/>
    <w:rsid w:val="00F11C39"/>
    <w:rsid w:val="00F11CEB"/>
    <w:rsid w:val="00F1248F"/>
    <w:rsid w:val="00F1264C"/>
    <w:rsid w:val="00F126D2"/>
    <w:rsid w:val="00F130A4"/>
    <w:rsid w:val="00F13573"/>
    <w:rsid w:val="00F13EA0"/>
    <w:rsid w:val="00F140E4"/>
    <w:rsid w:val="00F14107"/>
    <w:rsid w:val="00F1457D"/>
    <w:rsid w:val="00F14673"/>
    <w:rsid w:val="00F1469A"/>
    <w:rsid w:val="00F1480E"/>
    <w:rsid w:val="00F149A3"/>
    <w:rsid w:val="00F15443"/>
    <w:rsid w:val="00F15BD1"/>
    <w:rsid w:val="00F1677E"/>
    <w:rsid w:val="00F16BE6"/>
    <w:rsid w:val="00F174DB"/>
    <w:rsid w:val="00F1767B"/>
    <w:rsid w:val="00F17B2F"/>
    <w:rsid w:val="00F20521"/>
    <w:rsid w:val="00F20797"/>
    <w:rsid w:val="00F20E6E"/>
    <w:rsid w:val="00F211C1"/>
    <w:rsid w:val="00F217CB"/>
    <w:rsid w:val="00F21874"/>
    <w:rsid w:val="00F2199E"/>
    <w:rsid w:val="00F21E65"/>
    <w:rsid w:val="00F21EEB"/>
    <w:rsid w:val="00F22268"/>
    <w:rsid w:val="00F2231E"/>
    <w:rsid w:val="00F22877"/>
    <w:rsid w:val="00F23077"/>
    <w:rsid w:val="00F234F2"/>
    <w:rsid w:val="00F236E1"/>
    <w:rsid w:val="00F24486"/>
    <w:rsid w:val="00F24755"/>
    <w:rsid w:val="00F25875"/>
    <w:rsid w:val="00F25F15"/>
    <w:rsid w:val="00F26877"/>
    <w:rsid w:val="00F268BA"/>
    <w:rsid w:val="00F26E93"/>
    <w:rsid w:val="00F26F42"/>
    <w:rsid w:val="00F272E0"/>
    <w:rsid w:val="00F279BA"/>
    <w:rsid w:val="00F30562"/>
    <w:rsid w:val="00F30952"/>
    <w:rsid w:val="00F30CB3"/>
    <w:rsid w:val="00F3163A"/>
    <w:rsid w:val="00F31A97"/>
    <w:rsid w:val="00F31DDB"/>
    <w:rsid w:val="00F3200C"/>
    <w:rsid w:val="00F320EB"/>
    <w:rsid w:val="00F321E3"/>
    <w:rsid w:val="00F323D2"/>
    <w:rsid w:val="00F32665"/>
    <w:rsid w:val="00F32E30"/>
    <w:rsid w:val="00F32EE7"/>
    <w:rsid w:val="00F330A5"/>
    <w:rsid w:val="00F3344A"/>
    <w:rsid w:val="00F3372C"/>
    <w:rsid w:val="00F33FEC"/>
    <w:rsid w:val="00F3411B"/>
    <w:rsid w:val="00F35842"/>
    <w:rsid w:val="00F359EB"/>
    <w:rsid w:val="00F36501"/>
    <w:rsid w:val="00F36694"/>
    <w:rsid w:val="00F36CD4"/>
    <w:rsid w:val="00F3767D"/>
    <w:rsid w:val="00F4012C"/>
    <w:rsid w:val="00F4063A"/>
    <w:rsid w:val="00F4093E"/>
    <w:rsid w:val="00F4170C"/>
    <w:rsid w:val="00F41879"/>
    <w:rsid w:val="00F41CFF"/>
    <w:rsid w:val="00F4243B"/>
    <w:rsid w:val="00F42646"/>
    <w:rsid w:val="00F42AC1"/>
    <w:rsid w:val="00F42EA6"/>
    <w:rsid w:val="00F42FD1"/>
    <w:rsid w:val="00F43598"/>
    <w:rsid w:val="00F436D2"/>
    <w:rsid w:val="00F43A0D"/>
    <w:rsid w:val="00F43BF4"/>
    <w:rsid w:val="00F44001"/>
    <w:rsid w:val="00F45032"/>
    <w:rsid w:val="00F461EB"/>
    <w:rsid w:val="00F4667C"/>
    <w:rsid w:val="00F46963"/>
    <w:rsid w:val="00F47047"/>
    <w:rsid w:val="00F4761B"/>
    <w:rsid w:val="00F4786F"/>
    <w:rsid w:val="00F4792C"/>
    <w:rsid w:val="00F47C30"/>
    <w:rsid w:val="00F50392"/>
    <w:rsid w:val="00F50828"/>
    <w:rsid w:val="00F50906"/>
    <w:rsid w:val="00F50AA7"/>
    <w:rsid w:val="00F517D6"/>
    <w:rsid w:val="00F51F3A"/>
    <w:rsid w:val="00F52208"/>
    <w:rsid w:val="00F52C19"/>
    <w:rsid w:val="00F52CC2"/>
    <w:rsid w:val="00F53002"/>
    <w:rsid w:val="00F5365A"/>
    <w:rsid w:val="00F53743"/>
    <w:rsid w:val="00F53B8B"/>
    <w:rsid w:val="00F53C98"/>
    <w:rsid w:val="00F54714"/>
    <w:rsid w:val="00F54BA2"/>
    <w:rsid w:val="00F554CF"/>
    <w:rsid w:val="00F558D4"/>
    <w:rsid w:val="00F55FFC"/>
    <w:rsid w:val="00F56BF3"/>
    <w:rsid w:val="00F56F60"/>
    <w:rsid w:val="00F576B5"/>
    <w:rsid w:val="00F577C6"/>
    <w:rsid w:val="00F57800"/>
    <w:rsid w:val="00F57F76"/>
    <w:rsid w:val="00F603F5"/>
    <w:rsid w:val="00F6083E"/>
    <w:rsid w:val="00F60B70"/>
    <w:rsid w:val="00F6185D"/>
    <w:rsid w:val="00F61FC9"/>
    <w:rsid w:val="00F62238"/>
    <w:rsid w:val="00F6223E"/>
    <w:rsid w:val="00F62391"/>
    <w:rsid w:val="00F62A2D"/>
    <w:rsid w:val="00F63A0E"/>
    <w:rsid w:val="00F63B07"/>
    <w:rsid w:val="00F63CED"/>
    <w:rsid w:val="00F6416D"/>
    <w:rsid w:val="00F642E8"/>
    <w:rsid w:val="00F642F2"/>
    <w:rsid w:val="00F64B72"/>
    <w:rsid w:val="00F64FC3"/>
    <w:rsid w:val="00F655DB"/>
    <w:rsid w:val="00F65A96"/>
    <w:rsid w:val="00F65B4B"/>
    <w:rsid w:val="00F65B8A"/>
    <w:rsid w:val="00F65E8C"/>
    <w:rsid w:val="00F663A0"/>
    <w:rsid w:val="00F66D18"/>
    <w:rsid w:val="00F66F43"/>
    <w:rsid w:val="00F7075C"/>
    <w:rsid w:val="00F70D4F"/>
    <w:rsid w:val="00F7113A"/>
    <w:rsid w:val="00F71278"/>
    <w:rsid w:val="00F712F4"/>
    <w:rsid w:val="00F7132A"/>
    <w:rsid w:val="00F721EA"/>
    <w:rsid w:val="00F723C0"/>
    <w:rsid w:val="00F7257B"/>
    <w:rsid w:val="00F72B0E"/>
    <w:rsid w:val="00F72BF8"/>
    <w:rsid w:val="00F72D40"/>
    <w:rsid w:val="00F72D4F"/>
    <w:rsid w:val="00F72F42"/>
    <w:rsid w:val="00F731D2"/>
    <w:rsid w:val="00F7360E"/>
    <w:rsid w:val="00F73A5D"/>
    <w:rsid w:val="00F73AC5"/>
    <w:rsid w:val="00F73C9D"/>
    <w:rsid w:val="00F73E94"/>
    <w:rsid w:val="00F74FA0"/>
    <w:rsid w:val="00F75320"/>
    <w:rsid w:val="00F75913"/>
    <w:rsid w:val="00F75E1F"/>
    <w:rsid w:val="00F76222"/>
    <w:rsid w:val="00F767F2"/>
    <w:rsid w:val="00F76D63"/>
    <w:rsid w:val="00F77075"/>
    <w:rsid w:val="00F77748"/>
    <w:rsid w:val="00F77E2A"/>
    <w:rsid w:val="00F804B2"/>
    <w:rsid w:val="00F8050A"/>
    <w:rsid w:val="00F80C8A"/>
    <w:rsid w:val="00F81169"/>
    <w:rsid w:val="00F8119C"/>
    <w:rsid w:val="00F813AF"/>
    <w:rsid w:val="00F82251"/>
    <w:rsid w:val="00F82B0C"/>
    <w:rsid w:val="00F83339"/>
    <w:rsid w:val="00F83651"/>
    <w:rsid w:val="00F83D4F"/>
    <w:rsid w:val="00F8427A"/>
    <w:rsid w:val="00F84CA9"/>
    <w:rsid w:val="00F84E5D"/>
    <w:rsid w:val="00F85338"/>
    <w:rsid w:val="00F855E0"/>
    <w:rsid w:val="00F85A8A"/>
    <w:rsid w:val="00F85E5F"/>
    <w:rsid w:val="00F866D0"/>
    <w:rsid w:val="00F8681C"/>
    <w:rsid w:val="00F86C07"/>
    <w:rsid w:val="00F87A7C"/>
    <w:rsid w:val="00F87D2B"/>
    <w:rsid w:val="00F90ACA"/>
    <w:rsid w:val="00F912FF"/>
    <w:rsid w:val="00F91578"/>
    <w:rsid w:val="00F919A5"/>
    <w:rsid w:val="00F91C99"/>
    <w:rsid w:val="00F92166"/>
    <w:rsid w:val="00F94078"/>
    <w:rsid w:val="00F9431A"/>
    <w:rsid w:val="00F94493"/>
    <w:rsid w:val="00F94CF3"/>
    <w:rsid w:val="00F9509D"/>
    <w:rsid w:val="00F957C9"/>
    <w:rsid w:val="00F95A85"/>
    <w:rsid w:val="00F95F8D"/>
    <w:rsid w:val="00F96182"/>
    <w:rsid w:val="00F963DA"/>
    <w:rsid w:val="00F96403"/>
    <w:rsid w:val="00F9643D"/>
    <w:rsid w:val="00F967F7"/>
    <w:rsid w:val="00F96ACB"/>
    <w:rsid w:val="00F9735E"/>
    <w:rsid w:val="00F97919"/>
    <w:rsid w:val="00F97C27"/>
    <w:rsid w:val="00FA106A"/>
    <w:rsid w:val="00FA2240"/>
    <w:rsid w:val="00FA27B3"/>
    <w:rsid w:val="00FA2FF6"/>
    <w:rsid w:val="00FA43A7"/>
    <w:rsid w:val="00FA44D9"/>
    <w:rsid w:val="00FA46C1"/>
    <w:rsid w:val="00FA49C3"/>
    <w:rsid w:val="00FA5B44"/>
    <w:rsid w:val="00FA68B5"/>
    <w:rsid w:val="00FA6CF1"/>
    <w:rsid w:val="00FA7016"/>
    <w:rsid w:val="00FA7753"/>
    <w:rsid w:val="00FA77BD"/>
    <w:rsid w:val="00FA7D86"/>
    <w:rsid w:val="00FB01EC"/>
    <w:rsid w:val="00FB0CC7"/>
    <w:rsid w:val="00FB188E"/>
    <w:rsid w:val="00FB192B"/>
    <w:rsid w:val="00FB1935"/>
    <w:rsid w:val="00FB1A6B"/>
    <w:rsid w:val="00FB1D70"/>
    <w:rsid w:val="00FB20FB"/>
    <w:rsid w:val="00FB21C9"/>
    <w:rsid w:val="00FB240E"/>
    <w:rsid w:val="00FB280F"/>
    <w:rsid w:val="00FB2A0D"/>
    <w:rsid w:val="00FB2BE6"/>
    <w:rsid w:val="00FB2CA5"/>
    <w:rsid w:val="00FB3415"/>
    <w:rsid w:val="00FB35FD"/>
    <w:rsid w:val="00FB3A0C"/>
    <w:rsid w:val="00FB44B4"/>
    <w:rsid w:val="00FB463B"/>
    <w:rsid w:val="00FB5A06"/>
    <w:rsid w:val="00FB791F"/>
    <w:rsid w:val="00FB7943"/>
    <w:rsid w:val="00FB7C6D"/>
    <w:rsid w:val="00FB7F47"/>
    <w:rsid w:val="00FC04E5"/>
    <w:rsid w:val="00FC1B2C"/>
    <w:rsid w:val="00FC2034"/>
    <w:rsid w:val="00FC247E"/>
    <w:rsid w:val="00FC26AD"/>
    <w:rsid w:val="00FC2DF9"/>
    <w:rsid w:val="00FC317E"/>
    <w:rsid w:val="00FC3FA0"/>
    <w:rsid w:val="00FC49E2"/>
    <w:rsid w:val="00FC503A"/>
    <w:rsid w:val="00FC5254"/>
    <w:rsid w:val="00FC56FB"/>
    <w:rsid w:val="00FC58F4"/>
    <w:rsid w:val="00FC5A8E"/>
    <w:rsid w:val="00FC6D9B"/>
    <w:rsid w:val="00FC72FD"/>
    <w:rsid w:val="00FC7517"/>
    <w:rsid w:val="00FC799F"/>
    <w:rsid w:val="00FD0020"/>
    <w:rsid w:val="00FD04EE"/>
    <w:rsid w:val="00FD0DC4"/>
    <w:rsid w:val="00FD11D9"/>
    <w:rsid w:val="00FD11F8"/>
    <w:rsid w:val="00FD1613"/>
    <w:rsid w:val="00FD2722"/>
    <w:rsid w:val="00FD272A"/>
    <w:rsid w:val="00FD36F8"/>
    <w:rsid w:val="00FD4326"/>
    <w:rsid w:val="00FD4BC6"/>
    <w:rsid w:val="00FD59E3"/>
    <w:rsid w:val="00FD5C7D"/>
    <w:rsid w:val="00FD61CF"/>
    <w:rsid w:val="00FD6A99"/>
    <w:rsid w:val="00FD6AEA"/>
    <w:rsid w:val="00FD6FB2"/>
    <w:rsid w:val="00FD7C2E"/>
    <w:rsid w:val="00FD7DB4"/>
    <w:rsid w:val="00FD7EB6"/>
    <w:rsid w:val="00FE098C"/>
    <w:rsid w:val="00FE0AF5"/>
    <w:rsid w:val="00FE0D21"/>
    <w:rsid w:val="00FE1199"/>
    <w:rsid w:val="00FE14ED"/>
    <w:rsid w:val="00FE162B"/>
    <w:rsid w:val="00FE21E9"/>
    <w:rsid w:val="00FE2D16"/>
    <w:rsid w:val="00FE31B2"/>
    <w:rsid w:val="00FE3716"/>
    <w:rsid w:val="00FE3D19"/>
    <w:rsid w:val="00FE3DAA"/>
    <w:rsid w:val="00FE3E0F"/>
    <w:rsid w:val="00FE4192"/>
    <w:rsid w:val="00FE4D74"/>
    <w:rsid w:val="00FE4EBE"/>
    <w:rsid w:val="00FE559F"/>
    <w:rsid w:val="00FE5DDE"/>
    <w:rsid w:val="00FE6281"/>
    <w:rsid w:val="00FE6BDE"/>
    <w:rsid w:val="00FE7473"/>
    <w:rsid w:val="00FE74AB"/>
    <w:rsid w:val="00FE7783"/>
    <w:rsid w:val="00FE790B"/>
    <w:rsid w:val="00FF03A2"/>
    <w:rsid w:val="00FF0A01"/>
    <w:rsid w:val="00FF0C32"/>
    <w:rsid w:val="00FF0CD1"/>
    <w:rsid w:val="00FF1653"/>
    <w:rsid w:val="00FF231D"/>
    <w:rsid w:val="00FF28FE"/>
    <w:rsid w:val="00FF2BC0"/>
    <w:rsid w:val="00FF33A9"/>
    <w:rsid w:val="00FF3582"/>
    <w:rsid w:val="00FF3907"/>
    <w:rsid w:val="00FF3BC9"/>
    <w:rsid w:val="00FF3FAC"/>
    <w:rsid w:val="00FF4016"/>
    <w:rsid w:val="00FF421B"/>
    <w:rsid w:val="00FF4F68"/>
    <w:rsid w:val="00FF5044"/>
    <w:rsid w:val="00FF52DE"/>
    <w:rsid w:val="00FF55D8"/>
    <w:rsid w:val="00FF565C"/>
    <w:rsid w:val="00FF5F0C"/>
    <w:rsid w:val="00FF6002"/>
    <w:rsid w:val="00FF601C"/>
    <w:rsid w:val="00FF6341"/>
    <w:rsid w:val="00FF64BE"/>
    <w:rsid w:val="00FF66D1"/>
    <w:rsid w:val="00FF70B5"/>
    <w:rsid w:val="00FF7189"/>
    <w:rsid w:val="00FF7721"/>
    <w:rsid w:val="00FF7E98"/>
    <w:rsid w:val="00FF7F30"/>
    <w:rsid w:val="011A11A4"/>
    <w:rsid w:val="012E146B"/>
    <w:rsid w:val="01405559"/>
    <w:rsid w:val="014B5B44"/>
    <w:rsid w:val="016F1387"/>
    <w:rsid w:val="0182219D"/>
    <w:rsid w:val="01856CCD"/>
    <w:rsid w:val="018C5F7F"/>
    <w:rsid w:val="01AC7D6A"/>
    <w:rsid w:val="01BE4069"/>
    <w:rsid w:val="01BE5800"/>
    <w:rsid w:val="01C35244"/>
    <w:rsid w:val="01E46F65"/>
    <w:rsid w:val="01FD1AB4"/>
    <w:rsid w:val="01FF5F05"/>
    <w:rsid w:val="02087DA5"/>
    <w:rsid w:val="020F084F"/>
    <w:rsid w:val="0228639E"/>
    <w:rsid w:val="022C43FC"/>
    <w:rsid w:val="023D5749"/>
    <w:rsid w:val="027F6AB2"/>
    <w:rsid w:val="02813B70"/>
    <w:rsid w:val="029447A7"/>
    <w:rsid w:val="02E332EA"/>
    <w:rsid w:val="02E536DD"/>
    <w:rsid w:val="02FC7879"/>
    <w:rsid w:val="030A564C"/>
    <w:rsid w:val="03105586"/>
    <w:rsid w:val="032042AD"/>
    <w:rsid w:val="03387211"/>
    <w:rsid w:val="035E737B"/>
    <w:rsid w:val="03663B0D"/>
    <w:rsid w:val="037D3DF5"/>
    <w:rsid w:val="03A955C9"/>
    <w:rsid w:val="03F06C42"/>
    <w:rsid w:val="040242FD"/>
    <w:rsid w:val="041B3357"/>
    <w:rsid w:val="042B4EF3"/>
    <w:rsid w:val="043A3A91"/>
    <w:rsid w:val="047B6C26"/>
    <w:rsid w:val="049A683B"/>
    <w:rsid w:val="04B458A6"/>
    <w:rsid w:val="04BE5FB8"/>
    <w:rsid w:val="04C34346"/>
    <w:rsid w:val="04E30437"/>
    <w:rsid w:val="04E3622D"/>
    <w:rsid w:val="05045C94"/>
    <w:rsid w:val="05065269"/>
    <w:rsid w:val="053323FC"/>
    <w:rsid w:val="05465FD3"/>
    <w:rsid w:val="0550373A"/>
    <w:rsid w:val="055124E8"/>
    <w:rsid w:val="05653BAE"/>
    <w:rsid w:val="0571476E"/>
    <w:rsid w:val="05A3689F"/>
    <w:rsid w:val="05EF5C58"/>
    <w:rsid w:val="05F41FAA"/>
    <w:rsid w:val="05F45E3B"/>
    <w:rsid w:val="0602556D"/>
    <w:rsid w:val="06292706"/>
    <w:rsid w:val="062E29C3"/>
    <w:rsid w:val="063B78DC"/>
    <w:rsid w:val="063D29A3"/>
    <w:rsid w:val="064F566F"/>
    <w:rsid w:val="0656577C"/>
    <w:rsid w:val="0682248D"/>
    <w:rsid w:val="0688553D"/>
    <w:rsid w:val="069316F2"/>
    <w:rsid w:val="06971FEE"/>
    <w:rsid w:val="06A2338C"/>
    <w:rsid w:val="06C104D4"/>
    <w:rsid w:val="06C123D8"/>
    <w:rsid w:val="06C14E19"/>
    <w:rsid w:val="071749C2"/>
    <w:rsid w:val="071C264C"/>
    <w:rsid w:val="0730000A"/>
    <w:rsid w:val="07305104"/>
    <w:rsid w:val="0744639A"/>
    <w:rsid w:val="07486809"/>
    <w:rsid w:val="07653BD1"/>
    <w:rsid w:val="076C143E"/>
    <w:rsid w:val="076E0F6D"/>
    <w:rsid w:val="07717C81"/>
    <w:rsid w:val="07761BFD"/>
    <w:rsid w:val="078F5276"/>
    <w:rsid w:val="07BC2556"/>
    <w:rsid w:val="07E51AAD"/>
    <w:rsid w:val="07E84F31"/>
    <w:rsid w:val="081650F7"/>
    <w:rsid w:val="0839529D"/>
    <w:rsid w:val="0859774B"/>
    <w:rsid w:val="087840FB"/>
    <w:rsid w:val="08A17934"/>
    <w:rsid w:val="08AF77F6"/>
    <w:rsid w:val="08CA13FE"/>
    <w:rsid w:val="08DD4532"/>
    <w:rsid w:val="08ED1BAD"/>
    <w:rsid w:val="08ED6689"/>
    <w:rsid w:val="08F234FA"/>
    <w:rsid w:val="08F57ACE"/>
    <w:rsid w:val="090760E5"/>
    <w:rsid w:val="090B23E0"/>
    <w:rsid w:val="091368A1"/>
    <w:rsid w:val="0925559E"/>
    <w:rsid w:val="093D503C"/>
    <w:rsid w:val="0971094D"/>
    <w:rsid w:val="09974C33"/>
    <w:rsid w:val="099E7A69"/>
    <w:rsid w:val="09B82947"/>
    <w:rsid w:val="09C94FA3"/>
    <w:rsid w:val="09CF15F0"/>
    <w:rsid w:val="09E55D39"/>
    <w:rsid w:val="0A163422"/>
    <w:rsid w:val="0A8658BC"/>
    <w:rsid w:val="0A8C5FC6"/>
    <w:rsid w:val="0A9E153A"/>
    <w:rsid w:val="0AA35092"/>
    <w:rsid w:val="0B041A8B"/>
    <w:rsid w:val="0B0F7D5D"/>
    <w:rsid w:val="0B1E74CA"/>
    <w:rsid w:val="0B2E3CF5"/>
    <w:rsid w:val="0B9E6437"/>
    <w:rsid w:val="0BF958C7"/>
    <w:rsid w:val="0C064DA2"/>
    <w:rsid w:val="0C1666D9"/>
    <w:rsid w:val="0C2561A2"/>
    <w:rsid w:val="0C3F3332"/>
    <w:rsid w:val="0C5A09A9"/>
    <w:rsid w:val="0C6B308A"/>
    <w:rsid w:val="0C6E7FC6"/>
    <w:rsid w:val="0C7A4730"/>
    <w:rsid w:val="0C800126"/>
    <w:rsid w:val="0C8C0258"/>
    <w:rsid w:val="0CB60B25"/>
    <w:rsid w:val="0CDB719E"/>
    <w:rsid w:val="0D0B53BC"/>
    <w:rsid w:val="0D11138D"/>
    <w:rsid w:val="0D56019D"/>
    <w:rsid w:val="0DAF176C"/>
    <w:rsid w:val="0DB47D2A"/>
    <w:rsid w:val="0DCA4E97"/>
    <w:rsid w:val="0DD23658"/>
    <w:rsid w:val="0DD673C7"/>
    <w:rsid w:val="0DEA5654"/>
    <w:rsid w:val="0DED21A1"/>
    <w:rsid w:val="0DF9456A"/>
    <w:rsid w:val="0E0812B7"/>
    <w:rsid w:val="0E407559"/>
    <w:rsid w:val="0E4D5F06"/>
    <w:rsid w:val="0E5A5508"/>
    <w:rsid w:val="0E800498"/>
    <w:rsid w:val="0E940B6D"/>
    <w:rsid w:val="0EAB6A73"/>
    <w:rsid w:val="0EFF7ECE"/>
    <w:rsid w:val="0F4D0707"/>
    <w:rsid w:val="0F951117"/>
    <w:rsid w:val="0F9F41EB"/>
    <w:rsid w:val="0FB970F9"/>
    <w:rsid w:val="0FBA2A45"/>
    <w:rsid w:val="0FC41654"/>
    <w:rsid w:val="0FDE7285"/>
    <w:rsid w:val="10156CA8"/>
    <w:rsid w:val="101E0BE2"/>
    <w:rsid w:val="10403121"/>
    <w:rsid w:val="104046D8"/>
    <w:rsid w:val="1042721E"/>
    <w:rsid w:val="106951F4"/>
    <w:rsid w:val="10816687"/>
    <w:rsid w:val="10993A1B"/>
    <w:rsid w:val="10AD147E"/>
    <w:rsid w:val="10E26334"/>
    <w:rsid w:val="11005175"/>
    <w:rsid w:val="11005262"/>
    <w:rsid w:val="11124156"/>
    <w:rsid w:val="111809A6"/>
    <w:rsid w:val="112C5B7D"/>
    <w:rsid w:val="1147532F"/>
    <w:rsid w:val="11584B47"/>
    <w:rsid w:val="118406FD"/>
    <w:rsid w:val="11871589"/>
    <w:rsid w:val="118C2ED5"/>
    <w:rsid w:val="119B5A62"/>
    <w:rsid w:val="11B416F0"/>
    <w:rsid w:val="11B83D31"/>
    <w:rsid w:val="11B91E2A"/>
    <w:rsid w:val="11DC0A97"/>
    <w:rsid w:val="11EC2719"/>
    <w:rsid w:val="121944E4"/>
    <w:rsid w:val="122263B9"/>
    <w:rsid w:val="12625B2F"/>
    <w:rsid w:val="126F5DEF"/>
    <w:rsid w:val="12795B29"/>
    <w:rsid w:val="129036E0"/>
    <w:rsid w:val="12A5475F"/>
    <w:rsid w:val="12F62B63"/>
    <w:rsid w:val="12F86DF5"/>
    <w:rsid w:val="131C01C2"/>
    <w:rsid w:val="135B7891"/>
    <w:rsid w:val="13696837"/>
    <w:rsid w:val="13703527"/>
    <w:rsid w:val="1383473A"/>
    <w:rsid w:val="1396006F"/>
    <w:rsid w:val="13B31AEC"/>
    <w:rsid w:val="13B453F8"/>
    <w:rsid w:val="13E505F2"/>
    <w:rsid w:val="13FE3FBA"/>
    <w:rsid w:val="140E1568"/>
    <w:rsid w:val="14352D0A"/>
    <w:rsid w:val="14404369"/>
    <w:rsid w:val="14685A0B"/>
    <w:rsid w:val="14794186"/>
    <w:rsid w:val="14B12588"/>
    <w:rsid w:val="14CD3DAA"/>
    <w:rsid w:val="14E32F86"/>
    <w:rsid w:val="14F02142"/>
    <w:rsid w:val="152617F1"/>
    <w:rsid w:val="154173E7"/>
    <w:rsid w:val="15422182"/>
    <w:rsid w:val="1552394A"/>
    <w:rsid w:val="15660168"/>
    <w:rsid w:val="157836E3"/>
    <w:rsid w:val="159506EF"/>
    <w:rsid w:val="15B82D31"/>
    <w:rsid w:val="16061FA9"/>
    <w:rsid w:val="1612079E"/>
    <w:rsid w:val="161471A7"/>
    <w:rsid w:val="161E6F7C"/>
    <w:rsid w:val="162C11CD"/>
    <w:rsid w:val="16464B12"/>
    <w:rsid w:val="165A7CB1"/>
    <w:rsid w:val="16785A64"/>
    <w:rsid w:val="167A6312"/>
    <w:rsid w:val="168E4B0B"/>
    <w:rsid w:val="16E75F55"/>
    <w:rsid w:val="16F86295"/>
    <w:rsid w:val="171351B3"/>
    <w:rsid w:val="171F3A68"/>
    <w:rsid w:val="173F7C81"/>
    <w:rsid w:val="17503E90"/>
    <w:rsid w:val="175D674F"/>
    <w:rsid w:val="17696FC3"/>
    <w:rsid w:val="176A7386"/>
    <w:rsid w:val="17846F7B"/>
    <w:rsid w:val="1793734F"/>
    <w:rsid w:val="17951BB8"/>
    <w:rsid w:val="17961CB0"/>
    <w:rsid w:val="17A25817"/>
    <w:rsid w:val="17B53534"/>
    <w:rsid w:val="17C153CA"/>
    <w:rsid w:val="17C37E3D"/>
    <w:rsid w:val="17CB768E"/>
    <w:rsid w:val="17CD2550"/>
    <w:rsid w:val="17D65152"/>
    <w:rsid w:val="18114189"/>
    <w:rsid w:val="182E04FD"/>
    <w:rsid w:val="18436F4C"/>
    <w:rsid w:val="184A4972"/>
    <w:rsid w:val="18651AE9"/>
    <w:rsid w:val="186B0554"/>
    <w:rsid w:val="187431A4"/>
    <w:rsid w:val="189161DF"/>
    <w:rsid w:val="18E208A1"/>
    <w:rsid w:val="18E66A5F"/>
    <w:rsid w:val="18F06F2D"/>
    <w:rsid w:val="18F630EB"/>
    <w:rsid w:val="19117739"/>
    <w:rsid w:val="19127145"/>
    <w:rsid w:val="1913400B"/>
    <w:rsid w:val="19403824"/>
    <w:rsid w:val="195B6934"/>
    <w:rsid w:val="19891649"/>
    <w:rsid w:val="19A707A4"/>
    <w:rsid w:val="19AD7F51"/>
    <w:rsid w:val="19B02548"/>
    <w:rsid w:val="19D8675D"/>
    <w:rsid w:val="19E776E0"/>
    <w:rsid w:val="1A08207C"/>
    <w:rsid w:val="1A1C2849"/>
    <w:rsid w:val="1A1D16EC"/>
    <w:rsid w:val="1A961DDD"/>
    <w:rsid w:val="1A9E3747"/>
    <w:rsid w:val="1AC8412A"/>
    <w:rsid w:val="1B170AD5"/>
    <w:rsid w:val="1B1973A4"/>
    <w:rsid w:val="1B7C7571"/>
    <w:rsid w:val="1B99052C"/>
    <w:rsid w:val="1B9F76CB"/>
    <w:rsid w:val="1BA50D14"/>
    <w:rsid w:val="1BA677E7"/>
    <w:rsid w:val="1BA7385B"/>
    <w:rsid w:val="1BB10357"/>
    <w:rsid w:val="1BDE7003"/>
    <w:rsid w:val="1C012E1D"/>
    <w:rsid w:val="1C057BD0"/>
    <w:rsid w:val="1C157D87"/>
    <w:rsid w:val="1C1F5025"/>
    <w:rsid w:val="1C222B34"/>
    <w:rsid w:val="1C2A5760"/>
    <w:rsid w:val="1C311D80"/>
    <w:rsid w:val="1C433A21"/>
    <w:rsid w:val="1C625D30"/>
    <w:rsid w:val="1C763150"/>
    <w:rsid w:val="1C7671E3"/>
    <w:rsid w:val="1C777601"/>
    <w:rsid w:val="1C7B6556"/>
    <w:rsid w:val="1C853B91"/>
    <w:rsid w:val="1C8A493E"/>
    <w:rsid w:val="1C8E4C0B"/>
    <w:rsid w:val="1CB42BFC"/>
    <w:rsid w:val="1CCB6998"/>
    <w:rsid w:val="1CD638BB"/>
    <w:rsid w:val="1CD6623F"/>
    <w:rsid w:val="1CE32665"/>
    <w:rsid w:val="1CE76B5B"/>
    <w:rsid w:val="1CF90898"/>
    <w:rsid w:val="1CFA0FE7"/>
    <w:rsid w:val="1CFF0779"/>
    <w:rsid w:val="1D181B85"/>
    <w:rsid w:val="1D375242"/>
    <w:rsid w:val="1D4824C2"/>
    <w:rsid w:val="1D5D0A22"/>
    <w:rsid w:val="1D665764"/>
    <w:rsid w:val="1D8834DD"/>
    <w:rsid w:val="1D8C69C4"/>
    <w:rsid w:val="1DE748E1"/>
    <w:rsid w:val="1DEF6C8E"/>
    <w:rsid w:val="1E171DD5"/>
    <w:rsid w:val="1E17406B"/>
    <w:rsid w:val="1E1C7C6C"/>
    <w:rsid w:val="1E4F15D7"/>
    <w:rsid w:val="1E59338C"/>
    <w:rsid w:val="1E6178C8"/>
    <w:rsid w:val="1E646F85"/>
    <w:rsid w:val="1E6B35C6"/>
    <w:rsid w:val="1E6E2B97"/>
    <w:rsid w:val="1E767283"/>
    <w:rsid w:val="1E786F00"/>
    <w:rsid w:val="1EA72A03"/>
    <w:rsid w:val="1EA917F9"/>
    <w:rsid w:val="1EBA1318"/>
    <w:rsid w:val="1ECF38FA"/>
    <w:rsid w:val="1ED76DE0"/>
    <w:rsid w:val="1EE26B01"/>
    <w:rsid w:val="1EE3190B"/>
    <w:rsid w:val="1EE37407"/>
    <w:rsid w:val="1EE5272F"/>
    <w:rsid w:val="1F147CCD"/>
    <w:rsid w:val="1F1F65F5"/>
    <w:rsid w:val="1F227F17"/>
    <w:rsid w:val="1F343C02"/>
    <w:rsid w:val="1F6D440A"/>
    <w:rsid w:val="1F795067"/>
    <w:rsid w:val="1F813E70"/>
    <w:rsid w:val="1FAC7E53"/>
    <w:rsid w:val="20416CE5"/>
    <w:rsid w:val="20484D19"/>
    <w:rsid w:val="20505A20"/>
    <w:rsid w:val="20517FE3"/>
    <w:rsid w:val="20597707"/>
    <w:rsid w:val="206F589B"/>
    <w:rsid w:val="207F0857"/>
    <w:rsid w:val="2080016D"/>
    <w:rsid w:val="20A87676"/>
    <w:rsid w:val="20C2792D"/>
    <w:rsid w:val="20CE2C18"/>
    <w:rsid w:val="20DA2F51"/>
    <w:rsid w:val="20E3136E"/>
    <w:rsid w:val="20E410EC"/>
    <w:rsid w:val="20E635E4"/>
    <w:rsid w:val="20FF46EC"/>
    <w:rsid w:val="21160D44"/>
    <w:rsid w:val="21577705"/>
    <w:rsid w:val="215D1F6B"/>
    <w:rsid w:val="21790950"/>
    <w:rsid w:val="217C1DAF"/>
    <w:rsid w:val="218220DE"/>
    <w:rsid w:val="219E6A54"/>
    <w:rsid w:val="219F3764"/>
    <w:rsid w:val="21A43D4D"/>
    <w:rsid w:val="21A96AA8"/>
    <w:rsid w:val="21BF4CC5"/>
    <w:rsid w:val="21CA461C"/>
    <w:rsid w:val="21E9430A"/>
    <w:rsid w:val="21F30A32"/>
    <w:rsid w:val="21FE096D"/>
    <w:rsid w:val="22143C08"/>
    <w:rsid w:val="22161524"/>
    <w:rsid w:val="22247749"/>
    <w:rsid w:val="222B010B"/>
    <w:rsid w:val="222C76C6"/>
    <w:rsid w:val="222E2C15"/>
    <w:rsid w:val="22466CF3"/>
    <w:rsid w:val="2253067F"/>
    <w:rsid w:val="228900F0"/>
    <w:rsid w:val="228B21AB"/>
    <w:rsid w:val="22914FAF"/>
    <w:rsid w:val="22A344E7"/>
    <w:rsid w:val="22B27316"/>
    <w:rsid w:val="22C001C7"/>
    <w:rsid w:val="22C75BE0"/>
    <w:rsid w:val="22C9107A"/>
    <w:rsid w:val="22C96F0F"/>
    <w:rsid w:val="22CD6826"/>
    <w:rsid w:val="22DE3197"/>
    <w:rsid w:val="22F4082B"/>
    <w:rsid w:val="230E0741"/>
    <w:rsid w:val="233935DD"/>
    <w:rsid w:val="235F1FAC"/>
    <w:rsid w:val="239B1155"/>
    <w:rsid w:val="23B459CF"/>
    <w:rsid w:val="23BD0A95"/>
    <w:rsid w:val="23C407BC"/>
    <w:rsid w:val="23D20CE0"/>
    <w:rsid w:val="23E04E9D"/>
    <w:rsid w:val="23F46EA8"/>
    <w:rsid w:val="23F63E16"/>
    <w:rsid w:val="23FE44F7"/>
    <w:rsid w:val="24116E7D"/>
    <w:rsid w:val="243A32C2"/>
    <w:rsid w:val="243E49BC"/>
    <w:rsid w:val="243F71F1"/>
    <w:rsid w:val="245C0C67"/>
    <w:rsid w:val="246838F1"/>
    <w:rsid w:val="24A8238E"/>
    <w:rsid w:val="24AE5ED7"/>
    <w:rsid w:val="24AF2DCF"/>
    <w:rsid w:val="24C9376C"/>
    <w:rsid w:val="24D14033"/>
    <w:rsid w:val="24DF5DED"/>
    <w:rsid w:val="25093A3B"/>
    <w:rsid w:val="25236D0D"/>
    <w:rsid w:val="252F645D"/>
    <w:rsid w:val="254970AF"/>
    <w:rsid w:val="254C19FF"/>
    <w:rsid w:val="255E2F6B"/>
    <w:rsid w:val="258858A9"/>
    <w:rsid w:val="25A360B5"/>
    <w:rsid w:val="25CF5CD3"/>
    <w:rsid w:val="25D0192F"/>
    <w:rsid w:val="25DA2AD0"/>
    <w:rsid w:val="25E21C3F"/>
    <w:rsid w:val="26060059"/>
    <w:rsid w:val="261033FA"/>
    <w:rsid w:val="262A6640"/>
    <w:rsid w:val="262C70A3"/>
    <w:rsid w:val="2636322F"/>
    <w:rsid w:val="26444871"/>
    <w:rsid w:val="26666AA2"/>
    <w:rsid w:val="26712EE1"/>
    <w:rsid w:val="26757E2C"/>
    <w:rsid w:val="26790701"/>
    <w:rsid w:val="26BF205C"/>
    <w:rsid w:val="273508EE"/>
    <w:rsid w:val="274570EF"/>
    <w:rsid w:val="27483692"/>
    <w:rsid w:val="275029CF"/>
    <w:rsid w:val="276F6E45"/>
    <w:rsid w:val="278066D7"/>
    <w:rsid w:val="27827B0F"/>
    <w:rsid w:val="27886287"/>
    <w:rsid w:val="27C25F8B"/>
    <w:rsid w:val="27C77518"/>
    <w:rsid w:val="27F53526"/>
    <w:rsid w:val="27FA5E76"/>
    <w:rsid w:val="280A4204"/>
    <w:rsid w:val="28510862"/>
    <w:rsid w:val="28594FDB"/>
    <w:rsid w:val="28690FE5"/>
    <w:rsid w:val="288E2BD2"/>
    <w:rsid w:val="28C11325"/>
    <w:rsid w:val="28C4698F"/>
    <w:rsid w:val="28DC50AB"/>
    <w:rsid w:val="28E55271"/>
    <w:rsid w:val="28E7739E"/>
    <w:rsid w:val="28F547E1"/>
    <w:rsid w:val="28F9035F"/>
    <w:rsid w:val="2923374B"/>
    <w:rsid w:val="29502C91"/>
    <w:rsid w:val="29724455"/>
    <w:rsid w:val="298D267B"/>
    <w:rsid w:val="29945693"/>
    <w:rsid w:val="299A751F"/>
    <w:rsid w:val="29BA16AF"/>
    <w:rsid w:val="29BD796F"/>
    <w:rsid w:val="29F10211"/>
    <w:rsid w:val="2A216C90"/>
    <w:rsid w:val="2A3E4025"/>
    <w:rsid w:val="2A594CE9"/>
    <w:rsid w:val="2A7A6159"/>
    <w:rsid w:val="2AAC3644"/>
    <w:rsid w:val="2AC20905"/>
    <w:rsid w:val="2AD74843"/>
    <w:rsid w:val="2AED4DA8"/>
    <w:rsid w:val="2AF83194"/>
    <w:rsid w:val="2B007190"/>
    <w:rsid w:val="2B0F05EA"/>
    <w:rsid w:val="2B1D6354"/>
    <w:rsid w:val="2B3665DB"/>
    <w:rsid w:val="2B465B0F"/>
    <w:rsid w:val="2B651CAE"/>
    <w:rsid w:val="2B8946FF"/>
    <w:rsid w:val="2B920914"/>
    <w:rsid w:val="2BA412AA"/>
    <w:rsid w:val="2BAA5ABF"/>
    <w:rsid w:val="2BC92647"/>
    <w:rsid w:val="2BD06841"/>
    <w:rsid w:val="2BE30D43"/>
    <w:rsid w:val="2BE313F5"/>
    <w:rsid w:val="2BEA2299"/>
    <w:rsid w:val="2BF11B0F"/>
    <w:rsid w:val="2C0A4741"/>
    <w:rsid w:val="2C421BBB"/>
    <w:rsid w:val="2C6006E6"/>
    <w:rsid w:val="2C75313C"/>
    <w:rsid w:val="2C856DC3"/>
    <w:rsid w:val="2C8602B7"/>
    <w:rsid w:val="2C8F164B"/>
    <w:rsid w:val="2CA62D38"/>
    <w:rsid w:val="2CAC2F48"/>
    <w:rsid w:val="2CD36453"/>
    <w:rsid w:val="2CF86E08"/>
    <w:rsid w:val="2D0478B3"/>
    <w:rsid w:val="2D0C1346"/>
    <w:rsid w:val="2D214B2C"/>
    <w:rsid w:val="2D370346"/>
    <w:rsid w:val="2D5432BE"/>
    <w:rsid w:val="2D6239EA"/>
    <w:rsid w:val="2D6A608B"/>
    <w:rsid w:val="2D9B15EF"/>
    <w:rsid w:val="2DAB0F5F"/>
    <w:rsid w:val="2DBC66BE"/>
    <w:rsid w:val="2DEB1367"/>
    <w:rsid w:val="2E304308"/>
    <w:rsid w:val="2E485379"/>
    <w:rsid w:val="2E781C41"/>
    <w:rsid w:val="2EA75BEE"/>
    <w:rsid w:val="2EB108AD"/>
    <w:rsid w:val="2EB26D79"/>
    <w:rsid w:val="2EBF06DB"/>
    <w:rsid w:val="2EDF0DE3"/>
    <w:rsid w:val="2F16026E"/>
    <w:rsid w:val="2F182B80"/>
    <w:rsid w:val="2F3C1751"/>
    <w:rsid w:val="2F685CF8"/>
    <w:rsid w:val="2F7145F4"/>
    <w:rsid w:val="2F7B068E"/>
    <w:rsid w:val="2F7F61E8"/>
    <w:rsid w:val="2F895637"/>
    <w:rsid w:val="2F954F9B"/>
    <w:rsid w:val="2FA808D5"/>
    <w:rsid w:val="2FDA11B9"/>
    <w:rsid w:val="2FDC253D"/>
    <w:rsid w:val="2FE84E3B"/>
    <w:rsid w:val="30066FDE"/>
    <w:rsid w:val="30082D3F"/>
    <w:rsid w:val="30083D2A"/>
    <w:rsid w:val="300B3A27"/>
    <w:rsid w:val="301C1F55"/>
    <w:rsid w:val="303043F0"/>
    <w:rsid w:val="30580298"/>
    <w:rsid w:val="30646F90"/>
    <w:rsid w:val="306C7E5F"/>
    <w:rsid w:val="30925091"/>
    <w:rsid w:val="309965F8"/>
    <w:rsid w:val="30A428FB"/>
    <w:rsid w:val="30AD7B1F"/>
    <w:rsid w:val="30CB0402"/>
    <w:rsid w:val="30CD626B"/>
    <w:rsid w:val="30DC4A9B"/>
    <w:rsid w:val="30F27B94"/>
    <w:rsid w:val="31085479"/>
    <w:rsid w:val="310A29D9"/>
    <w:rsid w:val="310C7989"/>
    <w:rsid w:val="31197E88"/>
    <w:rsid w:val="312D17F4"/>
    <w:rsid w:val="313615F9"/>
    <w:rsid w:val="31453461"/>
    <w:rsid w:val="3158625B"/>
    <w:rsid w:val="31810686"/>
    <w:rsid w:val="318F3BD2"/>
    <w:rsid w:val="31A875D8"/>
    <w:rsid w:val="31B048A2"/>
    <w:rsid w:val="31CE0568"/>
    <w:rsid w:val="31F551E9"/>
    <w:rsid w:val="321E42BD"/>
    <w:rsid w:val="321F7FAD"/>
    <w:rsid w:val="32201910"/>
    <w:rsid w:val="32341340"/>
    <w:rsid w:val="324D2681"/>
    <w:rsid w:val="324D5196"/>
    <w:rsid w:val="325B4CD5"/>
    <w:rsid w:val="32AD48AB"/>
    <w:rsid w:val="32BE66EC"/>
    <w:rsid w:val="32C26FB5"/>
    <w:rsid w:val="32CF55D8"/>
    <w:rsid w:val="32D25E41"/>
    <w:rsid w:val="32E824BC"/>
    <w:rsid w:val="32EB46F7"/>
    <w:rsid w:val="32FC2E8C"/>
    <w:rsid w:val="330C1EE9"/>
    <w:rsid w:val="330C3BCF"/>
    <w:rsid w:val="330D65EA"/>
    <w:rsid w:val="331B43DF"/>
    <w:rsid w:val="331D4370"/>
    <w:rsid w:val="332A4C0D"/>
    <w:rsid w:val="333F06D3"/>
    <w:rsid w:val="334267AE"/>
    <w:rsid w:val="33517015"/>
    <w:rsid w:val="3353671B"/>
    <w:rsid w:val="335D6BE9"/>
    <w:rsid w:val="336112E0"/>
    <w:rsid w:val="336D74D1"/>
    <w:rsid w:val="3398113B"/>
    <w:rsid w:val="33B506A9"/>
    <w:rsid w:val="33C637DF"/>
    <w:rsid w:val="33DD5D86"/>
    <w:rsid w:val="33F435C6"/>
    <w:rsid w:val="33F47FD9"/>
    <w:rsid w:val="33FD7262"/>
    <w:rsid w:val="34422B26"/>
    <w:rsid w:val="34457450"/>
    <w:rsid w:val="34523EDB"/>
    <w:rsid w:val="34545702"/>
    <w:rsid w:val="346D7211"/>
    <w:rsid w:val="34A25675"/>
    <w:rsid w:val="34AF0E28"/>
    <w:rsid w:val="34BF2FAC"/>
    <w:rsid w:val="34CE66CA"/>
    <w:rsid w:val="34D029B5"/>
    <w:rsid w:val="350D54B2"/>
    <w:rsid w:val="350E185E"/>
    <w:rsid w:val="35373F98"/>
    <w:rsid w:val="356814A4"/>
    <w:rsid w:val="357E0B29"/>
    <w:rsid w:val="35871ED9"/>
    <w:rsid w:val="35956A1A"/>
    <w:rsid w:val="35AB6E5E"/>
    <w:rsid w:val="35DB6515"/>
    <w:rsid w:val="35F04954"/>
    <w:rsid w:val="36246068"/>
    <w:rsid w:val="363B7932"/>
    <w:rsid w:val="363E5187"/>
    <w:rsid w:val="363E7F0C"/>
    <w:rsid w:val="36630DAE"/>
    <w:rsid w:val="36AF4D67"/>
    <w:rsid w:val="36BC0F33"/>
    <w:rsid w:val="36BF0081"/>
    <w:rsid w:val="36C06D9A"/>
    <w:rsid w:val="36D15C2A"/>
    <w:rsid w:val="36FA4BBC"/>
    <w:rsid w:val="371D61FE"/>
    <w:rsid w:val="372F3FCE"/>
    <w:rsid w:val="37340C71"/>
    <w:rsid w:val="374B5AC3"/>
    <w:rsid w:val="37536380"/>
    <w:rsid w:val="3759078D"/>
    <w:rsid w:val="376E06AD"/>
    <w:rsid w:val="37982CD1"/>
    <w:rsid w:val="37AF154E"/>
    <w:rsid w:val="37B143D7"/>
    <w:rsid w:val="37BF3AA1"/>
    <w:rsid w:val="37C11F4B"/>
    <w:rsid w:val="37D84959"/>
    <w:rsid w:val="37DE7285"/>
    <w:rsid w:val="37E56C8D"/>
    <w:rsid w:val="37E637CE"/>
    <w:rsid w:val="37E84D22"/>
    <w:rsid w:val="37EC4029"/>
    <w:rsid w:val="37F71898"/>
    <w:rsid w:val="38187E4F"/>
    <w:rsid w:val="3820445B"/>
    <w:rsid w:val="38210467"/>
    <w:rsid w:val="382D4896"/>
    <w:rsid w:val="38401B73"/>
    <w:rsid w:val="384B1D2A"/>
    <w:rsid w:val="384D1898"/>
    <w:rsid w:val="38667EE1"/>
    <w:rsid w:val="386D7FF5"/>
    <w:rsid w:val="38781FFC"/>
    <w:rsid w:val="38784350"/>
    <w:rsid w:val="389C6876"/>
    <w:rsid w:val="38AD6AE5"/>
    <w:rsid w:val="38B844F1"/>
    <w:rsid w:val="38CC6EC4"/>
    <w:rsid w:val="38D44858"/>
    <w:rsid w:val="38ED50C7"/>
    <w:rsid w:val="38F24247"/>
    <w:rsid w:val="391129CE"/>
    <w:rsid w:val="392576AC"/>
    <w:rsid w:val="3958515B"/>
    <w:rsid w:val="395C206A"/>
    <w:rsid w:val="39780BBB"/>
    <w:rsid w:val="397909E9"/>
    <w:rsid w:val="397B0802"/>
    <w:rsid w:val="39D617F2"/>
    <w:rsid w:val="39D863A2"/>
    <w:rsid w:val="39ED517F"/>
    <w:rsid w:val="3A052126"/>
    <w:rsid w:val="3A2B5133"/>
    <w:rsid w:val="3A4455CB"/>
    <w:rsid w:val="3A575EA0"/>
    <w:rsid w:val="3A612EEB"/>
    <w:rsid w:val="3A7F5762"/>
    <w:rsid w:val="3ACA25CA"/>
    <w:rsid w:val="3ACF05C8"/>
    <w:rsid w:val="3B4E6F37"/>
    <w:rsid w:val="3B574076"/>
    <w:rsid w:val="3B6E7241"/>
    <w:rsid w:val="3B731AB5"/>
    <w:rsid w:val="3B833738"/>
    <w:rsid w:val="3B874762"/>
    <w:rsid w:val="3B9F5F88"/>
    <w:rsid w:val="3BE06DA5"/>
    <w:rsid w:val="3C2527C5"/>
    <w:rsid w:val="3C2A471B"/>
    <w:rsid w:val="3C30591D"/>
    <w:rsid w:val="3C66390D"/>
    <w:rsid w:val="3C7A13A7"/>
    <w:rsid w:val="3C84642E"/>
    <w:rsid w:val="3CC301F2"/>
    <w:rsid w:val="3CDC6FC1"/>
    <w:rsid w:val="3D432208"/>
    <w:rsid w:val="3D4F29C9"/>
    <w:rsid w:val="3D542895"/>
    <w:rsid w:val="3D6F75C9"/>
    <w:rsid w:val="3D73742D"/>
    <w:rsid w:val="3D7F70E7"/>
    <w:rsid w:val="3DE90F01"/>
    <w:rsid w:val="3DF206BB"/>
    <w:rsid w:val="3E045C72"/>
    <w:rsid w:val="3E0A7A36"/>
    <w:rsid w:val="3E0C719B"/>
    <w:rsid w:val="3E266E35"/>
    <w:rsid w:val="3E637611"/>
    <w:rsid w:val="3EA00749"/>
    <w:rsid w:val="3EA44C2E"/>
    <w:rsid w:val="3EC55253"/>
    <w:rsid w:val="3EE838EE"/>
    <w:rsid w:val="3EEC4647"/>
    <w:rsid w:val="3EF42E98"/>
    <w:rsid w:val="3F224FF5"/>
    <w:rsid w:val="3F454F08"/>
    <w:rsid w:val="3F4829A1"/>
    <w:rsid w:val="3F65470F"/>
    <w:rsid w:val="3F7F04D5"/>
    <w:rsid w:val="3F8976A7"/>
    <w:rsid w:val="3F8E32C0"/>
    <w:rsid w:val="3F8E7C85"/>
    <w:rsid w:val="3FC261BF"/>
    <w:rsid w:val="3FE00D87"/>
    <w:rsid w:val="3FF7566E"/>
    <w:rsid w:val="40685895"/>
    <w:rsid w:val="40822AAE"/>
    <w:rsid w:val="408C2F3C"/>
    <w:rsid w:val="408D2B46"/>
    <w:rsid w:val="40A005F0"/>
    <w:rsid w:val="40B94BCD"/>
    <w:rsid w:val="40CA3B74"/>
    <w:rsid w:val="40DC5BEB"/>
    <w:rsid w:val="40ED28CE"/>
    <w:rsid w:val="410115FF"/>
    <w:rsid w:val="4164128C"/>
    <w:rsid w:val="416D07D3"/>
    <w:rsid w:val="417D76A0"/>
    <w:rsid w:val="417E1386"/>
    <w:rsid w:val="419D3474"/>
    <w:rsid w:val="41A67223"/>
    <w:rsid w:val="41D2368F"/>
    <w:rsid w:val="41D72DF9"/>
    <w:rsid w:val="41F075CD"/>
    <w:rsid w:val="420A40D1"/>
    <w:rsid w:val="42114C38"/>
    <w:rsid w:val="422B6BF4"/>
    <w:rsid w:val="422C2904"/>
    <w:rsid w:val="422C29C6"/>
    <w:rsid w:val="4234308B"/>
    <w:rsid w:val="42347713"/>
    <w:rsid w:val="424D7FAF"/>
    <w:rsid w:val="42591FB7"/>
    <w:rsid w:val="425B08E5"/>
    <w:rsid w:val="426F4A08"/>
    <w:rsid w:val="42B64BCD"/>
    <w:rsid w:val="430811AE"/>
    <w:rsid w:val="437710E3"/>
    <w:rsid w:val="43825515"/>
    <w:rsid w:val="43871DAA"/>
    <w:rsid w:val="438C24EF"/>
    <w:rsid w:val="43A1549F"/>
    <w:rsid w:val="43B00A8F"/>
    <w:rsid w:val="43DE204E"/>
    <w:rsid w:val="43EF26FD"/>
    <w:rsid w:val="43FA50D7"/>
    <w:rsid w:val="4446550A"/>
    <w:rsid w:val="44491BDA"/>
    <w:rsid w:val="44732CC9"/>
    <w:rsid w:val="449F594C"/>
    <w:rsid w:val="44BF00F9"/>
    <w:rsid w:val="44C600C6"/>
    <w:rsid w:val="44D7750B"/>
    <w:rsid w:val="44F7199A"/>
    <w:rsid w:val="44FC25A7"/>
    <w:rsid w:val="450F2FEC"/>
    <w:rsid w:val="45224240"/>
    <w:rsid w:val="452545FE"/>
    <w:rsid w:val="454B391C"/>
    <w:rsid w:val="45511B47"/>
    <w:rsid w:val="45594896"/>
    <w:rsid w:val="458E5DAC"/>
    <w:rsid w:val="459557D9"/>
    <w:rsid w:val="45A15DDB"/>
    <w:rsid w:val="45A3513D"/>
    <w:rsid w:val="45AE5A72"/>
    <w:rsid w:val="45B22926"/>
    <w:rsid w:val="45C277D4"/>
    <w:rsid w:val="4627407F"/>
    <w:rsid w:val="46361E14"/>
    <w:rsid w:val="46570386"/>
    <w:rsid w:val="467277FA"/>
    <w:rsid w:val="46730CBD"/>
    <w:rsid w:val="4681712C"/>
    <w:rsid w:val="468B6718"/>
    <w:rsid w:val="468C1037"/>
    <w:rsid w:val="46A22206"/>
    <w:rsid w:val="46AE64E3"/>
    <w:rsid w:val="46CF38C8"/>
    <w:rsid w:val="46E56E36"/>
    <w:rsid w:val="47007BFD"/>
    <w:rsid w:val="473B23EB"/>
    <w:rsid w:val="476250CF"/>
    <w:rsid w:val="47780912"/>
    <w:rsid w:val="478E1F11"/>
    <w:rsid w:val="478F14EB"/>
    <w:rsid w:val="47B32EAB"/>
    <w:rsid w:val="47C40E8C"/>
    <w:rsid w:val="480B621A"/>
    <w:rsid w:val="484A6121"/>
    <w:rsid w:val="486F1BF2"/>
    <w:rsid w:val="488F6FD7"/>
    <w:rsid w:val="48A8673D"/>
    <w:rsid w:val="48B1218F"/>
    <w:rsid w:val="48B14AB0"/>
    <w:rsid w:val="48D6123C"/>
    <w:rsid w:val="48E67726"/>
    <w:rsid w:val="48EA585B"/>
    <w:rsid w:val="49150F51"/>
    <w:rsid w:val="493D5B1F"/>
    <w:rsid w:val="49480BD4"/>
    <w:rsid w:val="49584054"/>
    <w:rsid w:val="496E0369"/>
    <w:rsid w:val="496E11C3"/>
    <w:rsid w:val="498F3010"/>
    <w:rsid w:val="49934648"/>
    <w:rsid w:val="499F04DF"/>
    <w:rsid w:val="49AD1A10"/>
    <w:rsid w:val="49BB20BE"/>
    <w:rsid w:val="49CB3BFF"/>
    <w:rsid w:val="49E76DEC"/>
    <w:rsid w:val="49F42E67"/>
    <w:rsid w:val="49FC6CFC"/>
    <w:rsid w:val="4A176716"/>
    <w:rsid w:val="4A321879"/>
    <w:rsid w:val="4A513272"/>
    <w:rsid w:val="4A733A9E"/>
    <w:rsid w:val="4A7732CE"/>
    <w:rsid w:val="4A9429F3"/>
    <w:rsid w:val="4A9629D5"/>
    <w:rsid w:val="4AA4619B"/>
    <w:rsid w:val="4AA531EB"/>
    <w:rsid w:val="4AAC1BD0"/>
    <w:rsid w:val="4AAE7A16"/>
    <w:rsid w:val="4ABC2400"/>
    <w:rsid w:val="4AC62161"/>
    <w:rsid w:val="4ACC67BD"/>
    <w:rsid w:val="4AE372CF"/>
    <w:rsid w:val="4AE85E03"/>
    <w:rsid w:val="4B0B3AEF"/>
    <w:rsid w:val="4B284D77"/>
    <w:rsid w:val="4B4978E0"/>
    <w:rsid w:val="4B562F2B"/>
    <w:rsid w:val="4B771FE9"/>
    <w:rsid w:val="4BC06DB8"/>
    <w:rsid w:val="4BEC1507"/>
    <w:rsid w:val="4BFA2737"/>
    <w:rsid w:val="4C0C58C8"/>
    <w:rsid w:val="4C1126C4"/>
    <w:rsid w:val="4C1A4723"/>
    <w:rsid w:val="4C244173"/>
    <w:rsid w:val="4C6C6C38"/>
    <w:rsid w:val="4C905E44"/>
    <w:rsid w:val="4CD363C9"/>
    <w:rsid w:val="4CE63254"/>
    <w:rsid w:val="4CF93A06"/>
    <w:rsid w:val="4D037CA3"/>
    <w:rsid w:val="4D127BE1"/>
    <w:rsid w:val="4D3475CF"/>
    <w:rsid w:val="4D4F2A99"/>
    <w:rsid w:val="4D5A529F"/>
    <w:rsid w:val="4D5E17D4"/>
    <w:rsid w:val="4D7F6702"/>
    <w:rsid w:val="4D8E2981"/>
    <w:rsid w:val="4D9F22BF"/>
    <w:rsid w:val="4DA5329B"/>
    <w:rsid w:val="4DB776FC"/>
    <w:rsid w:val="4DD27ACF"/>
    <w:rsid w:val="4DDC19BC"/>
    <w:rsid w:val="4DFD472D"/>
    <w:rsid w:val="4E005C58"/>
    <w:rsid w:val="4E1C6BFB"/>
    <w:rsid w:val="4E2423CC"/>
    <w:rsid w:val="4E5370C6"/>
    <w:rsid w:val="4EB227F8"/>
    <w:rsid w:val="4EB52D03"/>
    <w:rsid w:val="4EBF0E52"/>
    <w:rsid w:val="4EE2236D"/>
    <w:rsid w:val="4EFB0E9E"/>
    <w:rsid w:val="4F123950"/>
    <w:rsid w:val="4F134C73"/>
    <w:rsid w:val="4F364AAB"/>
    <w:rsid w:val="4F522B29"/>
    <w:rsid w:val="4F8E1486"/>
    <w:rsid w:val="4FE016DA"/>
    <w:rsid w:val="4FE86A41"/>
    <w:rsid w:val="50185A9E"/>
    <w:rsid w:val="503F3946"/>
    <w:rsid w:val="506E4DD3"/>
    <w:rsid w:val="507519D9"/>
    <w:rsid w:val="508A4283"/>
    <w:rsid w:val="509C1754"/>
    <w:rsid w:val="50A63B45"/>
    <w:rsid w:val="50AC2720"/>
    <w:rsid w:val="50AD1277"/>
    <w:rsid w:val="50B664A6"/>
    <w:rsid w:val="50C11611"/>
    <w:rsid w:val="50E224D5"/>
    <w:rsid w:val="50EC442B"/>
    <w:rsid w:val="50EE37D2"/>
    <w:rsid w:val="50EE4743"/>
    <w:rsid w:val="50EF4AC2"/>
    <w:rsid w:val="50F11326"/>
    <w:rsid w:val="51401FD2"/>
    <w:rsid w:val="51636F40"/>
    <w:rsid w:val="51684C13"/>
    <w:rsid w:val="516D63AF"/>
    <w:rsid w:val="517C422B"/>
    <w:rsid w:val="51821281"/>
    <w:rsid w:val="51824CF6"/>
    <w:rsid w:val="51935897"/>
    <w:rsid w:val="51B61137"/>
    <w:rsid w:val="52036287"/>
    <w:rsid w:val="52041893"/>
    <w:rsid w:val="52127D7D"/>
    <w:rsid w:val="52294852"/>
    <w:rsid w:val="52412A63"/>
    <w:rsid w:val="525672F6"/>
    <w:rsid w:val="5259082C"/>
    <w:rsid w:val="525A3B3D"/>
    <w:rsid w:val="52755C31"/>
    <w:rsid w:val="52837ADD"/>
    <w:rsid w:val="52C8599B"/>
    <w:rsid w:val="52FB3009"/>
    <w:rsid w:val="5317316C"/>
    <w:rsid w:val="53345B50"/>
    <w:rsid w:val="534179D1"/>
    <w:rsid w:val="53475464"/>
    <w:rsid w:val="536E6B45"/>
    <w:rsid w:val="53763D4D"/>
    <w:rsid w:val="537E7FE3"/>
    <w:rsid w:val="53BB42A7"/>
    <w:rsid w:val="53C0635F"/>
    <w:rsid w:val="53CE1063"/>
    <w:rsid w:val="53E53826"/>
    <w:rsid w:val="53E71FDE"/>
    <w:rsid w:val="54135280"/>
    <w:rsid w:val="54281A8D"/>
    <w:rsid w:val="54336CC9"/>
    <w:rsid w:val="543D769E"/>
    <w:rsid w:val="543F588C"/>
    <w:rsid w:val="549D0FDA"/>
    <w:rsid w:val="54B30A96"/>
    <w:rsid w:val="54C22B88"/>
    <w:rsid w:val="550C1B9A"/>
    <w:rsid w:val="5526139C"/>
    <w:rsid w:val="552943CE"/>
    <w:rsid w:val="552A1D4C"/>
    <w:rsid w:val="552B2D26"/>
    <w:rsid w:val="553C1365"/>
    <w:rsid w:val="554E1470"/>
    <w:rsid w:val="555D3C89"/>
    <w:rsid w:val="55617C9C"/>
    <w:rsid w:val="557515F9"/>
    <w:rsid w:val="5590674A"/>
    <w:rsid w:val="55973F76"/>
    <w:rsid w:val="559847EA"/>
    <w:rsid w:val="55986D51"/>
    <w:rsid w:val="55A226A9"/>
    <w:rsid w:val="55C90663"/>
    <w:rsid w:val="55CC187B"/>
    <w:rsid w:val="55CF389E"/>
    <w:rsid w:val="55D42624"/>
    <w:rsid w:val="55D50633"/>
    <w:rsid w:val="55F01AD6"/>
    <w:rsid w:val="56133CA0"/>
    <w:rsid w:val="562B450B"/>
    <w:rsid w:val="5649099B"/>
    <w:rsid w:val="56570EA4"/>
    <w:rsid w:val="56CB77B7"/>
    <w:rsid w:val="56D9628F"/>
    <w:rsid w:val="56DD4ABD"/>
    <w:rsid w:val="5703231E"/>
    <w:rsid w:val="570B14AB"/>
    <w:rsid w:val="570F1C3B"/>
    <w:rsid w:val="57116435"/>
    <w:rsid w:val="57116442"/>
    <w:rsid w:val="57241F96"/>
    <w:rsid w:val="57410163"/>
    <w:rsid w:val="57621796"/>
    <w:rsid w:val="57734C7A"/>
    <w:rsid w:val="578D3493"/>
    <w:rsid w:val="57A203EE"/>
    <w:rsid w:val="57A92F75"/>
    <w:rsid w:val="57AF50DC"/>
    <w:rsid w:val="57D62F8E"/>
    <w:rsid w:val="57EC37F1"/>
    <w:rsid w:val="580C4393"/>
    <w:rsid w:val="581722B7"/>
    <w:rsid w:val="582532BD"/>
    <w:rsid w:val="582C4899"/>
    <w:rsid w:val="58475AAC"/>
    <w:rsid w:val="58484E1B"/>
    <w:rsid w:val="584F535E"/>
    <w:rsid w:val="58531617"/>
    <w:rsid w:val="586A7A45"/>
    <w:rsid w:val="58914C8B"/>
    <w:rsid w:val="58AD5D86"/>
    <w:rsid w:val="58BB7DB2"/>
    <w:rsid w:val="58DB16BE"/>
    <w:rsid w:val="58E3423E"/>
    <w:rsid w:val="58EF3420"/>
    <w:rsid w:val="58F23ED5"/>
    <w:rsid w:val="58F63830"/>
    <w:rsid w:val="58FF4F35"/>
    <w:rsid w:val="590D548F"/>
    <w:rsid w:val="593F652E"/>
    <w:rsid w:val="59425BB4"/>
    <w:rsid w:val="59444892"/>
    <w:rsid w:val="5956205C"/>
    <w:rsid w:val="5966183C"/>
    <w:rsid w:val="596A4681"/>
    <w:rsid w:val="596F34CF"/>
    <w:rsid w:val="597923BE"/>
    <w:rsid w:val="59894CF2"/>
    <w:rsid w:val="599E6CB8"/>
    <w:rsid w:val="59B50DC8"/>
    <w:rsid w:val="59B6312E"/>
    <w:rsid w:val="59D91A25"/>
    <w:rsid w:val="59E031E2"/>
    <w:rsid w:val="5A5B5FB9"/>
    <w:rsid w:val="5A9B3314"/>
    <w:rsid w:val="5A9C3392"/>
    <w:rsid w:val="5AA20BD5"/>
    <w:rsid w:val="5AA81B65"/>
    <w:rsid w:val="5AA9608C"/>
    <w:rsid w:val="5AA974E8"/>
    <w:rsid w:val="5AD0387F"/>
    <w:rsid w:val="5AE3114D"/>
    <w:rsid w:val="5B0E6D8E"/>
    <w:rsid w:val="5B1F4E05"/>
    <w:rsid w:val="5B2E6996"/>
    <w:rsid w:val="5B3A322F"/>
    <w:rsid w:val="5B4D342A"/>
    <w:rsid w:val="5B527306"/>
    <w:rsid w:val="5B6B0DAC"/>
    <w:rsid w:val="5B7E4ABF"/>
    <w:rsid w:val="5B8340E7"/>
    <w:rsid w:val="5B8D0599"/>
    <w:rsid w:val="5B937814"/>
    <w:rsid w:val="5BA627EA"/>
    <w:rsid w:val="5BAA125C"/>
    <w:rsid w:val="5BB02A92"/>
    <w:rsid w:val="5BB90833"/>
    <w:rsid w:val="5BE33D7B"/>
    <w:rsid w:val="5C254E10"/>
    <w:rsid w:val="5C2C164D"/>
    <w:rsid w:val="5C6E79F1"/>
    <w:rsid w:val="5C8657B1"/>
    <w:rsid w:val="5C99681C"/>
    <w:rsid w:val="5C9A2970"/>
    <w:rsid w:val="5CA73484"/>
    <w:rsid w:val="5CB66DDB"/>
    <w:rsid w:val="5CBA6538"/>
    <w:rsid w:val="5CC31F8D"/>
    <w:rsid w:val="5CD20102"/>
    <w:rsid w:val="5CE5499C"/>
    <w:rsid w:val="5CE94A45"/>
    <w:rsid w:val="5CF1002F"/>
    <w:rsid w:val="5D0576D7"/>
    <w:rsid w:val="5D2614DE"/>
    <w:rsid w:val="5D29144B"/>
    <w:rsid w:val="5D6F6A73"/>
    <w:rsid w:val="5D77243C"/>
    <w:rsid w:val="5D8B21E0"/>
    <w:rsid w:val="5D98773E"/>
    <w:rsid w:val="5DD60CDA"/>
    <w:rsid w:val="5DDD1906"/>
    <w:rsid w:val="5DE03E72"/>
    <w:rsid w:val="5DEB495C"/>
    <w:rsid w:val="5DF028B9"/>
    <w:rsid w:val="5DF86CFD"/>
    <w:rsid w:val="5E2F13E4"/>
    <w:rsid w:val="5E363A04"/>
    <w:rsid w:val="5E40417D"/>
    <w:rsid w:val="5E563989"/>
    <w:rsid w:val="5EC546B7"/>
    <w:rsid w:val="5ED521DB"/>
    <w:rsid w:val="5EE01513"/>
    <w:rsid w:val="5EE61050"/>
    <w:rsid w:val="5EEB203B"/>
    <w:rsid w:val="5F2A764C"/>
    <w:rsid w:val="5F515511"/>
    <w:rsid w:val="5F6A656B"/>
    <w:rsid w:val="5FA9036D"/>
    <w:rsid w:val="5FB20CF3"/>
    <w:rsid w:val="5FB67F01"/>
    <w:rsid w:val="5FC10D6A"/>
    <w:rsid w:val="5FC26AE4"/>
    <w:rsid w:val="5FE20A6A"/>
    <w:rsid w:val="5FE80DF1"/>
    <w:rsid w:val="5FED079B"/>
    <w:rsid w:val="5FF92F68"/>
    <w:rsid w:val="5FFD5588"/>
    <w:rsid w:val="60394F33"/>
    <w:rsid w:val="60452FC1"/>
    <w:rsid w:val="6073497C"/>
    <w:rsid w:val="607A028C"/>
    <w:rsid w:val="6082700E"/>
    <w:rsid w:val="60950DEF"/>
    <w:rsid w:val="60A52378"/>
    <w:rsid w:val="60B04F27"/>
    <w:rsid w:val="60B44F93"/>
    <w:rsid w:val="610846D5"/>
    <w:rsid w:val="61225D48"/>
    <w:rsid w:val="613F3856"/>
    <w:rsid w:val="61605B8F"/>
    <w:rsid w:val="616D4E2E"/>
    <w:rsid w:val="61904268"/>
    <w:rsid w:val="61922827"/>
    <w:rsid w:val="61936D23"/>
    <w:rsid w:val="61985AAE"/>
    <w:rsid w:val="619B21A0"/>
    <w:rsid w:val="61A13DA0"/>
    <w:rsid w:val="61B93668"/>
    <w:rsid w:val="61C22AA0"/>
    <w:rsid w:val="61C95215"/>
    <w:rsid w:val="61CF4043"/>
    <w:rsid w:val="61DD792E"/>
    <w:rsid w:val="6208572A"/>
    <w:rsid w:val="620863D2"/>
    <w:rsid w:val="6216182C"/>
    <w:rsid w:val="62385463"/>
    <w:rsid w:val="62441639"/>
    <w:rsid w:val="6254479A"/>
    <w:rsid w:val="626058BD"/>
    <w:rsid w:val="628506F0"/>
    <w:rsid w:val="628B2E01"/>
    <w:rsid w:val="628F429A"/>
    <w:rsid w:val="629B3822"/>
    <w:rsid w:val="62CD0ABA"/>
    <w:rsid w:val="62CE031D"/>
    <w:rsid w:val="62D70238"/>
    <w:rsid w:val="62D96C8E"/>
    <w:rsid w:val="62E021CD"/>
    <w:rsid w:val="62EE4C22"/>
    <w:rsid w:val="630727B4"/>
    <w:rsid w:val="63322AD8"/>
    <w:rsid w:val="634E5810"/>
    <w:rsid w:val="63547BF5"/>
    <w:rsid w:val="636310DD"/>
    <w:rsid w:val="639F006F"/>
    <w:rsid w:val="63A81226"/>
    <w:rsid w:val="63C9193F"/>
    <w:rsid w:val="63D4019D"/>
    <w:rsid w:val="640B2E77"/>
    <w:rsid w:val="640F6F35"/>
    <w:rsid w:val="64435772"/>
    <w:rsid w:val="644F07B4"/>
    <w:rsid w:val="64586308"/>
    <w:rsid w:val="645936E5"/>
    <w:rsid w:val="645C1D15"/>
    <w:rsid w:val="648D4158"/>
    <w:rsid w:val="64B27DFB"/>
    <w:rsid w:val="65077B9F"/>
    <w:rsid w:val="650A079C"/>
    <w:rsid w:val="65477048"/>
    <w:rsid w:val="65540667"/>
    <w:rsid w:val="65A71C0C"/>
    <w:rsid w:val="65C03DA7"/>
    <w:rsid w:val="65E5355A"/>
    <w:rsid w:val="65EC4891"/>
    <w:rsid w:val="65FC6895"/>
    <w:rsid w:val="661A6245"/>
    <w:rsid w:val="66375BAC"/>
    <w:rsid w:val="667450F6"/>
    <w:rsid w:val="66825834"/>
    <w:rsid w:val="66887143"/>
    <w:rsid w:val="668C6B93"/>
    <w:rsid w:val="66B9175F"/>
    <w:rsid w:val="66CD2C1E"/>
    <w:rsid w:val="66D00DA7"/>
    <w:rsid w:val="66D530B1"/>
    <w:rsid w:val="66D5492B"/>
    <w:rsid w:val="66FA7477"/>
    <w:rsid w:val="67141452"/>
    <w:rsid w:val="673C65F0"/>
    <w:rsid w:val="674A3D4F"/>
    <w:rsid w:val="675C28E9"/>
    <w:rsid w:val="67813F94"/>
    <w:rsid w:val="67851192"/>
    <w:rsid w:val="6785763F"/>
    <w:rsid w:val="679006E0"/>
    <w:rsid w:val="67A57DE8"/>
    <w:rsid w:val="67B3696E"/>
    <w:rsid w:val="67C42BAB"/>
    <w:rsid w:val="67E62440"/>
    <w:rsid w:val="67EA4091"/>
    <w:rsid w:val="68161329"/>
    <w:rsid w:val="682D009F"/>
    <w:rsid w:val="685518C7"/>
    <w:rsid w:val="6864772D"/>
    <w:rsid w:val="68792AA5"/>
    <w:rsid w:val="689815F3"/>
    <w:rsid w:val="689C36F4"/>
    <w:rsid w:val="68A10C6B"/>
    <w:rsid w:val="68BA431C"/>
    <w:rsid w:val="68BC6A3B"/>
    <w:rsid w:val="68ED336A"/>
    <w:rsid w:val="68F44C86"/>
    <w:rsid w:val="68F60398"/>
    <w:rsid w:val="69016182"/>
    <w:rsid w:val="69080291"/>
    <w:rsid w:val="690E5955"/>
    <w:rsid w:val="692E34C1"/>
    <w:rsid w:val="693C4706"/>
    <w:rsid w:val="696C2AB3"/>
    <w:rsid w:val="69784F94"/>
    <w:rsid w:val="69DF31F0"/>
    <w:rsid w:val="6A024AA0"/>
    <w:rsid w:val="6A117CBE"/>
    <w:rsid w:val="6A121AD7"/>
    <w:rsid w:val="6A33101B"/>
    <w:rsid w:val="6A3C248C"/>
    <w:rsid w:val="6A3E5AA2"/>
    <w:rsid w:val="6A562B93"/>
    <w:rsid w:val="6A5B56DA"/>
    <w:rsid w:val="6A5C6F6A"/>
    <w:rsid w:val="6A69692A"/>
    <w:rsid w:val="6A6F5797"/>
    <w:rsid w:val="6A786A31"/>
    <w:rsid w:val="6A790A14"/>
    <w:rsid w:val="6A9D69B2"/>
    <w:rsid w:val="6ABA024E"/>
    <w:rsid w:val="6ABF2813"/>
    <w:rsid w:val="6AC06DC9"/>
    <w:rsid w:val="6AD23B35"/>
    <w:rsid w:val="6AE663EC"/>
    <w:rsid w:val="6AF777AB"/>
    <w:rsid w:val="6AFD0583"/>
    <w:rsid w:val="6B031118"/>
    <w:rsid w:val="6B767770"/>
    <w:rsid w:val="6B7A1E64"/>
    <w:rsid w:val="6B8863CE"/>
    <w:rsid w:val="6B903B2F"/>
    <w:rsid w:val="6B945BED"/>
    <w:rsid w:val="6B9876E6"/>
    <w:rsid w:val="6BA046A2"/>
    <w:rsid w:val="6BA120B2"/>
    <w:rsid w:val="6BA41B56"/>
    <w:rsid w:val="6BB83070"/>
    <w:rsid w:val="6BCE11DE"/>
    <w:rsid w:val="6BF95A52"/>
    <w:rsid w:val="6C1B364D"/>
    <w:rsid w:val="6C3226C6"/>
    <w:rsid w:val="6C3C45DB"/>
    <w:rsid w:val="6C545FF5"/>
    <w:rsid w:val="6C591BE2"/>
    <w:rsid w:val="6C5C605D"/>
    <w:rsid w:val="6C5F0204"/>
    <w:rsid w:val="6C810CBD"/>
    <w:rsid w:val="6C884E04"/>
    <w:rsid w:val="6C8E33BA"/>
    <w:rsid w:val="6C97063E"/>
    <w:rsid w:val="6CFB5670"/>
    <w:rsid w:val="6D0D3BD2"/>
    <w:rsid w:val="6D0D6E0E"/>
    <w:rsid w:val="6D2469C1"/>
    <w:rsid w:val="6D3832E9"/>
    <w:rsid w:val="6D417909"/>
    <w:rsid w:val="6D554232"/>
    <w:rsid w:val="6D566EA8"/>
    <w:rsid w:val="6D5A3E94"/>
    <w:rsid w:val="6D78023B"/>
    <w:rsid w:val="6D9125F5"/>
    <w:rsid w:val="6DAA2BCB"/>
    <w:rsid w:val="6DB5581A"/>
    <w:rsid w:val="6E0A3479"/>
    <w:rsid w:val="6E0A4A26"/>
    <w:rsid w:val="6E435FD6"/>
    <w:rsid w:val="6E5A4385"/>
    <w:rsid w:val="6E5E1B6C"/>
    <w:rsid w:val="6EC0578E"/>
    <w:rsid w:val="6EEB20A1"/>
    <w:rsid w:val="6EEF71D1"/>
    <w:rsid w:val="6EF04F82"/>
    <w:rsid w:val="6EF434A1"/>
    <w:rsid w:val="6EF94503"/>
    <w:rsid w:val="6F021A16"/>
    <w:rsid w:val="6F1A326F"/>
    <w:rsid w:val="6F1C75CB"/>
    <w:rsid w:val="6F1D40CE"/>
    <w:rsid w:val="6F2C3334"/>
    <w:rsid w:val="6F316DE9"/>
    <w:rsid w:val="6F5D7B07"/>
    <w:rsid w:val="6F614969"/>
    <w:rsid w:val="6F657B8A"/>
    <w:rsid w:val="6F672528"/>
    <w:rsid w:val="6F9F6D88"/>
    <w:rsid w:val="6FAB5331"/>
    <w:rsid w:val="6FC30139"/>
    <w:rsid w:val="7024780C"/>
    <w:rsid w:val="702B2A8C"/>
    <w:rsid w:val="70465CB0"/>
    <w:rsid w:val="7051517A"/>
    <w:rsid w:val="706E60C1"/>
    <w:rsid w:val="709A7CFC"/>
    <w:rsid w:val="70A647A4"/>
    <w:rsid w:val="70D06E5D"/>
    <w:rsid w:val="70D85BD1"/>
    <w:rsid w:val="70E530BD"/>
    <w:rsid w:val="712A63AD"/>
    <w:rsid w:val="715B338A"/>
    <w:rsid w:val="71695F18"/>
    <w:rsid w:val="716A7ADC"/>
    <w:rsid w:val="71741900"/>
    <w:rsid w:val="71A53A05"/>
    <w:rsid w:val="71B5724A"/>
    <w:rsid w:val="71DE2E53"/>
    <w:rsid w:val="71EF19DB"/>
    <w:rsid w:val="71F17CFF"/>
    <w:rsid w:val="71F936E3"/>
    <w:rsid w:val="721721D6"/>
    <w:rsid w:val="721F39FF"/>
    <w:rsid w:val="72273522"/>
    <w:rsid w:val="722D616B"/>
    <w:rsid w:val="72396872"/>
    <w:rsid w:val="725A20D9"/>
    <w:rsid w:val="72692DCE"/>
    <w:rsid w:val="729D66B5"/>
    <w:rsid w:val="729E121E"/>
    <w:rsid w:val="72A719B3"/>
    <w:rsid w:val="72E016E3"/>
    <w:rsid w:val="72E23A7A"/>
    <w:rsid w:val="72F6179B"/>
    <w:rsid w:val="730D7A91"/>
    <w:rsid w:val="73273E64"/>
    <w:rsid w:val="732F263D"/>
    <w:rsid w:val="73311EFE"/>
    <w:rsid w:val="73350B7A"/>
    <w:rsid w:val="73597768"/>
    <w:rsid w:val="736B145F"/>
    <w:rsid w:val="738003CA"/>
    <w:rsid w:val="7397029E"/>
    <w:rsid w:val="739F2CB4"/>
    <w:rsid w:val="73A16EF0"/>
    <w:rsid w:val="73A90A3E"/>
    <w:rsid w:val="73C56EED"/>
    <w:rsid w:val="73C720DE"/>
    <w:rsid w:val="74115412"/>
    <w:rsid w:val="74154F66"/>
    <w:rsid w:val="74180D50"/>
    <w:rsid w:val="741E3A74"/>
    <w:rsid w:val="74541798"/>
    <w:rsid w:val="74621479"/>
    <w:rsid w:val="74631CC8"/>
    <w:rsid w:val="74650390"/>
    <w:rsid w:val="747626A2"/>
    <w:rsid w:val="749E63DE"/>
    <w:rsid w:val="74A719F5"/>
    <w:rsid w:val="74AA4DDC"/>
    <w:rsid w:val="74AD065D"/>
    <w:rsid w:val="74CD34AF"/>
    <w:rsid w:val="74D50216"/>
    <w:rsid w:val="74F047ED"/>
    <w:rsid w:val="75025FC9"/>
    <w:rsid w:val="751537BA"/>
    <w:rsid w:val="752221AF"/>
    <w:rsid w:val="75570E62"/>
    <w:rsid w:val="7565064E"/>
    <w:rsid w:val="75692AF3"/>
    <w:rsid w:val="758D4AB4"/>
    <w:rsid w:val="75B80DD9"/>
    <w:rsid w:val="75C15B85"/>
    <w:rsid w:val="75D12961"/>
    <w:rsid w:val="76104C9F"/>
    <w:rsid w:val="762C558E"/>
    <w:rsid w:val="765941C5"/>
    <w:rsid w:val="7681285B"/>
    <w:rsid w:val="76994B7E"/>
    <w:rsid w:val="769D4688"/>
    <w:rsid w:val="76DF2050"/>
    <w:rsid w:val="770D045A"/>
    <w:rsid w:val="770D588E"/>
    <w:rsid w:val="773B6CD4"/>
    <w:rsid w:val="773C10A6"/>
    <w:rsid w:val="77410F02"/>
    <w:rsid w:val="77554C1F"/>
    <w:rsid w:val="77565298"/>
    <w:rsid w:val="776A271D"/>
    <w:rsid w:val="77B24EE6"/>
    <w:rsid w:val="77B75398"/>
    <w:rsid w:val="77BE53B0"/>
    <w:rsid w:val="77CF3EA1"/>
    <w:rsid w:val="77DE4E5F"/>
    <w:rsid w:val="77E30949"/>
    <w:rsid w:val="77EF1C0D"/>
    <w:rsid w:val="77F16A53"/>
    <w:rsid w:val="780E4B72"/>
    <w:rsid w:val="783525A0"/>
    <w:rsid w:val="786F12BD"/>
    <w:rsid w:val="786F1AA9"/>
    <w:rsid w:val="7872551D"/>
    <w:rsid w:val="788F5610"/>
    <w:rsid w:val="78A27E07"/>
    <w:rsid w:val="78A43B6E"/>
    <w:rsid w:val="78B86EE8"/>
    <w:rsid w:val="7920071D"/>
    <w:rsid w:val="79496BCF"/>
    <w:rsid w:val="79AA7B9F"/>
    <w:rsid w:val="79B54E80"/>
    <w:rsid w:val="79B56BC5"/>
    <w:rsid w:val="79C52BC7"/>
    <w:rsid w:val="79C747F6"/>
    <w:rsid w:val="79F651C0"/>
    <w:rsid w:val="79FE3538"/>
    <w:rsid w:val="7A1055FE"/>
    <w:rsid w:val="7A36659D"/>
    <w:rsid w:val="7A42564B"/>
    <w:rsid w:val="7A6027C1"/>
    <w:rsid w:val="7A854A12"/>
    <w:rsid w:val="7A91692E"/>
    <w:rsid w:val="7A974CB7"/>
    <w:rsid w:val="7AAE0169"/>
    <w:rsid w:val="7AB17144"/>
    <w:rsid w:val="7AB22E39"/>
    <w:rsid w:val="7AB95054"/>
    <w:rsid w:val="7AFE236E"/>
    <w:rsid w:val="7B0D4FA4"/>
    <w:rsid w:val="7B1C756C"/>
    <w:rsid w:val="7B237820"/>
    <w:rsid w:val="7B3F19E8"/>
    <w:rsid w:val="7B443CE2"/>
    <w:rsid w:val="7B4F4186"/>
    <w:rsid w:val="7B797BCC"/>
    <w:rsid w:val="7B7A60FC"/>
    <w:rsid w:val="7B845DFF"/>
    <w:rsid w:val="7B863B58"/>
    <w:rsid w:val="7B8E5B55"/>
    <w:rsid w:val="7B974622"/>
    <w:rsid w:val="7B9B1BFD"/>
    <w:rsid w:val="7BA23C69"/>
    <w:rsid w:val="7BD54D59"/>
    <w:rsid w:val="7BD91009"/>
    <w:rsid w:val="7BEC6276"/>
    <w:rsid w:val="7BFE5FB0"/>
    <w:rsid w:val="7C066FFD"/>
    <w:rsid w:val="7C1F52BA"/>
    <w:rsid w:val="7C2D34B0"/>
    <w:rsid w:val="7C3C1587"/>
    <w:rsid w:val="7C3E7288"/>
    <w:rsid w:val="7C4526B8"/>
    <w:rsid w:val="7C5256D3"/>
    <w:rsid w:val="7C5F1C81"/>
    <w:rsid w:val="7C6B3F7A"/>
    <w:rsid w:val="7C890363"/>
    <w:rsid w:val="7C933301"/>
    <w:rsid w:val="7C9E3A22"/>
    <w:rsid w:val="7CA52AE4"/>
    <w:rsid w:val="7CA57EE0"/>
    <w:rsid w:val="7CB9674B"/>
    <w:rsid w:val="7CCC0395"/>
    <w:rsid w:val="7D113025"/>
    <w:rsid w:val="7D4E72F0"/>
    <w:rsid w:val="7D796E55"/>
    <w:rsid w:val="7D8D5CCD"/>
    <w:rsid w:val="7D9F7405"/>
    <w:rsid w:val="7DBC2BC2"/>
    <w:rsid w:val="7DC06BA8"/>
    <w:rsid w:val="7DD15417"/>
    <w:rsid w:val="7DD9108A"/>
    <w:rsid w:val="7DED1691"/>
    <w:rsid w:val="7E077F4A"/>
    <w:rsid w:val="7E3C2998"/>
    <w:rsid w:val="7E662EAD"/>
    <w:rsid w:val="7E6A1864"/>
    <w:rsid w:val="7E7C7076"/>
    <w:rsid w:val="7E8E555A"/>
    <w:rsid w:val="7E9219F9"/>
    <w:rsid w:val="7E9624EF"/>
    <w:rsid w:val="7E9A7EF9"/>
    <w:rsid w:val="7EA11A69"/>
    <w:rsid w:val="7EA8542B"/>
    <w:rsid w:val="7EAB3BA8"/>
    <w:rsid w:val="7EB659C2"/>
    <w:rsid w:val="7EC14C30"/>
    <w:rsid w:val="7ECA4792"/>
    <w:rsid w:val="7ED6533B"/>
    <w:rsid w:val="7EED7E65"/>
    <w:rsid w:val="7EF87B3E"/>
    <w:rsid w:val="7F043E0F"/>
    <w:rsid w:val="7F054B2E"/>
    <w:rsid w:val="7F2F7F0A"/>
    <w:rsid w:val="7F52348C"/>
    <w:rsid w:val="7F534C95"/>
    <w:rsid w:val="7F76177B"/>
    <w:rsid w:val="7F854F22"/>
    <w:rsid w:val="7F8B50D5"/>
    <w:rsid w:val="7F917007"/>
    <w:rsid w:val="7F924DA0"/>
    <w:rsid w:val="7FAA1A0F"/>
    <w:rsid w:val="7FB23D6E"/>
    <w:rsid w:val="7FB727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1"/>
    <w:qFormat/>
    <w:uiPriority w:val="9"/>
    <w:pPr>
      <w:keepNext/>
      <w:keepLines/>
      <w:spacing w:before="340" w:after="330" w:line="576" w:lineRule="auto"/>
      <w:outlineLvl w:val="0"/>
    </w:pPr>
    <w:rPr>
      <w:b/>
      <w:bCs/>
      <w:kern w:val="44"/>
      <w:sz w:val="44"/>
      <w:szCs w:val="44"/>
    </w:rPr>
  </w:style>
  <w:style w:type="paragraph" w:styleId="3">
    <w:name w:val="heading 2"/>
    <w:basedOn w:val="1"/>
    <w:next w:val="1"/>
    <w:link w:val="72"/>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link w:val="73"/>
    <w:qFormat/>
    <w:uiPriority w:val="0"/>
    <w:pPr>
      <w:keepNext/>
      <w:keepLines/>
      <w:spacing w:before="260" w:after="260" w:line="413" w:lineRule="auto"/>
      <w:outlineLvl w:val="2"/>
    </w:pPr>
    <w:rPr>
      <w:b/>
      <w:bCs/>
      <w:sz w:val="32"/>
      <w:szCs w:val="32"/>
    </w:rPr>
  </w:style>
  <w:style w:type="paragraph" w:styleId="5">
    <w:name w:val="heading 4"/>
    <w:basedOn w:val="1"/>
    <w:next w:val="1"/>
    <w:link w:val="74"/>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6">
    <w:name w:val="heading 5"/>
    <w:basedOn w:val="1"/>
    <w:next w:val="7"/>
    <w:link w:val="75"/>
    <w:qFormat/>
    <w:uiPriority w:val="0"/>
    <w:pPr>
      <w:keepNext/>
      <w:keepLines/>
      <w:spacing w:before="280" w:after="290" w:line="372" w:lineRule="auto"/>
      <w:outlineLvl w:val="4"/>
    </w:pPr>
    <w:rPr>
      <w:b/>
      <w:sz w:val="28"/>
    </w:rPr>
  </w:style>
  <w:style w:type="paragraph" w:styleId="8">
    <w:name w:val="heading 6"/>
    <w:basedOn w:val="1"/>
    <w:next w:val="7"/>
    <w:link w:val="76"/>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7"/>
    <w:link w:val="77"/>
    <w:qFormat/>
    <w:uiPriority w:val="0"/>
    <w:pPr>
      <w:keepNext/>
      <w:keepLines/>
      <w:spacing w:before="240" w:after="64" w:line="317" w:lineRule="auto"/>
      <w:outlineLvl w:val="6"/>
    </w:pPr>
    <w:rPr>
      <w:b/>
      <w:sz w:val="24"/>
    </w:rPr>
  </w:style>
  <w:style w:type="paragraph" w:styleId="10">
    <w:name w:val="heading 8"/>
    <w:basedOn w:val="1"/>
    <w:next w:val="7"/>
    <w:link w:val="78"/>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7"/>
    <w:link w:val="79"/>
    <w:qFormat/>
    <w:uiPriority w:val="0"/>
    <w:pPr>
      <w:keepNext/>
      <w:keepLines/>
      <w:spacing w:before="240" w:after="64" w:line="317" w:lineRule="auto"/>
      <w:outlineLvl w:val="8"/>
    </w:pPr>
    <w:rPr>
      <w:rFonts w:ascii="Arial" w:hAnsi="Arial" w:eastAsia="黑体"/>
    </w:rPr>
  </w:style>
  <w:style w:type="character" w:default="1" w:styleId="56">
    <w:name w:val="Default Paragraph Font"/>
    <w:semiHidden/>
    <w:unhideWhenUsed/>
    <w:qFormat/>
    <w:uiPriority w:val="1"/>
  </w:style>
  <w:style w:type="table" w:default="1" w:styleId="54">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4">
    <w:name w:val="index 8"/>
    <w:basedOn w:val="1"/>
    <w:next w:val="1"/>
    <w:qFormat/>
    <w:uiPriority w:val="0"/>
    <w:pPr>
      <w:ind w:left="1400" w:leftChars="1400"/>
    </w:pPr>
  </w:style>
  <w:style w:type="paragraph" w:styleId="15">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6">
    <w:name w:val="caption"/>
    <w:basedOn w:val="1"/>
    <w:next w:val="1"/>
    <w:qFormat/>
    <w:uiPriority w:val="0"/>
    <w:pPr>
      <w:spacing w:before="152" w:after="160"/>
    </w:pPr>
    <w:rPr>
      <w:rFonts w:ascii="Arial" w:hAnsi="Arial" w:eastAsia="黑体" w:cs="Arial"/>
      <w:sz w:val="20"/>
      <w:szCs w:val="20"/>
    </w:rPr>
  </w:style>
  <w:style w:type="paragraph" w:styleId="17">
    <w:name w:val="Document Map"/>
    <w:basedOn w:val="1"/>
    <w:link w:val="80"/>
    <w:qFormat/>
    <w:uiPriority w:val="0"/>
    <w:pPr>
      <w:shd w:val="clear" w:color="auto" w:fill="000080"/>
      <w:adjustRightInd w:val="0"/>
      <w:spacing w:line="312" w:lineRule="atLeast"/>
      <w:textAlignment w:val="baseline"/>
    </w:pPr>
    <w:rPr>
      <w:kern w:val="0"/>
      <w:szCs w:val="20"/>
    </w:rPr>
  </w:style>
  <w:style w:type="paragraph" w:styleId="18">
    <w:name w:val="toa heading"/>
    <w:basedOn w:val="1"/>
    <w:next w:val="1"/>
    <w:qFormat/>
    <w:uiPriority w:val="99"/>
    <w:pPr>
      <w:spacing w:before="120"/>
    </w:pPr>
    <w:rPr>
      <w:rFonts w:ascii="Cambria" w:hAnsi="Cambria" w:cs="宋体"/>
      <w:sz w:val="24"/>
    </w:rPr>
  </w:style>
  <w:style w:type="paragraph" w:styleId="19">
    <w:name w:val="annotation text"/>
    <w:basedOn w:val="1"/>
    <w:link w:val="81"/>
    <w:qFormat/>
    <w:uiPriority w:val="0"/>
    <w:pPr>
      <w:jc w:val="left"/>
    </w:pPr>
  </w:style>
  <w:style w:type="paragraph" w:styleId="20">
    <w:name w:val="Body Text 3"/>
    <w:basedOn w:val="1"/>
    <w:link w:val="82"/>
    <w:qFormat/>
    <w:uiPriority w:val="0"/>
    <w:pPr>
      <w:spacing w:line="500" w:lineRule="exact"/>
    </w:pPr>
    <w:rPr>
      <w:b/>
      <w:bCs/>
      <w:sz w:val="24"/>
    </w:rPr>
  </w:style>
  <w:style w:type="paragraph" w:styleId="21">
    <w:name w:val="Body Text"/>
    <w:basedOn w:val="1"/>
    <w:next w:val="22"/>
    <w:link w:val="83"/>
    <w:qFormat/>
    <w:uiPriority w:val="99"/>
    <w:pPr>
      <w:spacing w:line="380" w:lineRule="exact"/>
    </w:pPr>
    <w:rPr>
      <w:sz w:val="24"/>
    </w:rPr>
  </w:style>
  <w:style w:type="paragraph" w:styleId="22">
    <w:name w:val="Title"/>
    <w:basedOn w:val="1"/>
    <w:next w:val="1"/>
    <w:link w:val="94"/>
    <w:qFormat/>
    <w:uiPriority w:val="0"/>
    <w:pPr>
      <w:jc w:val="center"/>
    </w:pPr>
    <w:rPr>
      <w:sz w:val="30"/>
    </w:rPr>
  </w:style>
  <w:style w:type="paragraph" w:styleId="23">
    <w:name w:val="Body Text Indent"/>
    <w:basedOn w:val="1"/>
    <w:next w:val="24"/>
    <w:link w:val="84"/>
    <w:qFormat/>
    <w:uiPriority w:val="99"/>
    <w:pPr>
      <w:ind w:firstLine="830" w:firstLineChars="352"/>
    </w:pPr>
    <w:rPr>
      <w:rFonts w:ascii="仿宋_GB2312" w:eastAsia="仿宋_GB2312"/>
      <w:sz w:val="32"/>
      <w:szCs w:val="20"/>
    </w:rPr>
  </w:style>
  <w:style w:type="paragraph" w:styleId="24">
    <w:name w:val="Body Text First Indent 2"/>
    <w:basedOn w:val="23"/>
    <w:next w:val="1"/>
    <w:link w:val="97"/>
    <w:qFormat/>
    <w:uiPriority w:val="0"/>
    <w:pPr>
      <w:spacing w:after="120"/>
      <w:ind w:left="420" w:leftChars="200" w:firstLine="420" w:firstLineChars="200"/>
    </w:pPr>
  </w:style>
  <w:style w:type="paragraph" w:styleId="25">
    <w:name w:val="List Number 3"/>
    <w:basedOn w:val="1"/>
    <w:qFormat/>
    <w:uiPriority w:val="0"/>
    <w:pPr>
      <w:tabs>
        <w:tab w:val="left" w:pos="1200"/>
      </w:tabs>
      <w:ind w:left="1200" w:leftChars="400" w:hanging="360" w:hangingChars="200"/>
    </w:pPr>
  </w:style>
  <w:style w:type="paragraph" w:styleId="26">
    <w:name w:val="List 2"/>
    <w:basedOn w:val="1"/>
    <w:qFormat/>
    <w:uiPriority w:val="0"/>
    <w:pPr>
      <w:ind w:left="100" w:leftChars="200" w:hanging="200" w:hangingChars="200"/>
    </w:pPr>
    <w:rPr>
      <w:sz w:val="28"/>
    </w:rPr>
  </w:style>
  <w:style w:type="paragraph" w:styleId="27">
    <w:name w:val="Block Text"/>
    <w:basedOn w:val="1"/>
    <w:qFormat/>
    <w:uiPriority w:val="0"/>
    <w:pPr>
      <w:adjustRightInd w:val="0"/>
      <w:ind w:left="420" w:right="33"/>
      <w:jc w:val="left"/>
      <w:textAlignment w:val="baseline"/>
    </w:pPr>
    <w:rPr>
      <w:kern w:val="0"/>
      <w:sz w:val="24"/>
      <w:szCs w:val="20"/>
    </w:rPr>
  </w:style>
  <w:style w:type="paragraph" w:styleId="28">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9">
    <w:name w:val="toc 3"/>
    <w:basedOn w:val="1"/>
    <w:next w:val="1"/>
    <w:qFormat/>
    <w:uiPriority w:val="39"/>
    <w:pPr>
      <w:ind w:left="840" w:leftChars="400"/>
    </w:pPr>
  </w:style>
  <w:style w:type="paragraph" w:styleId="30">
    <w:name w:val="Plain Text"/>
    <w:basedOn w:val="1"/>
    <w:next w:val="14"/>
    <w:link w:val="85"/>
    <w:qFormat/>
    <w:uiPriority w:val="99"/>
    <w:rPr>
      <w:rFonts w:ascii="宋体" w:hAnsi="Courier New" w:cs="Courier New"/>
      <w:szCs w:val="21"/>
    </w:rPr>
  </w:style>
  <w:style w:type="paragraph" w:styleId="31">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32">
    <w:name w:val="Date"/>
    <w:basedOn w:val="1"/>
    <w:next w:val="1"/>
    <w:link w:val="86"/>
    <w:qFormat/>
    <w:uiPriority w:val="0"/>
    <w:pPr>
      <w:ind w:left="100" w:leftChars="2500"/>
    </w:pPr>
    <w:rPr>
      <w:rFonts w:ascii="宋体" w:hAnsi="Courier New"/>
      <w:szCs w:val="21"/>
    </w:rPr>
  </w:style>
  <w:style w:type="paragraph" w:styleId="33">
    <w:name w:val="Body Text Indent 2"/>
    <w:basedOn w:val="1"/>
    <w:link w:val="87"/>
    <w:qFormat/>
    <w:uiPriority w:val="0"/>
    <w:pPr>
      <w:ind w:firstLine="630"/>
    </w:pPr>
    <w:rPr>
      <w:sz w:val="32"/>
      <w:szCs w:val="20"/>
    </w:rPr>
  </w:style>
  <w:style w:type="paragraph" w:styleId="34">
    <w:name w:val="Balloon Text"/>
    <w:basedOn w:val="1"/>
    <w:link w:val="88"/>
    <w:qFormat/>
    <w:uiPriority w:val="0"/>
    <w:rPr>
      <w:sz w:val="18"/>
      <w:szCs w:val="18"/>
    </w:rPr>
  </w:style>
  <w:style w:type="paragraph" w:styleId="35">
    <w:name w:val="footer"/>
    <w:basedOn w:val="1"/>
    <w:link w:val="89"/>
    <w:qFormat/>
    <w:uiPriority w:val="0"/>
    <w:pPr>
      <w:tabs>
        <w:tab w:val="center" w:pos="4153"/>
        <w:tab w:val="right" w:pos="8306"/>
      </w:tabs>
      <w:snapToGrid w:val="0"/>
      <w:jc w:val="left"/>
    </w:pPr>
    <w:rPr>
      <w:sz w:val="18"/>
      <w:szCs w:val="18"/>
    </w:rPr>
  </w:style>
  <w:style w:type="paragraph" w:styleId="36">
    <w:name w:val="header"/>
    <w:basedOn w:val="1"/>
    <w:link w:val="90"/>
    <w:qFormat/>
    <w:uiPriority w:val="99"/>
    <w:pPr>
      <w:pBdr>
        <w:bottom w:val="single" w:color="auto" w:sz="6" w:space="1"/>
      </w:pBdr>
      <w:tabs>
        <w:tab w:val="center" w:pos="4153"/>
        <w:tab w:val="right" w:pos="8306"/>
      </w:tabs>
      <w:snapToGrid w:val="0"/>
      <w:jc w:val="center"/>
    </w:pPr>
    <w:rPr>
      <w:sz w:val="18"/>
      <w:szCs w:val="18"/>
    </w:rPr>
  </w:style>
  <w:style w:type="paragraph" w:styleId="37">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8">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9">
    <w:name w:val="Subtitle"/>
    <w:basedOn w:val="1"/>
    <w:next w:val="1"/>
    <w:qFormat/>
    <w:uiPriority w:val="0"/>
    <w:pPr>
      <w:spacing w:before="240" w:after="60" w:line="312" w:lineRule="auto"/>
      <w:jc w:val="left"/>
      <w:outlineLvl w:val="1"/>
    </w:pPr>
    <w:rPr>
      <w:rFonts w:ascii="等线 Light" w:hAnsi="等线 Light" w:eastAsia="仿宋" w:cs="Times New Roman"/>
      <w:b/>
      <w:bCs/>
      <w:kern w:val="28"/>
      <w:sz w:val="36"/>
      <w:szCs w:val="32"/>
    </w:rPr>
  </w:style>
  <w:style w:type="paragraph" w:styleId="40">
    <w:name w:val="List"/>
    <w:basedOn w:val="1"/>
    <w:qFormat/>
    <w:uiPriority w:val="0"/>
    <w:pPr>
      <w:ind w:left="200" w:hanging="200" w:hangingChars="200"/>
    </w:pPr>
    <w:rPr>
      <w:sz w:val="28"/>
    </w:rPr>
  </w:style>
  <w:style w:type="paragraph" w:styleId="41">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42">
    <w:name w:val="List 5"/>
    <w:basedOn w:val="1"/>
    <w:qFormat/>
    <w:uiPriority w:val="0"/>
    <w:pPr>
      <w:ind w:left="2100" w:hanging="420"/>
    </w:pPr>
    <w:rPr>
      <w:szCs w:val="20"/>
    </w:rPr>
  </w:style>
  <w:style w:type="paragraph" w:styleId="43">
    <w:name w:val="Body Text Indent 3"/>
    <w:basedOn w:val="1"/>
    <w:link w:val="91"/>
    <w:qFormat/>
    <w:uiPriority w:val="0"/>
    <w:pPr>
      <w:spacing w:after="120"/>
      <w:ind w:left="420" w:leftChars="200"/>
    </w:pPr>
    <w:rPr>
      <w:sz w:val="16"/>
      <w:szCs w:val="16"/>
    </w:rPr>
  </w:style>
  <w:style w:type="paragraph" w:styleId="44">
    <w:name w:val="toc 2"/>
    <w:basedOn w:val="1"/>
    <w:next w:val="1"/>
    <w:qFormat/>
    <w:uiPriority w:val="39"/>
    <w:pPr>
      <w:ind w:left="420" w:leftChars="200"/>
    </w:pPr>
  </w:style>
  <w:style w:type="paragraph" w:styleId="45">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6">
    <w:name w:val="Body Text 2"/>
    <w:basedOn w:val="1"/>
    <w:link w:val="92"/>
    <w:qFormat/>
    <w:uiPriority w:val="0"/>
    <w:pPr>
      <w:spacing w:after="120" w:line="480" w:lineRule="auto"/>
    </w:pPr>
  </w:style>
  <w:style w:type="paragraph" w:styleId="47">
    <w:name w:val="List 4"/>
    <w:basedOn w:val="1"/>
    <w:qFormat/>
    <w:uiPriority w:val="0"/>
    <w:pPr>
      <w:ind w:left="100" w:leftChars="600" w:hanging="200" w:hangingChars="200"/>
    </w:pPr>
  </w:style>
  <w:style w:type="paragraph" w:styleId="48">
    <w:name w:val="List Continue 2"/>
    <w:basedOn w:val="1"/>
    <w:qFormat/>
    <w:uiPriority w:val="0"/>
    <w:pPr>
      <w:spacing w:after="120"/>
      <w:ind w:left="840" w:leftChars="400"/>
    </w:pPr>
  </w:style>
  <w:style w:type="paragraph" w:styleId="49">
    <w:name w:val="HTML Preformatted"/>
    <w:basedOn w:val="1"/>
    <w:link w:val="9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50">
    <w:name w:val="Normal (Web)"/>
    <w:basedOn w:val="1"/>
    <w:qFormat/>
    <w:uiPriority w:val="99"/>
    <w:pPr>
      <w:widowControl/>
      <w:spacing w:before="100" w:beforeAutospacing="1" w:after="100" w:afterAutospacing="1"/>
      <w:jc w:val="left"/>
    </w:pPr>
    <w:rPr>
      <w:rFonts w:ascii="宋体" w:hAnsi="宋体"/>
      <w:kern w:val="0"/>
      <w:sz w:val="24"/>
    </w:rPr>
  </w:style>
  <w:style w:type="paragraph" w:styleId="51">
    <w:name w:val="index 1"/>
    <w:basedOn w:val="1"/>
    <w:next w:val="1"/>
    <w:qFormat/>
    <w:uiPriority w:val="0"/>
    <w:pPr>
      <w:spacing w:line="400" w:lineRule="exact"/>
      <w:ind w:firstLine="420" w:firstLineChars="200"/>
    </w:pPr>
    <w:rPr>
      <w:rFonts w:ascii="宋体" w:hAnsi="Courier New"/>
      <w:b/>
      <w:szCs w:val="20"/>
    </w:rPr>
  </w:style>
  <w:style w:type="paragraph" w:styleId="52">
    <w:name w:val="annotation subject"/>
    <w:basedOn w:val="19"/>
    <w:next w:val="19"/>
    <w:link w:val="95"/>
    <w:qFormat/>
    <w:uiPriority w:val="0"/>
    <w:rPr>
      <w:b/>
      <w:bCs/>
    </w:rPr>
  </w:style>
  <w:style w:type="paragraph" w:styleId="53">
    <w:name w:val="Body Text First Indent"/>
    <w:basedOn w:val="21"/>
    <w:link w:val="96"/>
    <w:qFormat/>
    <w:uiPriority w:val="0"/>
    <w:pPr>
      <w:spacing w:after="120" w:line="240" w:lineRule="auto"/>
      <w:ind w:firstLine="420" w:firstLineChars="100"/>
    </w:pPr>
    <w:rPr>
      <w:sz w:val="21"/>
    </w:rPr>
  </w:style>
  <w:style w:type="table" w:styleId="55">
    <w:name w:val="Table Grid"/>
    <w:basedOn w:val="5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7">
    <w:name w:val="Strong"/>
    <w:basedOn w:val="56"/>
    <w:qFormat/>
    <w:uiPriority w:val="22"/>
    <w:rPr>
      <w:b/>
      <w:bCs/>
    </w:rPr>
  </w:style>
  <w:style w:type="character" w:styleId="58">
    <w:name w:val="page number"/>
    <w:qFormat/>
    <w:uiPriority w:val="0"/>
  </w:style>
  <w:style w:type="character" w:styleId="59">
    <w:name w:val="FollowedHyperlink"/>
    <w:qFormat/>
    <w:uiPriority w:val="99"/>
    <w:rPr>
      <w:color w:val="333333"/>
      <w:u w:val="none"/>
    </w:rPr>
  </w:style>
  <w:style w:type="character" w:styleId="60">
    <w:name w:val="Emphasis"/>
    <w:qFormat/>
    <w:uiPriority w:val="0"/>
    <w:rPr>
      <w:color w:val="CC0000"/>
    </w:rPr>
  </w:style>
  <w:style w:type="character" w:styleId="61">
    <w:name w:val="HTML Definition"/>
    <w:qFormat/>
    <w:uiPriority w:val="0"/>
    <w:rPr>
      <w:i/>
    </w:rPr>
  </w:style>
  <w:style w:type="character" w:styleId="62">
    <w:name w:val="Hyperlink"/>
    <w:qFormat/>
    <w:uiPriority w:val="99"/>
    <w:rPr>
      <w:color w:val="333333"/>
      <w:u w:val="none"/>
    </w:rPr>
  </w:style>
  <w:style w:type="character" w:styleId="63">
    <w:name w:val="HTML Code"/>
    <w:qFormat/>
    <w:uiPriority w:val="0"/>
    <w:rPr>
      <w:rFonts w:hint="default" w:ascii="Consolas" w:hAnsi="Consolas" w:eastAsia="Consolas" w:cs="Consolas"/>
      <w:sz w:val="21"/>
      <w:szCs w:val="21"/>
    </w:rPr>
  </w:style>
  <w:style w:type="character" w:styleId="64">
    <w:name w:val="annotation reference"/>
    <w:qFormat/>
    <w:uiPriority w:val="0"/>
    <w:rPr>
      <w:sz w:val="21"/>
      <w:szCs w:val="21"/>
    </w:rPr>
  </w:style>
  <w:style w:type="character" w:styleId="65">
    <w:name w:val="HTML Cite"/>
    <w:qFormat/>
    <w:uiPriority w:val="0"/>
    <w:rPr>
      <w:color w:val="008000"/>
    </w:rPr>
  </w:style>
  <w:style w:type="character" w:styleId="66">
    <w:name w:val="HTML Keyboard"/>
    <w:qFormat/>
    <w:uiPriority w:val="0"/>
    <w:rPr>
      <w:rFonts w:hint="default" w:ascii="Consolas" w:hAnsi="Consolas" w:eastAsia="Consolas" w:cs="Consolas"/>
      <w:sz w:val="21"/>
      <w:szCs w:val="21"/>
    </w:rPr>
  </w:style>
  <w:style w:type="character" w:styleId="67">
    <w:name w:val="HTML Sample"/>
    <w:qFormat/>
    <w:uiPriority w:val="0"/>
    <w:rPr>
      <w:rFonts w:ascii="Consolas" w:hAnsi="Consolas" w:eastAsia="Consolas" w:cs="Consolas"/>
      <w:sz w:val="21"/>
      <w:szCs w:val="21"/>
    </w:rPr>
  </w:style>
  <w:style w:type="paragraph" w:customStyle="1" w:styleId="68">
    <w:name w:val="Default"/>
    <w:basedOn w:val="22"/>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9">
    <w:name w:val="首行缩进"/>
    <w:basedOn w:val="1"/>
    <w:qFormat/>
    <w:uiPriority w:val="0"/>
    <w:pPr>
      <w:spacing w:line="360" w:lineRule="auto"/>
      <w:ind w:left="210" w:leftChars="100" w:firstLine="420" w:firstLineChars="200"/>
    </w:pPr>
    <w:rPr>
      <w:rFonts w:ascii="宋体" w:hAnsi="宋体"/>
    </w:rPr>
  </w:style>
  <w:style w:type="paragraph" w:customStyle="1" w:styleId="70">
    <w:name w:val="表格文字"/>
    <w:basedOn w:val="1"/>
    <w:qFormat/>
    <w:uiPriority w:val="0"/>
    <w:pPr>
      <w:spacing w:before="25" w:after="25"/>
      <w:jc w:val="left"/>
    </w:pPr>
    <w:rPr>
      <w:bCs/>
      <w:spacing w:val="10"/>
      <w:kern w:val="0"/>
      <w:sz w:val="24"/>
    </w:rPr>
  </w:style>
  <w:style w:type="character" w:customStyle="1" w:styleId="71">
    <w:name w:val="标题 1 字符1"/>
    <w:link w:val="2"/>
    <w:qFormat/>
    <w:uiPriority w:val="9"/>
    <w:rPr>
      <w:rFonts w:eastAsia="宋体"/>
      <w:b/>
      <w:bCs/>
      <w:kern w:val="44"/>
      <w:sz w:val="44"/>
      <w:szCs w:val="44"/>
      <w:lang w:val="en-US" w:eastAsia="zh-CN" w:bidi="ar-SA"/>
    </w:rPr>
  </w:style>
  <w:style w:type="character" w:customStyle="1" w:styleId="72">
    <w:name w:val="标题 2 字符1"/>
    <w:link w:val="3"/>
    <w:qFormat/>
    <w:uiPriority w:val="0"/>
    <w:rPr>
      <w:rFonts w:ascii="Arial" w:hAnsi="Arial" w:eastAsia="黑体"/>
      <w:b/>
      <w:bCs/>
      <w:kern w:val="2"/>
      <w:sz w:val="32"/>
      <w:szCs w:val="32"/>
    </w:rPr>
  </w:style>
  <w:style w:type="character" w:customStyle="1" w:styleId="73">
    <w:name w:val="标题 3 字符1"/>
    <w:link w:val="4"/>
    <w:qFormat/>
    <w:uiPriority w:val="0"/>
    <w:rPr>
      <w:b/>
      <w:bCs/>
      <w:kern w:val="2"/>
      <w:sz w:val="32"/>
      <w:szCs w:val="32"/>
    </w:rPr>
  </w:style>
  <w:style w:type="character" w:customStyle="1" w:styleId="74">
    <w:name w:val="标题 4 字符1"/>
    <w:link w:val="5"/>
    <w:qFormat/>
    <w:uiPriority w:val="0"/>
    <w:rPr>
      <w:rFonts w:ascii="Arial" w:hAnsi="Arial" w:eastAsia="黑体"/>
      <w:sz w:val="28"/>
    </w:rPr>
  </w:style>
  <w:style w:type="character" w:customStyle="1" w:styleId="75">
    <w:name w:val="标题 5 字符1"/>
    <w:link w:val="6"/>
    <w:qFormat/>
    <w:uiPriority w:val="0"/>
    <w:rPr>
      <w:b/>
      <w:kern w:val="2"/>
      <w:sz w:val="28"/>
      <w:szCs w:val="24"/>
    </w:rPr>
  </w:style>
  <w:style w:type="character" w:customStyle="1" w:styleId="76">
    <w:name w:val="标题 6 字符1"/>
    <w:link w:val="8"/>
    <w:qFormat/>
    <w:uiPriority w:val="0"/>
    <w:rPr>
      <w:rFonts w:ascii="Arial" w:hAnsi="Arial" w:eastAsia="黑体"/>
      <w:b/>
      <w:kern w:val="2"/>
      <w:sz w:val="24"/>
      <w:szCs w:val="24"/>
    </w:rPr>
  </w:style>
  <w:style w:type="character" w:customStyle="1" w:styleId="77">
    <w:name w:val="标题 7 字符1"/>
    <w:link w:val="9"/>
    <w:qFormat/>
    <w:uiPriority w:val="0"/>
    <w:rPr>
      <w:b/>
      <w:kern w:val="2"/>
      <w:sz w:val="24"/>
      <w:szCs w:val="24"/>
    </w:rPr>
  </w:style>
  <w:style w:type="character" w:customStyle="1" w:styleId="78">
    <w:name w:val="标题 8 字符1"/>
    <w:link w:val="10"/>
    <w:qFormat/>
    <w:uiPriority w:val="0"/>
    <w:rPr>
      <w:rFonts w:ascii="Arial" w:hAnsi="Arial" w:eastAsia="黑体"/>
      <w:kern w:val="2"/>
      <w:sz w:val="24"/>
      <w:szCs w:val="24"/>
    </w:rPr>
  </w:style>
  <w:style w:type="character" w:customStyle="1" w:styleId="79">
    <w:name w:val="标题 9 字符1"/>
    <w:link w:val="11"/>
    <w:qFormat/>
    <w:uiPriority w:val="0"/>
    <w:rPr>
      <w:rFonts w:ascii="Arial" w:hAnsi="Arial" w:eastAsia="黑体"/>
      <w:kern w:val="2"/>
      <w:sz w:val="21"/>
      <w:szCs w:val="24"/>
    </w:rPr>
  </w:style>
  <w:style w:type="character" w:customStyle="1" w:styleId="80">
    <w:name w:val="文档结构图 字符1"/>
    <w:link w:val="17"/>
    <w:qFormat/>
    <w:uiPriority w:val="0"/>
    <w:rPr>
      <w:sz w:val="21"/>
      <w:shd w:val="clear" w:color="auto" w:fill="000080"/>
    </w:rPr>
  </w:style>
  <w:style w:type="character" w:customStyle="1" w:styleId="81">
    <w:name w:val="批注文字 字符2"/>
    <w:link w:val="19"/>
    <w:qFormat/>
    <w:uiPriority w:val="0"/>
    <w:rPr>
      <w:kern w:val="2"/>
      <w:sz w:val="21"/>
      <w:szCs w:val="24"/>
    </w:rPr>
  </w:style>
  <w:style w:type="character" w:customStyle="1" w:styleId="82">
    <w:name w:val="正文文本 3 字符1"/>
    <w:link w:val="20"/>
    <w:qFormat/>
    <w:uiPriority w:val="0"/>
    <w:rPr>
      <w:b/>
      <w:bCs/>
      <w:kern w:val="2"/>
      <w:sz w:val="24"/>
      <w:szCs w:val="24"/>
    </w:rPr>
  </w:style>
  <w:style w:type="character" w:customStyle="1" w:styleId="83">
    <w:name w:val="正文文本 字符1"/>
    <w:link w:val="21"/>
    <w:qFormat/>
    <w:uiPriority w:val="99"/>
    <w:rPr>
      <w:kern w:val="2"/>
      <w:sz w:val="24"/>
      <w:szCs w:val="24"/>
    </w:rPr>
  </w:style>
  <w:style w:type="character" w:customStyle="1" w:styleId="84">
    <w:name w:val="正文文本缩进 字符1"/>
    <w:link w:val="23"/>
    <w:qFormat/>
    <w:uiPriority w:val="99"/>
    <w:rPr>
      <w:rFonts w:ascii="仿宋_GB2312" w:eastAsia="仿宋_GB2312"/>
      <w:kern w:val="2"/>
      <w:sz w:val="32"/>
    </w:rPr>
  </w:style>
  <w:style w:type="character" w:customStyle="1" w:styleId="85">
    <w:name w:val="纯文本 字符1"/>
    <w:link w:val="30"/>
    <w:qFormat/>
    <w:uiPriority w:val="99"/>
    <w:rPr>
      <w:rFonts w:ascii="宋体" w:hAnsi="Courier New" w:eastAsia="宋体" w:cs="Courier New"/>
      <w:kern w:val="2"/>
      <w:sz w:val="21"/>
      <w:szCs w:val="21"/>
      <w:lang w:val="en-US" w:eastAsia="zh-CN" w:bidi="ar-SA"/>
    </w:rPr>
  </w:style>
  <w:style w:type="character" w:customStyle="1" w:styleId="86">
    <w:name w:val="日期 字符1"/>
    <w:link w:val="32"/>
    <w:qFormat/>
    <w:uiPriority w:val="0"/>
    <w:rPr>
      <w:rFonts w:ascii="宋体" w:hAnsi="Courier New" w:cs="Courier New"/>
      <w:kern w:val="2"/>
      <w:sz w:val="21"/>
      <w:szCs w:val="21"/>
    </w:rPr>
  </w:style>
  <w:style w:type="character" w:customStyle="1" w:styleId="87">
    <w:name w:val="正文文本缩进 2 字符1"/>
    <w:link w:val="33"/>
    <w:qFormat/>
    <w:uiPriority w:val="0"/>
    <w:rPr>
      <w:kern w:val="2"/>
      <w:sz w:val="32"/>
    </w:rPr>
  </w:style>
  <w:style w:type="character" w:customStyle="1" w:styleId="88">
    <w:name w:val="批注框文本 字符1"/>
    <w:link w:val="34"/>
    <w:qFormat/>
    <w:uiPriority w:val="0"/>
    <w:rPr>
      <w:kern w:val="2"/>
      <w:sz w:val="18"/>
      <w:szCs w:val="18"/>
    </w:rPr>
  </w:style>
  <w:style w:type="character" w:customStyle="1" w:styleId="89">
    <w:name w:val="页脚 字符1"/>
    <w:link w:val="35"/>
    <w:qFormat/>
    <w:uiPriority w:val="0"/>
    <w:rPr>
      <w:kern w:val="2"/>
      <w:sz w:val="18"/>
      <w:szCs w:val="18"/>
    </w:rPr>
  </w:style>
  <w:style w:type="character" w:customStyle="1" w:styleId="90">
    <w:name w:val="页眉 字符1"/>
    <w:link w:val="36"/>
    <w:qFormat/>
    <w:uiPriority w:val="99"/>
    <w:rPr>
      <w:kern w:val="2"/>
      <w:sz w:val="18"/>
      <w:szCs w:val="18"/>
    </w:rPr>
  </w:style>
  <w:style w:type="character" w:customStyle="1" w:styleId="91">
    <w:name w:val="正文文本缩进 3 字符1"/>
    <w:link w:val="43"/>
    <w:qFormat/>
    <w:uiPriority w:val="0"/>
    <w:rPr>
      <w:kern w:val="2"/>
      <w:sz w:val="16"/>
      <w:szCs w:val="16"/>
    </w:rPr>
  </w:style>
  <w:style w:type="character" w:customStyle="1" w:styleId="92">
    <w:name w:val="正文文本 2 字符1"/>
    <w:link w:val="46"/>
    <w:qFormat/>
    <w:uiPriority w:val="0"/>
    <w:rPr>
      <w:kern w:val="2"/>
      <w:sz w:val="21"/>
      <w:szCs w:val="24"/>
    </w:rPr>
  </w:style>
  <w:style w:type="character" w:customStyle="1" w:styleId="93">
    <w:name w:val="HTML 预设格式 字符1"/>
    <w:link w:val="49"/>
    <w:qFormat/>
    <w:uiPriority w:val="0"/>
    <w:rPr>
      <w:rFonts w:ascii="黑体" w:hAnsi="Courier New" w:eastAsia="黑体" w:cs="Courier New"/>
    </w:rPr>
  </w:style>
  <w:style w:type="character" w:customStyle="1" w:styleId="94">
    <w:name w:val="标题 字符1"/>
    <w:link w:val="22"/>
    <w:qFormat/>
    <w:uiPriority w:val="0"/>
    <w:rPr>
      <w:kern w:val="2"/>
      <w:sz w:val="30"/>
      <w:szCs w:val="24"/>
    </w:rPr>
  </w:style>
  <w:style w:type="character" w:customStyle="1" w:styleId="95">
    <w:name w:val="批注主题 字符1"/>
    <w:link w:val="52"/>
    <w:qFormat/>
    <w:uiPriority w:val="0"/>
    <w:rPr>
      <w:b/>
      <w:bCs/>
      <w:kern w:val="2"/>
      <w:sz w:val="21"/>
      <w:szCs w:val="24"/>
    </w:rPr>
  </w:style>
  <w:style w:type="character" w:customStyle="1" w:styleId="96">
    <w:name w:val="正文文本首行缩进 字符1"/>
    <w:link w:val="53"/>
    <w:qFormat/>
    <w:uiPriority w:val="0"/>
    <w:rPr>
      <w:kern w:val="2"/>
      <w:sz w:val="21"/>
      <w:szCs w:val="24"/>
    </w:rPr>
  </w:style>
  <w:style w:type="character" w:customStyle="1" w:styleId="97">
    <w:name w:val="正文文本首行缩进 2 字符1"/>
    <w:link w:val="24"/>
    <w:qFormat/>
    <w:uiPriority w:val="0"/>
    <w:rPr>
      <w:kern w:val="2"/>
      <w:sz w:val="21"/>
      <w:szCs w:val="24"/>
    </w:rPr>
  </w:style>
  <w:style w:type="character" w:customStyle="1" w:styleId="98">
    <w:name w:val="current"/>
    <w:qFormat/>
    <w:uiPriority w:val="0"/>
    <w:rPr>
      <w:color w:val="00C1DE"/>
    </w:rPr>
  </w:style>
  <w:style w:type="character" w:customStyle="1" w:styleId="99">
    <w:name w:val="info-label"/>
    <w:qFormat/>
    <w:uiPriority w:val="0"/>
    <w:rPr>
      <w:b/>
    </w:rPr>
  </w:style>
  <w:style w:type="character" w:customStyle="1" w:styleId="100">
    <w:name w:val="正文文本缩进 字符"/>
    <w:semiHidden/>
    <w:qFormat/>
    <w:uiPriority w:val="99"/>
    <w:rPr>
      <w:kern w:val="2"/>
      <w:sz w:val="21"/>
      <w:szCs w:val="24"/>
    </w:rPr>
  </w:style>
  <w:style w:type="character" w:customStyle="1" w:styleId="101">
    <w:name w:val="first-child"/>
    <w:qFormat/>
    <w:uiPriority w:val="0"/>
  </w:style>
  <w:style w:type="character" w:customStyle="1" w:styleId="102">
    <w:name w:val="current1"/>
    <w:qFormat/>
    <w:uiPriority w:val="0"/>
    <w:rPr>
      <w:color w:val="00C1DE"/>
    </w:rPr>
  </w:style>
  <w:style w:type="character" w:customStyle="1" w:styleId="103">
    <w:name w:val="标题 字符"/>
    <w:qFormat/>
    <w:uiPriority w:val="10"/>
    <w:rPr>
      <w:rFonts w:ascii="等线 Light" w:hAnsi="等线 Light" w:eastAsia="等线 Light" w:cs="Times New Roman"/>
      <w:b/>
      <w:bCs/>
      <w:kern w:val="2"/>
      <w:sz w:val="32"/>
      <w:szCs w:val="32"/>
    </w:rPr>
  </w:style>
  <w:style w:type="character" w:customStyle="1" w:styleId="104">
    <w:name w:val="页眉 字符"/>
    <w:semiHidden/>
    <w:qFormat/>
    <w:uiPriority w:val="99"/>
    <w:rPr>
      <w:kern w:val="2"/>
      <w:sz w:val="18"/>
      <w:szCs w:val="18"/>
    </w:rPr>
  </w:style>
  <w:style w:type="character" w:customStyle="1" w:styleId="105">
    <w:name w:val="纯文本 字符"/>
    <w:semiHidden/>
    <w:qFormat/>
    <w:uiPriority w:val="99"/>
    <w:rPr>
      <w:rFonts w:ascii="等线" w:hAnsi="Courier New" w:eastAsia="等线" w:cs="Courier New"/>
      <w:kern w:val="2"/>
      <w:sz w:val="21"/>
      <w:szCs w:val="24"/>
    </w:rPr>
  </w:style>
  <w:style w:type="character" w:customStyle="1" w:styleId="106">
    <w:name w:val="fd"/>
    <w:qFormat/>
    <w:uiPriority w:val="0"/>
  </w:style>
  <w:style w:type="character" w:customStyle="1" w:styleId="107">
    <w:name w:val="正文文本首行缩进 2 字符"/>
    <w:semiHidden/>
    <w:qFormat/>
    <w:uiPriority w:val="99"/>
  </w:style>
  <w:style w:type="character" w:customStyle="1" w:styleId="108">
    <w:name w:val="正文文本 3 字符"/>
    <w:semiHidden/>
    <w:qFormat/>
    <w:uiPriority w:val="99"/>
    <w:rPr>
      <w:kern w:val="2"/>
      <w:sz w:val="16"/>
      <w:szCs w:val="16"/>
    </w:rPr>
  </w:style>
  <w:style w:type="character" w:customStyle="1" w:styleId="109">
    <w:name w:val="content2"/>
    <w:qFormat/>
    <w:uiPriority w:val="0"/>
  </w:style>
  <w:style w:type="character" w:customStyle="1" w:styleId="110">
    <w:name w:val="short_text1"/>
    <w:qFormat/>
    <w:uiPriority w:val="0"/>
    <w:rPr>
      <w:sz w:val="26"/>
    </w:rPr>
  </w:style>
  <w:style w:type="character" w:customStyle="1" w:styleId="111">
    <w:name w:val="标题3 Char"/>
    <w:link w:val="112"/>
    <w:qFormat/>
    <w:uiPriority w:val="0"/>
    <w:rPr>
      <w:rFonts w:ascii="宋体" w:hAnsi="宋体"/>
      <w:b/>
      <w:bCs/>
      <w:kern w:val="44"/>
      <w:sz w:val="24"/>
      <w:szCs w:val="24"/>
    </w:rPr>
  </w:style>
  <w:style w:type="paragraph" w:customStyle="1" w:styleId="112">
    <w:name w:val="标题3"/>
    <w:basedOn w:val="2"/>
    <w:link w:val="111"/>
    <w:qFormat/>
    <w:uiPriority w:val="0"/>
    <w:pPr>
      <w:spacing w:before="0" w:beforeLines="50" w:after="0" w:afterLines="50" w:line="400" w:lineRule="exact"/>
    </w:pPr>
    <w:rPr>
      <w:rFonts w:ascii="宋体" w:hAnsi="宋体"/>
      <w:sz w:val="24"/>
      <w:szCs w:val="24"/>
    </w:rPr>
  </w:style>
  <w:style w:type="character" w:customStyle="1" w:styleId="113">
    <w:name w:val="temp"/>
    <w:qFormat/>
    <w:uiPriority w:val="0"/>
  </w:style>
  <w:style w:type="character" w:customStyle="1" w:styleId="114">
    <w:name w:val="ant-select-tree-iconele"/>
    <w:qFormat/>
    <w:uiPriority w:val="0"/>
  </w:style>
  <w:style w:type="character" w:customStyle="1" w:styleId="115">
    <w:name w:val="正文文本缩进 2 字符"/>
    <w:semiHidden/>
    <w:qFormat/>
    <w:uiPriority w:val="99"/>
    <w:rPr>
      <w:kern w:val="2"/>
      <w:sz w:val="21"/>
      <w:szCs w:val="24"/>
    </w:rPr>
  </w:style>
  <w:style w:type="character" w:customStyle="1" w:styleId="116">
    <w:name w:val="label2"/>
    <w:qFormat/>
    <w:uiPriority w:val="0"/>
  </w:style>
  <w:style w:type="character" w:customStyle="1" w:styleId="117">
    <w:name w:val="ant-tree-iconele"/>
    <w:qFormat/>
    <w:uiPriority w:val="0"/>
  </w:style>
  <w:style w:type="character" w:customStyle="1" w:styleId="118">
    <w:name w:val="info-content"/>
    <w:qFormat/>
    <w:uiPriority w:val="0"/>
    <w:rPr>
      <w:color w:val="808080"/>
    </w:rPr>
  </w:style>
  <w:style w:type="character" w:customStyle="1" w:styleId="119">
    <w:name w:val="ant-tree-checkbox2"/>
    <w:qFormat/>
    <w:uiPriority w:val="0"/>
  </w:style>
  <w:style w:type="character" w:customStyle="1" w:styleId="120">
    <w:name w:val="c-icon13"/>
    <w:qFormat/>
    <w:uiPriority w:val="0"/>
  </w:style>
  <w:style w:type="character" w:customStyle="1" w:styleId="121">
    <w:name w:val="纯文本 Char1"/>
    <w:qFormat/>
    <w:uiPriority w:val="0"/>
    <w:rPr>
      <w:rFonts w:ascii="宋体" w:hAnsi="Courier New" w:eastAsia="宋体" w:cs="Courier New"/>
      <w:kern w:val="2"/>
      <w:sz w:val="21"/>
      <w:szCs w:val="21"/>
      <w:lang w:val="en-US" w:eastAsia="zh-CN" w:bidi="ar-SA"/>
    </w:rPr>
  </w:style>
  <w:style w:type="character" w:customStyle="1" w:styleId="122">
    <w:name w:val="批注文字 字符1"/>
    <w:qFormat/>
    <w:uiPriority w:val="0"/>
    <w:rPr>
      <w:kern w:val="2"/>
      <w:sz w:val="21"/>
      <w:szCs w:val="24"/>
    </w:rPr>
  </w:style>
  <w:style w:type="character" w:customStyle="1" w:styleId="123">
    <w:name w:val="标题 3 字符"/>
    <w:semiHidden/>
    <w:qFormat/>
    <w:uiPriority w:val="9"/>
    <w:rPr>
      <w:b/>
      <w:bCs/>
      <w:kern w:val="2"/>
      <w:sz w:val="32"/>
      <w:szCs w:val="32"/>
    </w:rPr>
  </w:style>
  <w:style w:type="character" w:customStyle="1" w:styleId="124">
    <w:name w:val="标题 5 字符"/>
    <w:semiHidden/>
    <w:qFormat/>
    <w:uiPriority w:val="9"/>
    <w:rPr>
      <w:b/>
      <w:bCs/>
      <w:kern w:val="2"/>
      <w:sz w:val="28"/>
      <w:szCs w:val="28"/>
    </w:rPr>
  </w:style>
  <w:style w:type="character" w:customStyle="1" w:styleId="125">
    <w:name w:val="标题 7 字符"/>
    <w:semiHidden/>
    <w:qFormat/>
    <w:uiPriority w:val="9"/>
    <w:rPr>
      <w:b/>
      <w:bCs/>
      <w:kern w:val="2"/>
      <w:sz w:val="24"/>
      <w:szCs w:val="24"/>
    </w:rPr>
  </w:style>
  <w:style w:type="character" w:customStyle="1" w:styleId="126">
    <w:name w:val="temp2"/>
    <w:qFormat/>
    <w:uiPriority w:val="0"/>
  </w:style>
  <w:style w:type="character" w:customStyle="1" w:styleId="127">
    <w:name w:val="font01"/>
    <w:qFormat/>
    <w:uiPriority w:val="0"/>
    <w:rPr>
      <w:rFonts w:hint="eastAsia" w:ascii="宋体" w:hAnsi="宋体" w:eastAsia="宋体"/>
      <w:color w:val="000000"/>
      <w:sz w:val="22"/>
      <w:szCs w:val="22"/>
      <w:u w:val="none"/>
    </w:rPr>
  </w:style>
  <w:style w:type="character" w:customStyle="1" w:styleId="128">
    <w:name w:val="1051"/>
    <w:qFormat/>
    <w:uiPriority w:val="0"/>
    <w:rPr>
      <w:sz w:val="21"/>
      <w:szCs w:val="21"/>
    </w:rPr>
  </w:style>
  <w:style w:type="character" w:customStyle="1" w:styleId="129">
    <w:name w:val="NormalCharacter"/>
    <w:qFormat/>
    <w:uiPriority w:val="0"/>
    <w:rPr>
      <w:rFonts w:ascii="Calibri" w:hAnsi="Calibri" w:eastAsia="宋体"/>
    </w:rPr>
  </w:style>
  <w:style w:type="character" w:customStyle="1" w:styleId="130">
    <w:name w:val="标题 6 字符"/>
    <w:semiHidden/>
    <w:qFormat/>
    <w:uiPriority w:val="9"/>
    <w:rPr>
      <w:rFonts w:ascii="等线 Light" w:hAnsi="等线 Light" w:eastAsia="等线 Light" w:cs="Times New Roman"/>
      <w:b/>
      <w:bCs/>
      <w:kern w:val="2"/>
      <w:sz w:val="24"/>
      <w:szCs w:val="24"/>
    </w:rPr>
  </w:style>
  <w:style w:type="character" w:customStyle="1" w:styleId="131">
    <w:name w:val="正文文本首行缩进 字符"/>
    <w:semiHidden/>
    <w:qFormat/>
    <w:uiPriority w:val="99"/>
  </w:style>
  <w:style w:type="character" w:customStyle="1" w:styleId="132">
    <w:name w:val="gray12"/>
    <w:qFormat/>
    <w:uiPriority w:val="0"/>
  </w:style>
  <w:style w:type="character" w:customStyle="1" w:styleId="133">
    <w:name w:val="标题 4 字符"/>
    <w:semiHidden/>
    <w:qFormat/>
    <w:uiPriority w:val="9"/>
    <w:rPr>
      <w:rFonts w:ascii="等线 Light" w:hAnsi="等线 Light" w:eastAsia="等线 Light" w:cs="Times New Roman"/>
      <w:b/>
      <w:bCs/>
      <w:kern w:val="2"/>
      <w:sz w:val="28"/>
      <w:szCs w:val="28"/>
    </w:rPr>
  </w:style>
  <w:style w:type="character" w:customStyle="1" w:styleId="134">
    <w:name w:val="062"/>
    <w:qFormat/>
    <w:uiPriority w:val="0"/>
    <w:rPr>
      <w:rFonts w:ascii="宋体" w:hAnsi="宋体"/>
      <w:b/>
      <w:bCs/>
      <w:sz w:val="32"/>
    </w:rPr>
  </w:style>
  <w:style w:type="character" w:customStyle="1" w:styleId="135">
    <w:name w:val="all-fit-info2"/>
    <w:qFormat/>
    <w:uiPriority w:val="0"/>
    <w:rPr>
      <w:color w:val="939393"/>
    </w:rPr>
  </w:style>
  <w:style w:type="character" w:customStyle="1" w:styleId="136">
    <w:name w:val="last-child6"/>
    <w:qFormat/>
    <w:uiPriority w:val="0"/>
  </w:style>
  <w:style w:type="character" w:customStyle="1" w:styleId="137">
    <w:name w:val="all-fit-info"/>
    <w:qFormat/>
    <w:uiPriority w:val="0"/>
    <w:rPr>
      <w:color w:val="939393"/>
    </w:rPr>
  </w:style>
  <w:style w:type="character" w:customStyle="1" w:styleId="138">
    <w:name w:val="style11"/>
    <w:qFormat/>
    <w:uiPriority w:val="0"/>
    <w:rPr>
      <w:rFonts w:hint="default" w:ascii="Arial" w:hAnsi="Arial" w:cs="Arial"/>
    </w:rPr>
  </w:style>
  <w:style w:type="character" w:customStyle="1" w:styleId="139">
    <w:name w:val="ant-select-tree-switcher"/>
    <w:qFormat/>
    <w:uiPriority w:val="0"/>
  </w:style>
  <w:style w:type="character" w:customStyle="1" w:styleId="140">
    <w:name w:val="正文文本 字符"/>
    <w:semiHidden/>
    <w:qFormat/>
    <w:uiPriority w:val="99"/>
    <w:rPr>
      <w:kern w:val="2"/>
      <w:sz w:val="21"/>
      <w:szCs w:val="24"/>
    </w:rPr>
  </w:style>
  <w:style w:type="character" w:customStyle="1" w:styleId="141">
    <w:name w:val="mark8"/>
    <w:qFormat/>
    <w:uiPriority w:val="0"/>
    <w:rPr>
      <w:b/>
      <w:bCs/>
      <w:sz w:val="21"/>
      <w:szCs w:val="21"/>
    </w:rPr>
  </w:style>
  <w:style w:type="character" w:customStyle="1" w:styleId="142">
    <w:name w:val="content"/>
    <w:qFormat/>
    <w:uiPriority w:val="0"/>
  </w:style>
  <w:style w:type="character" w:customStyle="1" w:styleId="143">
    <w:name w:val="unnamed3"/>
    <w:qFormat/>
    <w:uiPriority w:val="0"/>
  </w:style>
  <w:style w:type="character" w:customStyle="1" w:styleId="144">
    <w:name w:val="z-窗体顶端 字符1"/>
    <w:link w:val="145"/>
    <w:qFormat/>
    <w:uiPriority w:val="0"/>
    <w:rPr>
      <w:rFonts w:ascii="Arial"/>
      <w:vanish/>
      <w:kern w:val="2"/>
      <w:sz w:val="16"/>
      <w:szCs w:val="24"/>
    </w:rPr>
  </w:style>
  <w:style w:type="paragraph" w:customStyle="1" w:styleId="145">
    <w:name w:val="_Style 140"/>
    <w:basedOn w:val="1"/>
    <w:next w:val="1"/>
    <w:link w:val="144"/>
    <w:qFormat/>
    <w:uiPriority w:val="0"/>
    <w:pPr>
      <w:pBdr>
        <w:bottom w:val="single" w:color="auto" w:sz="6" w:space="1"/>
      </w:pBdr>
      <w:jc w:val="center"/>
    </w:pPr>
    <w:rPr>
      <w:rFonts w:ascii="Arial"/>
      <w:vanish/>
      <w:sz w:val="16"/>
    </w:rPr>
  </w:style>
  <w:style w:type="character" w:customStyle="1" w:styleId="146">
    <w:name w:val="tag-type"/>
    <w:qFormat/>
    <w:uiPriority w:val="0"/>
    <w:rPr>
      <w:color w:val="FFFFFF"/>
      <w:sz w:val="18"/>
      <w:szCs w:val="18"/>
      <w:shd w:val="clear" w:color="auto" w:fill="317FFD"/>
    </w:rPr>
  </w:style>
  <w:style w:type="character" w:customStyle="1" w:styleId="147">
    <w:name w:val="z-窗体顶端 字符"/>
    <w:semiHidden/>
    <w:qFormat/>
    <w:uiPriority w:val="99"/>
    <w:rPr>
      <w:rFonts w:ascii="Arial" w:hAnsi="Arial" w:cs="Arial"/>
      <w:vanish/>
      <w:kern w:val="2"/>
      <w:sz w:val="16"/>
      <w:szCs w:val="16"/>
    </w:rPr>
  </w:style>
  <w:style w:type="character" w:customStyle="1" w:styleId="148">
    <w:name w:val="f151"/>
    <w:qFormat/>
    <w:uiPriority w:val="0"/>
    <w:rPr>
      <w:sz w:val="23"/>
      <w:szCs w:val="23"/>
    </w:rPr>
  </w:style>
  <w:style w:type="character" w:customStyle="1" w:styleId="149">
    <w:name w:val="white"/>
    <w:qFormat/>
    <w:uiPriority w:val="0"/>
  </w:style>
  <w:style w:type="character" w:customStyle="1" w:styleId="150">
    <w:name w:val="1ji Char"/>
    <w:link w:val="151"/>
    <w:qFormat/>
    <w:uiPriority w:val="0"/>
    <w:rPr>
      <w:rFonts w:ascii="宋体" w:hAnsi="宋体" w:eastAsia="宋体"/>
      <w:b/>
      <w:bCs/>
      <w:kern w:val="44"/>
      <w:sz w:val="36"/>
      <w:szCs w:val="44"/>
      <w:lang w:val="en-US" w:eastAsia="zh-CN" w:bidi="ar-SA"/>
    </w:rPr>
  </w:style>
  <w:style w:type="paragraph" w:customStyle="1" w:styleId="151">
    <w:name w:val="1ji"/>
    <w:basedOn w:val="2"/>
    <w:link w:val="150"/>
    <w:qFormat/>
    <w:uiPriority w:val="0"/>
    <w:pPr>
      <w:keepLines w:val="0"/>
      <w:widowControl/>
      <w:spacing w:before="0" w:after="0" w:line="240" w:lineRule="auto"/>
      <w:jc w:val="center"/>
    </w:pPr>
    <w:rPr>
      <w:rFonts w:ascii="宋体" w:hAnsi="宋体"/>
      <w:sz w:val="36"/>
    </w:rPr>
  </w:style>
  <w:style w:type="character" w:customStyle="1" w:styleId="152">
    <w:name w:val="last-child7"/>
    <w:qFormat/>
    <w:uiPriority w:val="0"/>
  </w:style>
  <w:style w:type="character" w:customStyle="1" w:styleId="153">
    <w:name w:val="ant-badge-status-dot"/>
    <w:qFormat/>
    <w:uiPriority w:val="0"/>
    <w:rPr>
      <w:shd w:val="clear" w:color="auto" w:fill="FFFFFF"/>
    </w:rPr>
  </w:style>
  <w:style w:type="character" w:customStyle="1" w:styleId="154">
    <w:name w:val="批注主题 字符"/>
    <w:semiHidden/>
    <w:qFormat/>
    <w:uiPriority w:val="99"/>
    <w:rPr>
      <w:b/>
      <w:bCs/>
      <w:kern w:val="2"/>
      <w:sz w:val="21"/>
      <w:szCs w:val="24"/>
    </w:rPr>
  </w:style>
  <w:style w:type="character" w:customStyle="1" w:styleId="155">
    <w:name w:val="apple-converted-space"/>
    <w:qFormat/>
    <w:uiPriority w:val="0"/>
  </w:style>
  <w:style w:type="character" w:customStyle="1" w:styleId="156">
    <w:name w:val="temp1"/>
    <w:qFormat/>
    <w:uiPriority w:val="0"/>
  </w:style>
  <w:style w:type="character" w:customStyle="1" w:styleId="157">
    <w:name w:val="正文文本 2 字符"/>
    <w:semiHidden/>
    <w:qFormat/>
    <w:uiPriority w:val="99"/>
    <w:rPr>
      <w:kern w:val="2"/>
      <w:sz w:val="21"/>
      <w:szCs w:val="24"/>
    </w:rPr>
  </w:style>
  <w:style w:type="character" w:customStyle="1" w:styleId="158">
    <w:name w:val="标题 1 字符"/>
    <w:qFormat/>
    <w:uiPriority w:val="9"/>
    <w:rPr>
      <w:b/>
      <w:bCs/>
      <w:kern w:val="44"/>
      <w:sz w:val="44"/>
      <w:szCs w:val="44"/>
    </w:rPr>
  </w:style>
  <w:style w:type="character" w:customStyle="1" w:styleId="159">
    <w:name w:val="ant-select-tree-checkbox2"/>
    <w:qFormat/>
    <w:uiPriority w:val="0"/>
  </w:style>
  <w:style w:type="character" w:customStyle="1" w:styleId="160">
    <w:name w:val="正文文本缩进 3 字符"/>
    <w:semiHidden/>
    <w:qFormat/>
    <w:uiPriority w:val="99"/>
    <w:rPr>
      <w:kern w:val="2"/>
      <w:sz w:val="16"/>
      <w:szCs w:val="16"/>
    </w:rPr>
  </w:style>
  <w:style w:type="character" w:customStyle="1" w:styleId="161">
    <w:name w:val="批注文字 字符"/>
    <w:semiHidden/>
    <w:qFormat/>
    <w:uiPriority w:val="99"/>
    <w:rPr>
      <w:kern w:val="2"/>
      <w:sz w:val="21"/>
      <w:szCs w:val="24"/>
    </w:rPr>
  </w:style>
  <w:style w:type="character" w:customStyle="1" w:styleId="162">
    <w:name w:val="graytext1"/>
    <w:qFormat/>
    <w:uiPriority w:val="0"/>
    <w:rPr>
      <w:color w:val="666666"/>
    </w:rPr>
  </w:style>
  <w:style w:type="character" w:customStyle="1" w:styleId="163">
    <w:name w:val="批注框文本 字符"/>
    <w:semiHidden/>
    <w:qFormat/>
    <w:uiPriority w:val="99"/>
    <w:rPr>
      <w:kern w:val="2"/>
      <w:sz w:val="18"/>
      <w:szCs w:val="18"/>
    </w:rPr>
  </w:style>
  <w:style w:type="character" w:customStyle="1" w:styleId="164">
    <w:name w:val="case31"/>
    <w:qFormat/>
    <w:uiPriority w:val="0"/>
    <w:rPr>
      <w:rFonts w:hint="default" w:ascii="_x000B__x000C_" w:hAnsi="_x000B__x000C_"/>
      <w:sz w:val="21"/>
      <w:szCs w:val="21"/>
    </w:rPr>
  </w:style>
  <w:style w:type="character" w:customStyle="1" w:styleId="165">
    <w:name w:val="last-of-type"/>
    <w:qFormat/>
    <w:uiPriority w:val="0"/>
    <w:rPr>
      <w:color w:val="FF4A44"/>
      <w:sz w:val="27"/>
      <w:szCs w:val="27"/>
    </w:rPr>
  </w:style>
  <w:style w:type="character" w:customStyle="1" w:styleId="166">
    <w:name w:val="change-camera-place"/>
    <w:qFormat/>
    <w:uiPriority w:val="0"/>
    <w:rPr>
      <w:color w:val="3177FD"/>
    </w:rPr>
  </w:style>
  <w:style w:type="character" w:customStyle="1" w:styleId="167">
    <w:name w:val="ant-tree-icon_loading"/>
    <w:qFormat/>
    <w:uiPriority w:val="0"/>
    <w:rPr>
      <w:shd w:val="clear" w:color="auto" w:fill="FFFFFF"/>
    </w:rPr>
  </w:style>
  <w:style w:type="character" w:customStyle="1" w:styleId="168">
    <w:name w:val="日期 字符"/>
    <w:semiHidden/>
    <w:qFormat/>
    <w:uiPriority w:val="99"/>
    <w:rPr>
      <w:kern w:val="2"/>
      <w:sz w:val="21"/>
      <w:szCs w:val="24"/>
    </w:rPr>
  </w:style>
  <w:style w:type="character" w:customStyle="1" w:styleId="169">
    <w:name w:val="text11"/>
    <w:qFormat/>
    <w:uiPriority w:val="0"/>
    <w:rPr>
      <w:rFonts w:hint="default" w:ascii="Verdana" w:hAnsi="Verdana"/>
      <w:color w:val="4E4E4E"/>
      <w:sz w:val="18"/>
      <w:szCs w:val="18"/>
    </w:rPr>
  </w:style>
  <w:style w:type="character" w:customStyle="1" w:styleId="170">
    <w:name w:val="style21"/>
    <w:qFormat/>
    <w:uiPriority w:val="0"/>
    <w:rPr>
      <w:sz w:val="17"/>
      <w:szCs w:val="17"/>
    </w:rPr>
  </w:style>
  <w:style w:type="character" w:customStyle="1" w:styleId="171">
    <w:name w:val="HTML 预设格式 字符"/>
    <w:semiHidden/>
    <w:qFormat/>
    <w:uiPriority w:val="99"/>
    <w:rPr>
      <w:rFonts w:ascii="Courier New" w:hAnsi="Courier New" w:cs="Courier New"/>
      <w:kern w:val="2"/>
    </w:rPr>
  </w:style>
  <w:style w:type="character" w:customStyle="1" w:styleId="172">
    <w:name w:val="highlight"/>
    <w:qFormat/>
    <w:uiPriority w:val="0"/>
  </w:style>
  <w:style w:type="character" w:customStyle="1" w:styleId="173">
    <w:name w:val="small"/>
    <w:qFormat/>
    <w:uiPriority w:val="0"/>
  </w:style>
  <w:style w:type="character" w:customStyle="1" w:styleId="174">
    <w:name w:val="all-fit-info1"/>
    <w:qFormat/>
    <w:uiPriority w:val="0"/>
    <w:rPr>
      <w:color w:val="939393"/>
    </w:rPr>
  </w:style>
  <w:style w:type="character" w:customStyle="1" w:styleId="175">
    <w:name w:val="标题 9 字符"/>
    <w:semiHidden/>
    <w:qFormat/>
    <w:uiPriority w:val="9"/>
    <w:rPr>
      <w:rFonts w:ascii="等线 Light" w:hAnsi="等线 Light" w:eastAsia="等线 Light" w:cs="Times New Roman"/>
      <w:kern w:val="2"/>
      <w:sz w:val="21"/>
      <w:szCs w:val="21"/>
    </w:rPr>
  </w:style>
  <w:style w:type="character" w:customStyle="1" w:styleId="176">
    <w:name w:val="tag-type1"/>
    <w:qFormat/>
    <w:uiPriority w:val="0"/>
    <w:rPr>
      <w:color w:val="FFFFFF"/>
      <w:sz w:val="18"/>
      <w:szCs w:val="18"/>
      <w:shd w:val="clear" w:color="auto" w:fill="317FFD"/>
    </w:rPr>
  </w:style>
  <w:style w:type="character" w:customStyle="1" w:styleId="177">
    <w:name w:val="标题 8 字符"/>
    <w:semiHidden/>
    <w:qFormat/>
    <w:uiPriority w:val="9"/>
    <w:rPr>
      <w:rFonts w:ascii="等线 Light" w:hAnsi="等线 Light" w:eastAsia="等线 Light" w:cs="Times New Roman"/>
      <w:kern w:val="2"/>
      <w:sz w:val="24"/>
      <w:szCs w:val="24"/>
    </w:rPr>
  </w:style>
  <w:style w:type="character" w:customStyle="1" w:styleId="178">
    <w:name w:val="页脚 字符"/>
    <w:semiHidden/>
    <w:qFormat/>
    <w:uiPriority w:val="99"/>
    <w:rPr>
      <w:kern w:val="2"/>
      <w:sz w:val="18"/>
      <w:szCs w:val="18"/>
    </w:rPr>
  </w:style>
  <w:style w:type="character" w:customStyle="1" w:styleId="179">
    <w:name w:val="ant-tree-switcher"/>
    <w:qFormat/>
    <w:uiPriority w:val="0"/>
  </w:style>
  <w:style w:type="character" w:customStyle="1" w:styleId="180">
    <w:name w:val="标题 2 字符"/>
    <w:semiHidden/>
    <w:qFormat/>
    <w:uiPriority w:val="9"/>
    <w:rPr>
      <w:rFonts w:ascii="等线 Light" w:hAnsi="等线 Light" w:eastAsia="等线 Light" w:cs="Times New Roman"/>
      <w:b/>
      <w:bCs/>
      <w:kern w:val="2"/>
      <w:sz w:val="32"/>
      <w:szCs w:val="32"/>
    </w:rPr>
  </w:style>
  <w:style w:type="character" w:customStyle="1" w:styleId="181">
    <w:name w:val="last-child5"/>
    <w:qFormat/>
    <w:uiPriority w:val="0"/>
  </w:style>
  <w:style w:type="character" w:customStyle="1" w:styleId="182">
    <w:name w:val="last-child4"/>
    <w:qFormat/>
    <w:uiPriority w:val="0"/>
  </w:style>
  <w:style w:type="character" w:customStyle="1" w:styleId="183">
    <w:name w:val="文档结构图 字符"/>
    <w:semiHidden/>
    <w:qFormat/>
    <w:uiPriority w:val="99"/>
    <w:rPr>
      <w:rFonts w:ascii="Microsoft YaHei UI" w:eastAsia="Microsoft YaHei UI"/>
      <w:kern w:val="2"/>
      <w:sz w:val="18"/>
      <w:szCs w:val="18"/>
    </w:rPr>
  </w:style>
  <w:style w:type="paragraph" w:customStyle="1" w:styleId="184">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85">
    <w:name w:val="Char1"/>
    <w:basedOn w:val="1"/>
    <w:qFormat/>
    <w:uiPriority w:val="0"/>
    <w:rPr>
      <w:szCs w:val="21"/>
    </w:rPr>
  </w:style>
  <w:style w:type="paragraph" w:customStyle="1" w:styleId="186">
    <w:name w:val="正文-2字符首行缩进"/>
    <w:basedOn w:val="1"/>
    <w:qFormat/>
    <w:uiPriority w:val="0"/>
    <w:pPr>
      <w:widowControl/>
      <w:spacing w:line="360" w:lineRule="auto"/>
      <w:ind w:firstLine="200" w:firstLineChars="200"/>
    </w:pPr>
    <w:rPr>
      <w:rFonts w:ascii="仿宋_GB2312" w:hAnsi="Calibri" w:eastAsia="仿宋_GB2312"/>
      <w:kern w:val="0"/>
      <w:sz w:val="28"/>
      <w:szCs w:val="22"/>
    </w:rPr>
  </w:style>
  <w:style w:type="paragraph" w:customStyle="1" w:styleId="187">
    <w:name w:val="目录 53"/>
    <w:next w:val="1"/>
    <w:qFormat/>
    <w:uiPriority w:val="0"/>
    <w:pPr>
      <w:wordWrap w:val="0"/>
      <w:ind w:left="1275"/>
      <w:jc w:val="both"/>
    </w:pPr>
    <w:rPr>
      <w:rFonts w:ascii="Times New Roman" w:hAnsi="Times New Roman" w:eastAsia="宋体" w:cs="Times New Roman"/>
      <w:sz w:val="21"/>
      <w:szCs w:val="22"/>
      <w:lang w:val="en-US" w:eastAsia="zh-CN" w:bidi="ar-SA"/>
    </w:rPr>
  </w:style>
  <w:style w:type="paragraph" w:customStyle="1" w:styleId="188">
    <w:name w:val="Char Char Char"/>
    <w:basedOn w:val="1"/>
    <w:qFormat/>
    <w:uiPriority w:val="0"/>
    <w:rPr>
      <w:rFonts w:ascii="Tahoma" w:hAnsi="Tahoma"/>
      <w:sz w:val="24"/>
      <w:szCs w:val="20"/>
    </w:rPr>
  </w:style>
  <w:style w:type="paragraph" w:customStyle="1" w:styleId="189">
    <w:name w:val="默认段落字体 Para Char Char Char Char Char Char Char Char Char1 Char Char Char Char"/>
    <w:basedOn w:val="1"/>
    <w:qFormat/>
    <w:uiPriority w:val="0"/>
    <w:rPr>
      <w:rFonts w:ascii="Tahoma" w:hAnsi="Tahoma"/>
      <w:sz w:val="24"/>
      <w:szCs w:val="20"/>
    </w:rPr>
  </w:style>
  <w:style w:type="paragraph" w:customStyle="1" w:styleId="190">
    <w:name w:val="tgt1"/>
    <w:basedOn w:val="1"/>
    <w:qFormat/>
    <w:uiPriority w:val="0"/>
    <w:pPr>
      <w:widowControl/>
      <w:spacing w:after="150"/>
      <w:jc w:val="left"/>
    </w:pPr>
    <w:rPr>
      <w:rFonts w:ascii="宋体" w:hAnsi="宋体" w:cs="宋体"/>
      <w:kern w:val="0"/>
      <w:sz w:val="24"/>
    </w:rPr>
  </w:style>
  <w:style w:type="paragraph" w:customStyle="1" w:styleId="191">
    <w:name w:val="2ji"/>
    <w:basedOn w:val="3"/>
    <w:qFormat/>
    <w:uiPriority w:val="0"/>
    <w:pPr>
      <w:adjustRightInd w:val="0"/>
      <w:spacing w:before="0" w:after="0" w:line="360" w:lineRule="auto"/>
      <w:textAlignment w:val="baseline"/>
    </w:pPr>
    <w:rPr>
      <w:rFonts w:ascii="宋体" w:hAnsi="宋体" w:eastAsia="宋体"/>
      <w:kern w:val="0"/>
      <w:sz w:val="21"/>
      <w:szCs w:val="21"/>
    </w:rPr>
  </w:style>
  <w:style w:type="paragraph" w:customStyle="1" w:styleId="192">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3">
    <w:name w:val="444"/>
    <w:basedOn w:val="1"/>
    <w:qFormat/>
    <w:uiPriority w:val="0"/>
    <w:pPr>
      <w:adjustRightInd w:val="0"/>
      <w:spacing w:line="312" w:lineRule="atLeast"/>
      <w:jc w:val="center"/>
      <w:textAlignment w:val="baseline"/>
    </w:pPr>
    <w:rPr>
      <w:b/>
      <w:kern w:val="0"/>
      <w:sz w:val="36"/>
      <w:szCs w:val="36"/>
    </w:rPr>
  </w:style>
  <w:style w:type="paragraph" w:customStyle="1" w:styleId="194">
    <w:name w:val="2-2ji"/>
    <w:basedOn w:val="3"/>
    <w:qFormat/>
    <w:uiPriority w:val="0"/>
    <w:pPr>
      <w:adjustRightInd w:val="0"/>
      <w:spacing w:before="0" w:after="0" w:line="360" w:lineRule="auto"/>
      <w:jc w:val="center"/>
      <w:textAlignment w:val="baseline"/>
    </w:pPr>
    <w:rPr>
      <w:rFonts w:ascii="宋体" w:hAnsi="宋体" w:eastAsia="宋体"/>
      <w:bCs w:val="0"/>
      <w:kern w:val="0"/>
      <w:sz w:val="36"/>
    </w:rPr>
  </w:style>
  <w:style w:type="paragraph" w:customStyle="1" w:styleId="195">
    <w:name w:val="Char"/>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96">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4"/>
    </w:rPr>
  </w:style>
  <w:style w:type="paragraph" w:customStyle="1" w:styleId="197">
    <w:name w:val="1"/>
    <w:basedOn w:val="1"/>
    <w:next w:val="30"/>
    <w:qFormat/>
    <w:uiPriority w:val="0"/>
    <w:rPr>
      <w:rFonts w:ascii="宋体" w:hAnsi="Courier New"/>
      <w:szCs w:val="20"/>
    </w:rPr>
  </w:style>
  <w:style w:type="paragraph" w:customStyle="1" w:styleId="198">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9">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200">
    <w:name w:val="_Style 109"/>
    <w:basedOn w:val="1"/>
    <w:next w:val="201"/>
    <w:qFormat/>
    <w:uiPriority w:val="34"/>
    <w:pPr>
      <w:ind w:firstLine="420" w:firstLineChars="200"/>
    </w:pPr>
    <w:rPr>
      <w:rFonts w:ascii="Calibri" w:hAnsi="Calibri"/>
      <w:szCs w:val="22"/>
    </w:rPr>
  </w:style>
  <w:style w:type="paragraph" w:styleId="201">
    <w:name w:val="List Paragraph"/>
    <w:basedOn w:val="1"/>
    <w:qFormat/>
    <w:uiPriority w:val="34"/>
    <w:pPr>
      <w:ind w:firstLine="420" w:firstLineChars="200"/>
    </w:pPr>
    <w:rPr>
      <w:rFonts w:ascii="Calibri" w:hAnsi="Calibri"/>
      <w:szCs w:val="22"/>
    </w:rPr>
  </w:style>
  <w:style w:type="paragraph" w:customStyle="1" w:styleId="202">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3">
    <w:name w:val="正文 A"/>
    <w:qFormat/>
    <w:uiPriority w:val="0"/>
    <w:pPr>
      <w:widowControl w:val="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204">
    <w:name w:val="F2"/>
    <w:basedOn w:val="1"/>
    <w:qFormat/>
    <w:uiPriority w:val="0"/>
    <w:pPr>
      <w:autoSpaceDE w:val="0"/>
      <w:autoSpaceDN w:val="0"/>
      <w:adjustRightInd w:val="0"/>
      <w:ind w:firstLine="601"/>
      <w:textAlignment w:val="baseline"/>
    </w:pPr>
    <w:rPr>
      <w:kern w:val="0"/>
      <w:sz w:val="24"/>
      <w:szCs w:val="20"/>
    </w:rPr>
  </w:style>
  <w:style w:type="paragraph" w:customStyle="1" w:styleId="205">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06">
    <w:name w:val="表格"/>
    <w:basedOn w:val="1"/>
    <w:qFormat/>
    <w:uiPriority w:val="0"/>
    <w:pPr>
      <w:spacing w:line="400" w:lineRule="exact"/>
    </w:pPr>
    <w:rPr>
      <w:sz w:val="24"/>
    </w:rPr>
  </w:style>
  <w:style w:type="paragraph" w:customStyle="1" w:styleId="207">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208">
    <w:name w:val="xl2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20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210">
    <w:name w:val="_Style 206"/>
    <w:unhideWhenUsed/>
    <w:qFormat/>
    <w:uiPriority w:val="99"/>
    <w:rPr>
      <w:rFonts w:ascii="Times New Roman" w:hAnsi="Times New Roman" w:eastAsia="宋体" w:cs="Times New Roman"/>
      <w:kern w:val="2"/>
      <w:sz w:val="21"/>
      <w:szCs w:val="24"/>
      <w:lang w:val="en-US" w:eastAsia="zh-CN" w:bidi="ar-SA"/>
    </w:rPr>
  </w:style>
  <w:style w:type="paragraph" w:customStyle="1" w:styleId="211">
    <w:name w:val="Char Char Char Char Char Char Char"/>
    <w:basedOn w:val="1"/>
    <w:qFormat/>
    <w:uiPriority w:val="0"/>
  </w:style>
  <w:style w:type="paragraph" w:customStyle="1" w:styleId="212">
    <w:name w:val="Char Char Char Char Char Char Char Char Char Char Char Char Char"/>
    <w:basedOn w:val="17"/>
    <w:qFormat/>
    <w:uiPriority w:val="0"/>
    <w:pPr>
      <w:adjustRightInd/>
      <w:spacing w:line="240" w:lineRule="auto"/>
      <w:textAlignment w:val="auto"/>
    </w:pPr>
    <w:rPr>
      <w:rFonts w:ascii="Tahoma" w:hAnsi="Tahoma"/>
      <w:kern w:val="2"/>
      <w:sz w:val="24"/>
      <w:szCs w:val="24"/>
    </w:rPr>
  </w:style>
  <w:style w:type="paragraph" w:customStyle="1" w:styleId="213">
    <w:name w:val="List Paragraph1"/>
    <w:basedOn w:val="1"/>
    <w:qFormat/>
    <w:uiPriority w:val="0"/>
    <w:pPr>
      <w:ind w:firstLine="420" w:firstLineChars="200"/>
    </w:pPr>
    <w:rPr>
      <w:rFonts w:ascii="Calibri" w:hAnsi="Calibri"/>
      <w:szCs w:val="22"/>
    </w:rPr>
  </w:style>
  <w:style w:type="paragraph" w:customStyle="1" w:styleId="214">
    <w:name w:val="paragraphindent"/>
    <w:basedOn w:val="1"/>
    <w:qFormat/>
    <w:uiPriority w:val="0"/>
    <w:pPr>
      <w:widowControl/>
      <w:spacing w:before="100" w:beforeAutospacing="1" w:after="100" w:afterAutospacing="1"/>
      <w:jc w:val="left"/>
    </w:pPr>
    <w:rPr>
      <w:rFonts w:ascii="宋体" w:hAnsi="宋体" w:cs="宋体"/>
      <w:kern w:val="0"/>
      <w:sz w:val="24"/>
    </w:rPr>
  </w:style>
  <w:style w:type="paragraph" w:customStyle="1" w:styleId="215">
    <w:name w:val="Char Char Char Char Char Char Char Char Char Char Char Char Char1"/>
    <w:basedOn w:val="17"/>
    <w:qFormat/>
    <w:uiPriority w:val="0"/>
    <w:pPr>
      <w:adjustRightInd/>
      <w:spacing w:line="240" w:lineRule="auto"/>
      <w:textAlignment w:val="auto"/>
    </w:pPr>
    <w:rPr>
      <w:rFonts w:ascii="Tahoma" w:hAnsi="Tahoma"/>
      <w:kern w:val="2"/>
      <w:sz w:val="24"/>
      <w:szCs w:val="24"/>
    </w:rPr>
  </w:style>
  <w:style w:type="paragraph" w:customStyle="1" w:styleId="216">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217">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218">
    <w:name w:val="次小点说明 Char"/>
    <w:basedOn w:val="7"/>
    <w:qFormat/>
    <w:uiPriority w:val="0"/>
    <w:pPr>
      <w:ind w:firstLine="0"/>
    </w:pPr>
    <w:rPr>
      <w:sz w:val="24"/>
      <w:szCs w:val="24"/>
    </w:rPr>
  </w:style>
  <w:style w:type="paragraph" w:customStyle="1" w:styleId="219">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220">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221">
    <w:name w:val="样式 首行缩进:  2 字符"/>
    <w:basedOn w:val="1"/>
    <w:qFormat/>
    <w:uiPriority w:val="0"/>
    <w:pPr>
      <w:spacing w:line="400" w:lineRule="exact"/>
      <w:ind w:firstLine="200" w:firstLineChars="200"/>
    </w:pPr>
    <w:rPr>
      <w:rFonts w:cs="宋体"/>
      <w:sz w:val="24"/>
    </w:rPr>
  </w:style>
  <w:style w:type="paragraph" w:customStyle="1" w:styleId="222">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223">
    <w:name w:val="正文首行缩进两字符"/>
    <w:basedOn w:val="1"/>
    <w:qFormat/>
    <w:uiPriority w:val="0"/>
    <w:pPr>
      <w:spacing w:line="360" w:lineRule="auto"/>
      <w:ind w:firstLine="200" w:firstLineChars="200"/>
    </w:pPr>
  </w:style>
  <w:style w:type="paragraph" w:customStyle="1" w:styleId="224">
    <w:name w:val="列表段落1"/>
    <w:basedOn w:val="1"/>
    <w:qFormat/>
    <w:uiPriority w:val="34"/>
    <w:pPr>
      <w:ind w:firstLine="420" w:firstLineChars="200"/>
    </w:pPr>
  </w:style>
  <w:style w:type="paragraph" w:customStyle="1" w:styleId="225">
    <w:name w:val="Char Char Char1"/>
    <w:basedOn w:val="17"/>
    <w:qFormat/>
    <w:uiPriority w:val="0"/>
    <w:pPr>
      <w:adjustRightInd/>
      <w:spacing w:line="240" w:lineRule="auto"/>
      <w:textAlignment w:val="auto"/>
    </w:pPr>
    <w:rPr>
      <w:rFonts w:ascii="Tahoma" w:hAnsi="Tahoma"/>
      <w:kern w:val="2"/>
      <w:sz w:val="24"/>
      <w:szCs w:val="24"/>
    </w:rPr>
  </w:style>
  <w:style w:type="paragraph" w:customStyle="1" w:styleId="226">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kern w:val="0"/>
      <w:szCs w:val="21"/>
    </w:rPr>
  </w:style>
  <w:style w:type="paragraph" w:customStyle="1" w:styleId="227">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228">
    <w:name w:val="List Paragraph_00659276-fdcc-426a-98e1-d9eb9b34cdb1"/>
    <w:basedOn w:val="1"/>
    <w:qFormat/>
    <w:uiPriority w:val="0"/>
    <w:pPr>
      <w:ind w:firstLine="200" w:firstLineChars="200"/>
    </w:pPr>
  </w:style>
  <w:style w:type="paragraph" w:customStyle="1" w:styleId="229">
    <w:name w:val="默认段落字体 Para Char"/>
    <w:basedOn w:val="1"/>
    <w:qFormat/>
    <w:uiPriority w:val="0"/>
    <w:pPr>
      <w:adjustRightInd w:val="0"/>
      <w:spacing w:line="360" w:lineRule="auto"/>
    </w:pPr>
    <w:rPr>
      <w:kern w:val="0"/>
      <w:sz w:val="24"/>
      <w:szCs w:val="20"/>
    </w:rPr>
  </w:style>
  <w:style w:type="paragraph" w:customStyle="1" w:styleId="230">
    <w:name w:val="中等深浅网格 21"/>
    <w:qFormat/>
    <w:uiPriority w:val="0"/>
    <w:rPr>
      <w:rFonts w:ascii="Calibri" w:hAnsi="Calibri" w:eastAsia="宋体" w:cs="Times New Roman"/>
      <w:sz w:val="22"/>
      <w:szCs w:val="22"/>
      <w:lang w:val="en-US" w:eastAsia="zh-CN" w:bidi="ar-SA"/>
    </w:rPr>
  </w:style>
  <w:style w:type="paragraph" w:customStyle="1" w:styleId="231">
    <w:name w:val="Table Paragraph"/>
    <w:basedOn w:val="1"/>
    <w:qFormat/>
    <w:uiPriority w:val="1"/>
  </w:style>
  <w:style w:type="paragraph" w:customStyle="1" w:styleId="232">
    <w:name w:val="样式1"/>
    <w:basedOn w:val="1"/>
    <w:qFormat/>
    <w:uiPriority w:val="0"/>
    <w:pPr>
      <w:spacing w:before="120" w:after="120" w:line="300" w:lineRule="auto"/>
    </w:pPr>
    <w:rPr>
      <w:rFonts w:ascii="宋体" w:hAnsi="宋体"/>
      <w:b/>
      <w:sz w:val="24"/>
      <w:szCs w:val="20"/>
    </w:rPr>
  </w:style>
  <w:style w:type="paragraph" w:customStyle="1" w:styleId="233">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4">
    <w:name w:val="正文段"/>
    <w:basedOn w:val="1"/>
    <w:qFormat/>
    <w:uiPriority w:val="0"/>
    <w:pPr>
      <w:widowControl/>
      <w:snapToGrid w:val="0"/>
      <w:spacing w:after="156" w:afterLines="50"/>
      <w:ind w:firstLine="200" w:firstLineChars="200"/>
    </w:pPr>
    <w:rPr>
      <w:kern w:val="0"/>
      <w:sz w:val="24"/>
      <w:szCs w:val="20"/>
    </w:rPr>
  </w:style>
  <w:style w:type="paragraph" w:customStyle="1" w:styleId="235">
    <w:name w:val="_Style 23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36">
    <w:name w:val="缺省文本"/>
    <w:basedOn w:val="1"/>
    <w:qFormat/>
    <w:uiPriority w:val="0"/>
    <w:pPr>
      <w:autoSpaceDE w:val="0"/>
      <w:autoSpaceDN w:val="0"/>
      <w:adjustRightInd w:val="0"/>
      <w:spacing w:line="360" w:lineRule="auto"/>
      <w:jc w:val="left"/>
    </w:pPr>
    <w:rPr>
      <w:kern w:val="0"/>
      <w:sz w:val="24"/>
      <w:szCs w:val="20"/>
    </w:rPr>
  </w:style>
  <w:style w:type="paragraph" w:customStyle="1" w:styleId="237">
    <w:name w:val="p15"/>
    <w:basedOn w:val="1"/>
    <w:qFormat/>
    <w:uiPriority w:val="0"/>
    <w:pPr>
      <w:widowControl/>
      <w:ind w:firstLine="420"/>
    </w:pPr>
    <w:rPr>
      <w:kern w:val="0"/>
      <w:szCs w:val="21"/>
    </w:rPr>
  </w:style>
  <w:style w:type="paragraph" w:customStyle="1" w:styleId="238">
    <w:name w:val="Char Char Char2"/>
    <w:basedOn w:val="17"/>
    <w:qFormat/>
    <w:uiPriority w:val="0"/>
    <w:pPr>
      <w:adjustRightInd/>
      <w:spacing w:line="240" w:lineRule="auto"/>
      <w:textAlignment w:val="auto"/>
    </w:pPr>
    <w:rPr>
      <w:rFonts w:ascii="Tahoma" w:hAnsi="Tahoma"/>
      <w:kern w:val="2"/>
      <w:sz w:val="24"/>
      <w:szCs w:val="24"/>
    </w:rPr>
  </w:style>
  <w:style w:type="paragraph" w:customStyle="1" w:styleId="239">
    <w:name w:val="Char Char Char Char Char Char Char1"/>
    <w:basedOn w:val="1"/>
    <w:qFormat/>
    <w:uiPriority w:val="0"/>
  </w:style>
  <w:style w:type="paragraph" w:customStyle="1" w:styleId="240">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41">
    <w:name w:val="Char31"/>
    <w:basedOn w:val="1"/>
    <w:qFormat/>
    <w:uiPriority w:val="0"/>
    <w:pPr>
      <w:tabs>
        <w:tab w:val="left" w:pos="360"/>
      </w:tabs>
      <w:ind w:left="252" w:hanging="252" w:hangingChars="140"/>
    </w:pPr>
    <w:rPr>
      <w:rFonts w:ascii="宋体"/>
      <w:sz w:val="18"/>
      <w:szCs w:val="18"/>
    </w:rPr>
  </w:style>
  <w:style w:type="paragraph" w:customStyle="1" w:styleId="242">
    <w:name w:val="五号正文（标准）"/>
    <w:basedOn w:val="1"/>
    <w:qFormat/>
    <w:uiPriority w:val="0"/>
    <w:pPr>
      <w:spacing w:line="360" w:lineRule="auto"/>
      <w:ind w:right="55" w:firstLine="560" w:firstLineChars="200"/>
    </w:pPr>
    <w:rPr>
      <w:rFonts w:eastAsia="仿宋_GB2312"/>
      <w:sz w:val="28"/>
      <w:szCs w:val="20"/>
    </w:rPr>
  </w:style>
  <w:style w:type="paragraph" w:customStyle="1" w:styleId="243">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244">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245">
    <w:name w:val="列出段落1"/>
    <w:basedOn w:val="1"/>
    <w:qFormat/>
    <w:uiPriority w:val="99"/>
    <w:pPr>
      <w:ind w:firstLine="420" w:firstLineChars="200"/>
    </w:pPr>
    <w:rPr>
      <w:rFonts w:ascii="Calibri" w:hAnsi="Calibri"/>
    </w:rPr>
  </w:style>
  <w:style w:type="paragraph" w:customStyle="1" w:styleId="246">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247">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248">
    <w:name w:val="a9"/>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character" w:customStyle="1" w:styleId="250">
    <w:name w:val="font31"/>
    <w:basedOn w:val="56"/>
    <w:qFormat/>
    <w:uiPriority w:val="0"/>
    <w:rPr>
      <w:rFonts w:hint="eastAsia" w:ascii="等线" w:hAnsi="等线" w:eastAsia="等线" w:cs="等线"/>
      <w:color w:val="000000"/>
      <w:sz w:val="22"/>
      <w:szCs w:val="22"/>
      <w:u w:val="none"/>
    </w:rPr>
  </w:style>
  <w:style w:type="character" w:customStyle="1" w:styleId="251">
    <w:name w:val="font151"/>
    <w:basedOn w:val="56"/>
    <w:qFormat/>
    <w:uiPriority w:val="0"/>
    <w:rPr>
      <w:rFonts w:hint="eastAsia" w:ascii="宋体" w:hAnsi="宋体" w:eastAsia="宋体" w:cs="宋体"/>
      <w:b/>
      <w:bCs/>
      <w:color w:val="000000"/>
      <w:sz w:val="22"/>
      <w:szCs w:val="22"/>
      <w:u w:val="none"/>
    </w:rPr>
  </w:style>
  <w:style w:type="character" w:customStyle="1" w:styleId="252">
    <w:name w:val="font161"/>
    <w:basedOn w:val="56"/>
    <w:qFormat/>
    <w:uiPriority w:val="0"/>
    <w:rPr>
      <w:rFonts w:hint="eastAsia" w:ascii="宋体" w:hAnsi="宋体" w:eastAsia="宋体" w:cs="宋体"/>
      <w:color w:val="000000"/>
      <w:sz w:val="22"/>
      <w:szCs w:val="22"/>
      <w:u w:val="none"/>
    </w:rPr>
  </w:style>
  <w:style w:type="character" w:customStyle="1" w:styleId="253">
    <w:name w:val="font21"/>
    <w:basedOn w:val="56"/>
    <w:qFormat/>
    <w:uiPriority w:val="0"/>
    <w:rPr>
      <w:rFonts w:hint="eastAsia" w:ascii="宋体" w:hAnsi="宋体" w:eastAsia="宋体" w:cs="宋体"/>
      <w:color w:val="000000"/>
      <w:sz w:val="22"/>
      <w:szCs w:val="22"/>
      <w:u w:val="none"/>
    </w:rPr>
  </w:style>
  <w:style w:type="character" w:customStyle="1" w:styleId="254">
    <w:name w:val="font51"/>
    <w:basedOn w:val="56"/>
    <w:qFormat/>
    <w:uiPriority w:val="0"/>
    <w:rPr>
      <w:rFonts w:hint="default" w:ascii="Arial" w:hAnsi="Arial" w:cs="Arial"/>
      <w:color w:val="000000"/>
      <w:sz w:val="22"/>
      <w:szCs w:val="22"/>
      <w:u w:val="none"/>
    </w:rPr>
  </w:style>
  <w:style w:type="character" w:customStyle="1" w:styleId="255">
    <w:name w:val="font61"/>
    <w:basedOn w:val="56"/>
    <w:qFormat/>
    <w:uiPriority w:val="0"/>
    <w:rPr>
      <w:rFonts w:hint="default" w:ascii="Arial" w:hAnsi="Arial" w:cs="Arial"/>
      <w:color w:val="000000"/>
      <w:sz w:val="22"/>
      <w:szCs w:val="22"/>
      <w:u w:val="none"/>
    </w:rPr>
  </w:style>
  <w:style w:type="character" w:customStyle="1" w:styleId="256">
    <w:name w:val="font71"/>
    <w:basedOn w:val="56"/>
    <w:qFormat/>
    <w:uiPriority w:val="0"/>
    <w:rPr>
      <w:rFonts w:hint="eastAsia" w:ascii="宋体" w:hAnsi="宋体" w:eastAsia="宋体" w:cs="宋体"/>
      <w:color w:val="000000"/>
      <w:sz w:val="22"/>
      <w:szCs w:val="22"/>
      <w:u w:val="none"/>
    </w:rPr>
  </w:style>
  <w:style w:type="paragraph" w:customStyle="1" w:styleId="257">
    <w:name w:val="Table Text"/>
    <w:basedOn w:val="1"/>
    <w:semiHidden/>
    <w:qFormat/>
    <w:uiPriority w:val="0"/>
    <w:rPr>
      <w:rFonts w:ascii="宋体" w:hAnsi="宋体" w:cs="宋体"/>
      <w:sz w:val="25"/>
      <w:szCs w:val="25"/>
      <w:lang w:eastAsia="en-US"/>
    </w:rPr>
  </w:style>
  <w:style w:type="table" w:customStyle="1" w:styleId="258">
    <w:name w:val="Table Normal"/>
    <w:unhideWhenUsed/>
    <w:qFormat/>
    <w:uiPriority w:val="0"/>
    <w:tblPr>
      <w:tblCellMar>
        <w:top w:w="0" w:type="dxa"/>
        <w:left w:w="0" w:type="dxa"/>
        <w:bottom w:w="0" w:type="dxa"/>
        <w:right w:w="0" w:type="dxa"/>
      </w:tblCellMar>
    </w:tblPr>
  </w:style>
  <w:style w:type="paragraph" w:customStyle="1" w:styleId="259">
    <w:name w:val="null3"/>
    <w:qFormat/>
    <w:uiPriority w:val="0"/>
    <w:rPr>
      <w:rFonts w:hint="eastAsia" w:ascii="Calibri" w:hAnsi="Calibri" w:eastAsia="宋体" w:cs="宋体"/>
      <w:lang w:val="en-U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3.emf"/><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96</Pages>
  <Words>5673</Words>
  <Characters>6300</Characters>
  <Lines>394</Lines>
  <Paragraphs>111</Paragraphs>
  <TotalTime>7</TotalTime>
  <ScaleCrop>false</ScaleCrop>
  <LinksUpToDate>false</LinksUpToDate>
  <CharactersWithSpaces>6390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2026-02-25T09:44:00Z</dcterms:created>
  <dc:creator>微软用户</dc:creator>
  <cp:lastModifiedBy>NTKO</cp:lastModifiedBy>
  <cp:lastPrinted>2022-03-04T06:45:00Z</cp:lastPrinted>
  <dcterms:modified xsi:type="dcterms:W3CDTF">2026-09-08T01:11:45Z</dcterms:modified>
  <dc:title>桂财采〔2009〕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8F146C4B3D714FD1AC6831AA8B2B2F7B_13</vt:lpwstr>
  </property>
  <property fmtid="{D5CDD505-2E9C-101B-9397-08002B2CF9AE}" pid="14" name="GrammarlyDocumentId">
    <vt:lpwstr>735b0e3110c6271e3eb822e1c55f6b82be6595b5c1a107f25157bc189e67a3e9</vt:lpwstr>
  </property>
  <property fmtid="{D5CDD505-2E9C-101B-9397-08002B2CF9AE}" pid="15" name="KSOTemplateDocerSaveRecord">
    <vt:lpwstr>eyJoZGlkIjoiNGYyODdkZjM5MmMzZTg1ZmE0OTAzMjQ0OTM3ZjcyODIiLCJ1c2VySWQiOiI1NzE3NjE5ODMifQ==</vt:lpwstr>
  </property>
</Properties>
</file>