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553E1">
      <w:pPr>
        <w:pStyle w:val="14"/>
        <w:snapToGrid w:val="0"/>
        <w:spacing w:line="360" w:lineRule="auto"/>
        <w:jc w:val="both"/>
        <w:rPr>
          <w:rFonts w:hint="eastAsia" w:hAnsi="宋体" w:eastAsia="宋体" w:cs="宋体"/>
          <w:b/>
          <w:bCs/>
          <w:color w:val="auto"/>
          <w:sz w:val="30"/>
          <w:szCs w:val="30"/>
          <w:highlight w:val="none"/>
          <w:lang w:eastAsia="zh-CN"/>
        </w:rPr>
      </w:pPr>
      <w:r>
        <w:rPr>
          <w:rFonts w:hint="eastAsia" w:hAnsi="宋体" w:eastAsia="宋体" w:cs="宋体"/>
          <w:b/>
          <w:bCs/>
          <w:color w:val="auto"/>
          <w:sz w:val="30"/>
          <w:szCs w:val="30"/>
          <w:highlight w:val="none"/>
          <w:lang w:eastAsia="zh-CN"/>
        </w:rPr>
        <w:drawing>
          <wp:inline distT="0" distB="0" distL="114300" distR="114300">
            <wp:extent cx="5729605" cy="8102600"/>
            <wp:effectExtent l="0" t="0" r="4445" b="12700"/>
            <wp:docPr id="5" name="图片 5" descr="SKM_C4582609110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KM_C45826091104140"/>
                    <pic:cNvPicPr>
                      <a:picLocks noChangeAspect="1"/>
                    </pic:cNvPicPr>
                  </pic:nvPicPr>
                  <pic:blipFill>
                    <a:blip r:embed="rId9"/>
                    <a:stretch>
                      <a:fillRect/>
                    </a:stretch>
                  </pic:blipFill>
                  <pic:spPr>
                    <a:xfrm>
                      <a:off x="0" y="0"/>
                      <a:ext cx="5729605" cy="8102600"/>
                    </a:xfrm>
                    <a:prstGeom prst="rect">
                      <a:avLst/>
                    </a:prstGeom>
                  </pic:spPr>
                </pic:pic>
              </a:graphicData>
            </a:graphic>
          </wp:inline>
        </w:drawing>
      </w:r>
      <w:bookmarkStart w:id="362" w:name="_GoBack"/>
      <w:bookmarkEnd w:id="362"/>
    </w:p>
    <w:p w14:paraId="29542344">
      <w:pPr>
        <w:widowControl/>
        <w:spacing w:line="360" w:lineRule="auto"/>
        <w:jc w:val="left"/>
        <w:rPr>
          <w:rFonts w:hint="eastAsia" w:ascii="宋体" w:hAnsi="宋体" w:cs="宋体"/>
          <w:b/>
          <w:bCs/>
          <w:color w:val="auto"/>
          <w:kern w:val="0"/>
          <w:sz w:val="30"/>
          <w:szCs w:val="30"/>
          <w:highlight w:val="none"/>
        </w:rPr>
        <w:sectPr>
          <w:footerReference r:id="rId3" w:type="default"/>
          <w:pgSz w:w="11906" w:h="16838"/>
          <w:pgMar w:top="1440" w:right="1440" w:bottom="1440" w:left="1440" w:header="720" w:footer="720" w:gutter="0"/>
          <w:pgBorders>
            <w:top w:val="none" w:sz="0" w:space="0"/>
            <w:left w:val="none" w:sz="0" w:space="0"/>
            <w:bottom w:val="none" w:sz="0" w:space="0"/>
            <w:right w:val="none" w:sz="0" w:space="0"/>
          </w:pgBorders>
          <w:cols w:space="0" w:num="1"/>
          <w:rtlGutter w:val="0"/>
          <w:docGrid w:type="lines" w:linePitch="331" w:charSpace="0"/>
        </w:sectPr>
      </w:pPr>
    </w:p>
    <w:p w14:paraId="7023EF2A">
      <w:pPr>
        <w:spacing w:line="360" w:lineRule="auto"/>
        <w:jc w:val="center"/>
        <w:rPr>
          <w:rFonts w:hint="eastAsia" w:ascii="宋体" w:hAnsi="宋体" w:cs="宋体"/>
          <w:color w:val="auto"/>
          <w:highlight w:val="none"/>
        </w:rPr>
      </w:pPr>
      <w:r>
        <w:rPr>
          <w:rFonts w:hint="eastAsia" w:ascii="宋体" w:hAnsi="宋体" w:cs="宋体"/>
          <w:b/>
          <w:color w:val="auto"/>
          <w:sz w:val="44"/>
          <w:szCs w:val="44"/>
          <w:highlight w:val="none"/>
        </w:rPr>
        <w:t>目</w:t>
      </w:r>
      <w:r>
        <w:rPr>
          <w:rFonts w:hint="eastAsia" w:ascii="宋体" w:hAnsi="宋体" w:cs="宋体"/>
          <w:b/>
          <w:color w:val="auto"/>
          <w:sz w:val="44"/>
          <w:szCs w:val="44"/>
          <w:highlight w:val="none"/>
          <w:lang w:val="en-US" w:eastAsia="zh-CN"/>
        </w:rPr>
        <w:t xml:space="preserve">  </w:t>
      </w:r>
      <w:r>
        <w:rPr>
          <w:rFonts w:hint="eastAsia" w:ascii="宋体" w:hAnsi="宋体" w:cs="宋体"/>
          <w:b/>
          <w:color w:val="auto"/>
          <w:sz w:val="44"/>
          <w:szCs w:val="44"/>
          <w:highlight w:val="none"/>
        </w:rPr>
        <w:t>录</w:t>
      </w:r>
      <w:r>
        <w:rPr>
          <w:rFonts w:hint="eastAsia" w:ascii="宋体" w:hAnsi="宋体" w:cs="宋体"/>
          <w:b/>
          <w:color w:val="auto"/>
          <w:sz w:val="44"/>
          <w:szCs w:val="44"/>
          <w:highlight w:val="none"/>
        </w:rPr>
        <w:tab/>
      </w:r>
      <w:r>
        <w:rPr>
          <w:rFonts w:hint="eastAsia" w:ascii="宋体" w:hAnsi="宋体" w:cs="宋体"/>
          <w:b/>
          <w:color w:val="auto"/>
          <w:sz w:val="44"/>
          <w:szCs w:val="44"/>
          <w:highlight w:val="none"/>
        </w:rPr>
        <w:t xml:space="preserve"> </w:t>
      </w:r>
    </w:p>
    <w:p w14:paraId="7ABD54B9">
      <w:pPr>
        <w:pStyle w:val="17"/>
        <w:tabs>
          <w:tab w:val="right" w:leader="dot" w:pos="9072"/>
        </w:tabs>
        <w:spacing w:line="360" w:lineRule="auto"/>
        <w:rPr>
          <w:rFonts w:hint="eastAsia" w:ascii="宋体" w:hAnsi="宋体" w:eastAsia="宋体" w:cs="宋体"/>
          <w:color w:val="auto"/>
          <w:sz w:val="24"/>
          <w:szCs w:val="24"/>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TOC \o "1-2" \h \u </w:instrText>
      </w:r>
      <w:r>
        <w:rPr>
          <w:rFonts w:hint="eastAsia" w:ascii="宋体" w:hAnsi="宋体" w:cs="宋体"/>
          <w:color w:val="auto"/>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_Toc10940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竞争性磋商公告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_Toc10940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EEDBAB2">
      <w:pPr>
        <w:pStyle w:val="17"/>
        <w:tabs>
          <w:tab w:val="right" w:leader="dot" w:pos="9072"/>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_Toc14836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_Toc14836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62BE898">
      <w:pPr>
        <w:pStyle w:val="17"/>
        <w:tabs>
          <w:tab w:val="right" w:leader="dot" w:pos="9072"/>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_Toc12883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_Toc12883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BC10658">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第一节 供应商须知前附表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_Toc15099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969DC57">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_Toc1674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第二节 供应商须知正文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_Toc1674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2E1917">
      <w:pPr>
        <w:pStyle w:val="17"/>
        <w:tabs>
          <w:tab w:val="right" w:leader="dot" w:pos="9072"/>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_Toc25656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评审程序、评审方法和评审标准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_Toc25656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8FDB960">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_Toc30544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第一节 评审程序和评审方法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_Toc30544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4153469">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_Toc12815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第二节 评标报告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_Toc12815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1CA06D3">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_Toc31856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第三节 评审过程的保密与录像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_Toc31856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0FDF322">
      <w:pPr>
        <w:pStyle w:val="17"/>
        <w:tabs>
          <w:tab w:val="right" w:leader="dot" w:pos="9072"/>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_Toc26979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_Toc26979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5A30B98">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_Toc19064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第一节 封面格式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_Toc19064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B924320">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_Toc19161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第二节 资格证明文件格式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_Toc19161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2009BEE">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_Toc19593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第三节 商务技术文件格式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_Toc19593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C3F5B90">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_Toc13813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第四节 报价文件格式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_Toc13813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FAC1257">
      <w:pPr>
        <w:pStyle w:val="18"/>
        <w:tabs>
          <w:tab w:val="right" w:leader="dot" w:pos="9072"/>
          <w:tab w:val="clear" w:pos="829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_Toc2411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第五节 其他文书、文件格式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_Toc2411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6152817">
      <w:pPr>
        <w:pStyle w:val="17"/>
        <w:tabs>
          <w:tab w:val="right" w:leader="dot" w:pos="9072"/>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_Toc3661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第六章  合同文本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_Toc3661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4607F6">
      <w:pPr>
        <w:pStyle w:val="17"/>
        <w:tabs>
          <w:tab w:val="right" w:leader="dot" w:pos="9072"/>
        </w:tabs>
        <w:spacing w:line="360" w:lineRule="auto"/>
        <w:rPr>
          <w:color w:val="auto"/>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_Toc20652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第七章 质疑、投诉材料格式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_Toc20652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C179052">
      <w:pPr>
        <w:pStyle w:val="18"/>
        <w:tabs>
          <w:tab w:val="right" w:leader="dot" w:pos="9072"/>
          <w:tab w:val="clear" w:pos="8296"/>
        </w:tabs>
        <w:spacing w:line="360" w:lineRule="auto"/>
        <w:rPr>
          <w:color w:val="auto"/>
          <w:highlight w:val="none"/>
        </w:rPr>
      </w:pPr>
    </w:p>
    <w:p w14:paraId="54EC69A6">
      <w:pPr>
        <w:spacing w:line="360" w:lineRule="auto"/>
        <w:rPr>
          <w:rFonts w:hint="eastAsia" w:ascii="宋体" w:hAnsi="宋体" w:cs="宋体"/>
          <w:color w:val="auto"/>
          <w:highlight w:val="none"/>
        </w:rPr>
      </w:pPr>
      <w:r>
        <w:rPr>
          <w:rFonts w:hint="eastAsia" w:ascii="宋体" w:hAnsi="宋体" w:cs="宋体"/>
          <w:color w:val="auto"/>
          <w:highlight w:val="none"/>
        </w:rPr>
        <w:fldChar w:fldCharType="end"/>
      </w:r>
    </w:p>
    <w:p w14:paraId="661275D2">
      <w:pPr>
        <w:spacing w:line="400" w:lineRule="exact"/>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ab/>
      </w:r>
    </w:p>
    <w:p w14:paraId="43D03B7E">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5A2B0BCC">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7022CC52">
      <w:pPr>
        <w:spacing w:line="400" w:lineRule="exact"/>
        <w:jc w:val="center"/>
        <w:rPr>
          <w:rFonts w:hint="eastAsia" w:ascii="宋体" w:hAnsi="宋体" w:cs="宋体"/>
          <w:b/>
          <w:color w:val="auto"/>
          <w:sz w:val="32"/>
          <w:szCs w:val="32"/>
          <w:highlight w:val="none"/>
        </w:rPr>
        <w:sectPr>
          <w:footerReference r:id="rId4" w:type="default"/>
          <w:pgSz w:w="11906" w:h="16838"/>
          <w:pgMar w:top="1440" w:right="1440" w:bottom="1440" w:left="1440" w:header="851" w:footer="992" w:gutter="0"/>
          <w:pgBorders>
            <w:top w:val="none" w:sz="0" w:space="0"/>
            <w:left w:val="none" w:sz="0" w:space="0"/>
            <w:bottom w:val="none" w:sz="0" w:space="0"/>
            <w:right w:val="none" w:sz="0" w:space="0"/>
          </w:pgBorders>
          <w:pgNumType w:start="1"/>
          <w:cols w:space="0" w:num="1"/>
          <w:rtlGutter w:val="0"/>
          <w:docGrid w:type="lines" w:linePitch="312" w:charSpace="0"/>
        </w:sectPr>
      </w:pPr>
      <w:r>
        <w:rPr>
          <w:rFonts w:hint="eastAsia" w:ascii="宋体" w:hAnsi="宋体" w:cs="宋体"/>
          <w:b/>
          <w:color w:val="auto"/>
          <w:sz w:val="32"/>
          <w:szCs w:val="32"/>
          <w:highlight w:val="none"/>
        </w:rPr>
        <w:t xml:space="preserve"> </w:t>
      </w:r>
    </w:p>
    <w:p w14:paraId="5D41C87D">
      <w:pPr>
        <w:pStyle w:val="4"/>
        <w:spacing w:before="0" w:after="0" w:line="360" w:lineRule="auto"/>
        <w:jc w:val="center"/>
        <w:rPr>
          <w:rFonts w:hint="eastAsia" w:ascii="宋体" w:hAnsi="宋体" w:cs="宋体"/>
          <w:color w:val="auto"/>
          <w:highlight w:val="none"/>
        </w:rPr>
      </w:pPr>
      <w:bookmarkStart w:id="0" w:name="_Toc8095"/>
      <w:bookmarkEnd w:id="0"/>
      <w:bookmarkStart w:id="1" w:name="_Toc10940"/>
      <w:r>
        <w:rPr>
          <w:rFonts w:hint="eastAsia" w:ascii="宋体" w:hAnsi="宋体" w:cs="宋体"/>
          <w:color w:val="auto"/>
          <w:highlight w:val="none"/>
        </w:rPr>
        <w:t>第一章 竞争性磋商公告</w:t>
      </w:r>
      <w:bookmarkEnd w:id="1"/>
      <w:bookmarkStart w:id="2" w:name="_Toc28359081"/>
      <w:bookmarkEnd w:id="2"/>
      <w:bookmarkStart w:id="3" w:name="_Toc28359004"/>
      <w:bookmarkEnd w:id="3"/>
      <w:bookmarkStart w:id="4" w:name="_Toc28359089"/>
      <w:bookmarkEnd w:id="4"/>
      <w:bookmarkStart w:id="5" w:name="_Toc28359012"/>
      <w:bookmarkEnd w:id="5"/>
      <w:bookmarkStart w:id="6" w:name="_Toc35393629"/>
      <w:bookmarkEnd w:id="6"/>
      <w:bookmarkStart w:id="7" w:name="_Toc35393792"/>
      <w:bookmarkEnd w:id="7"/>
      <w:bookmarkStart w:id="8" w:name="_Toc35393798"/>
      <w:bookmarkEnd w:id="8"/>
      <w:bookmarkStart w:id="9" w:name="_Toc44229878"/>
      <w:bookmarkEnd w:id="9"/>
      <w:bookmarkStart w:id="10" w:name="_Toc35393623"/>
      <w:bookmarkEnd w:id="10"/>
    </w:p>
    <w:p w14:paraId="09126675">
      <w:pPr>
        <w:jc w:val="center"/>
        <w:rPr>
          <w:rFonts w:hint="eastAsia"/>
          <w:color w:val="auto"/>
          <w:sz w:val="32"/>
          <w:szCs w:val="40"/>
          <w:highlight w:val="none"/>
        </w:rPr>
      </w:pP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564B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14:paraId="00EDC01A">
            <w:pPr>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szCs w:val="21"/>
                <w:highlight w:val="none"/>
                <w:u w:val="single"/>
              </w:rPr>
            </w:pPr>
            <w:r>
              <w:rPr>
                <w:rFonts w:hint="eastAsia" w:ascii="宋体" w:hAnsi="宋体" w:eastAsia="宋体" w:cs="宋体"/>
                <w:color w:val="auto"/>
                <w:highlight w:val="none"/>
              </w:rPr>
              <w:t>项目概况</w:t>
            </w:r>
          </w:p>
          <w:p w14:paraId="08132A3B">
            <w:pPr>
              <w:keepNext w:val="0"/>
              <w:keepLines w:val="0"/>
              <w:pageBreakBefore w:val="0"/>
              <w:kinsoku/>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sz w:val="24"/>
                <w:highlight w:val="none"/>
              </w:rPr>
            </w:pPr>
            <w:r>
              <w:rPr>
                <w:rFonts w:hint="eastAsia" w:ascii="宋体" w:hAnsi="宋体" w:eastAsia="宋体" w:cs="宋体"/>
                <w:color w:val="auto"/>
                <w:highlight w:val="none"/>
                <w:u w:val="single"/>
              </w:rPr>
              <w:t>阳光城大唐檀境项目部分安置房源第三方检测服务</w:t>
            </w:r>
            <w:r>
              <w:rPr>
                <w:rFonts w:hint="eastAsia" w:ascii="宋体" w:hAnsi="宋体" w:eastAsia="宋体" w:cs="宋体"/>
                <w:color w:val="auto"/>
                <w:highlight w:val="none"/>
              </w:rPr>
              <w:t>采购项目的潜在供应商应在“</w:t>
            </w:r>
            <w:r>
              <w:rPr>
                <w:rFonts w:hint="eastAsia" w:ascii="宋体" w:hAnsi="宋体" w:eastAsia="宋体" w:cs="宋体"/>
                <w:b/>
                <w:bCs/>
                <w:color w:val="auto"/>
                <w:highlight w:val="none"/>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https://www.gcy.zfcg.gxzf.gov.cn</w:t>
            </w:r>
            <w:r>
              <w:rPr>
                <w:rFonts w:hint="eastAsia" w:ascii="宋体" w:hAnsi="宋体" w:eastAsia="宋体" w:cs="宋体"/>
                <w:color w:val="auto"/>
                <w:highlight w:val="none"/>
              </w:rPr>
              <w:t>）获取（下载）获取竞争性磋商文件，并于</w:t>
            </w:r>
            <w:r>
              <w:rPr>
                <w:rFonts w:hint="eastAsia" w:ascii="宋体" w:hAnsi="宋体" w:eastAsia="宋体" w:cs="宋体"/>
                <w:b/>
                <w:bCs/>
                <w:color w:val="auto"/>
                <w:highlight w:val="none"/>
                <w:u w:val="single"/>
              </w:rPr>
              <w:t>2026年</w:t>
            </w:r>
            <w:r>
              <w:rPr>
                <w:rFonts w:hint="eastAsia" w:ascii="宋体" w:hAnsi="宋体" w:eastAsia="宋体" w:cs="宋体"/>
                <w:b/>
                <w:bCs/>
                <w:color w:val="auto"/>
                <w:highlight w:val="none"/>
                <w:u w:val="single"/>
                <w:lang w:val="en-US" w:eastAsia="zh-CN"/>
              </w:rPr>
              <w:t>09</w:t>
            </w:r>
            <w:r>
              <w:rPr>
                <w:rFonts w:hint="eastAsia" w:ascii="宋体" w:hAnsi="宋体" w:eastAsia="宋体" w:cs="宋体"/>
                <w:b/>
                <w:bCs/>
                <w:color w:val="auto"/>
                <w:highlight w:val="none"/>
                <w:u w:val="single"/>
              </w:rPr>
              <w:t>月</w:t>
            </w:r>
            <w:r>
              <w:rPr>
                <w:rFonts w:hint="eastAsia" w:ascii="宋体" w:hAnsi="宋体" w:cs="宋体"/>
                <w:b/>
                <w:bCs/>
                <w:color w:val="auto"/>
                <w:highlight w:val="none"/>
                <w:u w:val="single"/>
                <w:lang w:val="en-US" w:eastAsia="zh-CN"/>
              </w:rPr>
              <w:t>30</w:t>
            </w:r>
            <w:r>
              <w:rPr>
                <w:rFonts w:hint="eastAsia" w:ascii="宋体" w:hAnsi="宋体" w:eastAsia="宋体" w:cs="宋体"/>
                <w:b/>
                <w:bCs/>
                <w:color w:val="auto"/>
                <w:highlight w:val="none"/>
                <w:u w:val="single"/>
              </w:rPr>
              <w:t>日</w:t>
            </w:r>
            <w:r>
              <w:rPr>
                <w:rFonts w:hint="eastAsia" w:ascii="宋体" w:hAnsi="宋体" w:eastAsia="宋体" w:cs="宋体"/>
                <w:b/>
                <w:bCs/>
                <w:color w:val="auto"/>
                <w:highlight w:val="none"/>
                <w:u w:val="single"/>
                <w:lang w:val="en-US" w:eastAsia="zh-CN"/>
              </w:rPr>
              <w:t>09</w:t>
            </w:r>
            <w:r>
              <w:rPr>
                <w:rFonts w:hint="eastAsia" w:ascii="宋体" w:hAnsi="宋体" w:eastAsia="宋体" w:cs="宋体"/>
                <w:b/>
                <w:bCs/>
                <w:color w:val="auto"/>
                <w:highlight w:val="none"/>
                <w:u w:val="single"/>
              </w:rPr>
              <w:t>时30分</w:t>
            </w:r>
            <w:r>
              <w:rPr>
                <w:rFonts w:hint="eastAsia" w:ascii="宋体" w:hAnsi="宋体" w:eastAsia="宋体" w:cs="宋体"/>
                <w:color w:val="auto"/>
                <w:highlight w:val="none"/>
              </w:rPr>
              <w:t>（北京时间）前提交响应文件。</w:t>
            </w:r>
          </w:p>
        </w:tc>
      </w:tr>
    </w:tbl>
    <w:p w14:paraId="2318BB99">
      <w:pPr>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 xml:space="preserve"> </w:t>
      </w:r>
      <w:bookmarkStart w:id="11" w:name="_Toc11106"/>
      <w:bookmarkStart w:id="12" w:name="_Toc27121"/>
    </w:p>
    <w:p w14:paraId="67804601">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
          <w:color w:val="auto"/>
          <w:szCs w:val="21"/>
          <w:highlight w:val="none"/>
        </w:rPr>
      </w:pPr>
      <w:r>
        <w:rPr>
          <w:rFonts w:hint="eastAsia" w:ascii="宋体" w:hAnsi="宋体" w:eastAsia="宋体" w:cs="宋体"/>
          <w:b/>
          <w:color w:val="auto"/>
          <w:kern w:val="44"/>
          <w:sz w:val="24"/>
          <w:highlight w:val="none"/>
        </w:rPr>
        <w:t>一、项目基本情况</w:t>
      </w:r>
      <w:bookmarkEnd w:id="11"/>
      <w:bookmarkEnd w:id="12"/>
    </w:p>
    <w:p w14:paraId="44B473DE">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1.项目编号：NNZC2026-C3-080079-GXSY</w:t>
      </w:r>
    </w:p>
    <w:p w14:paraId="6935B30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2.项目名称：阳光城大唐檀境项目部分安置房源第三方检测服务</w:t>
      </w:r>
    </w:p>
    <w:p w14:paraId="329A0AAA">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3.采购方式：竞争性磋商</w:t>
      </w:r>
    </w:p>
    <w:p w14:paraId="79C95E3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4.预算总金额（元）：1937699.40</w:t>
      </w:r>
    </w:p>
    <w:p w14:paraId="6740F4C9">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5.最高限价（元）：1937699.40</w:t>
      </w:r>
    </w:p>
    <w:p w14:paraId="10463E0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6.采购需求：本次采购阳光城大唐檀境项目（南宁市良庆区坛泽路3号）部分安置房源第三方检测服务，主要对项目安置楼栋9、12、13、18号楼及竞配产权移交住房5号楼开展房屋安全和使用功能检测，涉及建筑面积129179.96㎡</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最高层高为33层，不涉及钢结构</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主要服务内容：依据《建设工程质量检测管理办法》（住房城乡建设部令第57号）、《关于规范我区房屋安全鉴定管理有关工作的通知》（桂建发〔2022〕8号）、《广西壮族自治区建设工程质量检测管理实施细则》（桂建发〔2025〕5号）、</w:t>
      </w:r>
      <w:r>
        <w:rPr>
          <w:rFonts w:hint="eastAsia" w:ascii="宋体" w:hAnsi="宋体" w:eastAsia="宋体" w:cs="宋体"/>
          <w:b w:val="0"/>
          <w:bCs w:val="0"/>
          <w:color w:val="auto"/>
          <w:highlight w:val="none"/>
          <w:lang w:eastAsia="zh-CN"/>
        </w:rPr>
        <w:t>《广西壮族自治区住宅工程质量分户验收管理规定》（桂建发〔2020〕6号）</w:t>
      </w:r>
      <w:r>
        <w:rPr>
          <w:rFonts w:hint="eastAsia" w:ascii="宋体" w:hAnsi="宋体" w:eastAsia="宋体" w:cs="宋体"/>
          <w:b w:val="0"/>
          <w:bCs w:val="0"/>
          <w:color w:val="auto"/>
          <w:highlight w:val="none"/>
        </w:rPr>
        <w:t>等相关检测、验收规定，对阳光城大唐檀境项目（南宁市良庆区坛泽路3号）部分安置房源（主要对项目安置楼栋9、12、13、18号楼及竞配产权移交住房5号楼）进行</w:t>
      </w:r>
      <w:r>
        <w:rPr>
          <w:rFonts w:hint="eastAsia" w:ascii="宋体" w:hAnsi="宋体" w:eastAsia="宋体" w:cs="宋体"/>
          <w:b w:val="0"/>
          <w:bCs w:val="0"/>
          <w:color w:val="auto"/>
          <w:szCs w:val="21"/>
          <w:highlight w:val="none"/>
        </w:rPr>
        <w:t>查勘、调查、检测、复核验算及分析等，完成</w:t>
      </w:r>
      <w:r>
        <w:rPr>
          <w:rFonts w:hint="eastAsia" w:ascii="宋体" w:hAnsi="宋体" w:eastAsia="宋体" w:cs="宋体"/>
          <w:b w:val="0"/>
          <w:bCs w:val="0"/>
          <w:color w:val="auto"/>
          <w:highlight w:val="none"/>
        </w:rPr>
        <w:t>房屋安全鉴定（包括房屋安全性鉴定和抗震鉴定）和房屋使用功能检测，按要求出具检测报告和房屋安全鉴定报告及处理建议</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详见采购文件第二章采购需求。</w:t>
      </w:r>
    </w:p>
    <w:p w14:paraId="311239D1">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bookmarkStart w:id="13" w:name="_Toc35393630"/>
      <w:bookmarkEnd w:id="13"/>
      <w:bookmarkStart w:id="14" w:name="_Toc28359090"/>
      <w:bookmarkEnd w:id="14"/>
      <w:bookmarkStart w:id="15" w:name="_Toc35393799"/>
      <w:bookmarkEnd w:id="15"/>
      <w:bookmarkStart w:id="16" w:name="_Toc28359013"/>
      <w:bookmarkEnd w:id="16"/>
      <w:bookmarkStart w:id="17" w:name="_Toc44229879"/>
      <w:bookmarkStart w:id="18" w:name="_Toc29780"/>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w:t>
      </w:r>
      <w:r>
        <w:rPr>
          <w:rFonts w:hint="eastAsia" w:ascii="宋体" w:hAnsi="宋体" w:eastAsia="宋体" w:cs="宋体"/>
          <w:color w:val="auto"/>
          <w:highlight w:val="none"/>
        </w:rPr>
        <w:t>合同履约期限：</w:t>
      </w:r>
      <w:r>
        <w:rPr>
          <w:rFonts w:hint="eastAsia" w:ascii="宋体" w:hAnsi="宋体" w:eastAsia="宋体" w:cs="宋体"/>
          <w:color w:val="auto"/>
          <w:szCs w:val="21"/>
          <w:highlight w:val="none"/>
        </w:rPr>
        <w:t>项目总工期：</w:t>
      </w:r>
      <w:r>
        <w:rPr>
          <w:rFonts w:hint="eastAsia" w:ascii="宋体" w:hAnsi="宋体" w:eastAsia="宋体" w:cs="宋体"/>
          <w:color w:val="auto"/>
          <w:szCs w:val="21"/>
          <w:highlight w:val="none"/>
          <w:lang w:eastAsia="zh-CN"/>
        </w:rPr>
        <w:t>合同签订后45日历天</w:t>
      </w:r>
      <w:r>
        <w:rPr>
          <w:rFonts w:hint="eastAsia" w:ascii="宋体" w:hAnsi="宋体" w:eastAsia="宋体" w:cs="宋体"/>
          <w:color w:val="auto"/>
          <w:szCs w:val="21"/>
          <w:highlight w:val="none"/>
        </w:rPr>
        <w:t>（自进场至提交正式检测报告和房屋安全鉴定报告）。</w:t>
      </w:r>
    </w:p>
    <w:p w14:paraId="30B99A69">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.本项目是否接受联合体：☑是，□否。</w:t>
      </w:r>
    </w:p>
    <w:p w14:paraId="6AFBBFDD">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Cs/>
          <w:color w:val="auto"/>
          <w:sz w:val="24"/>
          <w:highlight w:val="none"/>
        </w:rPr>
      </w:pPr>
      <w:bookmarkStart w:id="19" w:name="_Toc22293"/>
      <w:r>
        <w:rPr>
          <w:rFonts w:hint="eastAsia" w:ascii="宋体" w:hAnsi="宋体" w:eastAsia="宋体" w:cs="宋体"/>
          <w:b/>
          <w:color w:val="auto"/>
          <w:kern w:val="44"/>
          <w:sz w:val="24"/>
          <w:highlight w:val="none"/>
        </w:rPr>
        <w:t>二、供应商的资格条件</w:t>
      </w:r>
      <w:bookmarkEnd w:id="17"/>
      <w:bookmarkEnd w:id="18"/>
      <w:bookmarkEnd w:id="19"/>
    </w:p>
    <w:p w14:paraId="228324B1">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1.满足《中华人民共和国政府采购法》第二十二条规定；</w:t>
      </w:r>
    </w:p>
    <w:p w14:paraId="262E1EEA">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2.落实政府采购政策需满足的资格要求：</w:t>
      </w:r>
    </w:p>
    <w:p w14:paraId="2C200BA6">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专门面向中小企业采购的项目（供应商应为中小微企业、监狱企业、残疾人福利性单位)</w:t>
      </w:r>
    </w:p>
    <w:p w14:paraId="448E337C">
      <w:pPr>
        <w:keepNext w:val="0"/>
        <w:keepLines w:val="0"/>
        <w:pageBreakBefore w:val="0"/>
        <w:widowControl/>
        <w:kinsoku/>
        <w:wordWrap w:val="0"/>
        <w:overflowPunct/>
        <w:topLinePunct w:val="0"/>
        <w:autoSpaceDE/>
        <w:autoSpaceDN/>
        <w:bidi w:val="0"/>
        <w:adjustRightInd/>
        <w:spacing w:line="360" w:lineRule="auto"/>
        <w:ind w:firstLine="440" w:firstLineChars="200"/>
        <w:jc w:val="left"/>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sz w:val="22"/>
          <w:szCs w:val="22"/>
          <w:highlight w:val="none"/>
        </w:rPr>
        <w:sym w:font="Wingdings 2" w:char="0052"/>
      </w:r>
      <w:r>
        <w:rPr>
          <w:rFonts w:hint="eastAsia" w:ascii="宋体" w:hAnsi="宋体" w:eastAsia="宋体" w:cs="宋体"/>
          <w:b w:val="0"/>
          <w:bCs w:val="0"/>
          <w:color w:val="auto"/>
          <w:highlight w:val="none"/>
        </w:rPr>
        <w:t>非专门面向中小企业采购的项目</w:t>
      </w:r>
    </w:p>
    <w:p w14:paraId="07B3CE35">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highlight w:val="none"/>
        </w:rPr>
        <w:t>3.本项目的特定资格要求：</w:t>
      </w:r>
      <w:r>
        <w:rPr>
          <w:rFonts w:hint="eastAsia" w:ascii="宋体" w:hAnsi="宋体" w:eastAsia="宋体" w:cs="宋体"/>
          <w:b w:val="0"/>
          <w:bCs w:val="0"/>
          <w:color w:val="auto"/>
          <w:szCs w:val="21"/>
          <w:highlight w:val="none"/>
        </w:rPr>
        <w:t>根据</w:t>
      </w:r>
      <w:r>
        <w:rPr>
          <w:rFonts w:hint="eastAsia" w:ascii="宋体" w:hAnsi="宋体" w:eastAsia="宋体" w:cs="宋体"/>
          <w:b w:val="0"/>
          <w:bCs w:val="0"/>
          <w:color w:val="auto"/>
          <w:szCs w:val="21"/>
          <w:highlight w:val="none"/>
          <w:lang w:eastAsia="zh-CN"/>
        </w:rPr>
        <w:t>《建设工程质量检测机构资质标准》（建质规〔2023〕1号）、</w:t>
      </w:r>
      <w:r>
        <w:rPr>
          <w:rFonts w:hint="eastAsia" w:ascii="宋体" w:hAnsi="宋体" w:eastAsia="宋体" w:cs="宋体"/>
          <w:b w:val="0"/>
          <w:bCs w:val="0"/>
          <w:color w:val="auto"/>
          <w:szCs w:val="21"/>
          <w:highlight w:val="none"/>
        </w:rPr>
        <w:t>《自治区住房城乡建设厅关于规范我区房屋安全鉴定管理有关工作的通知》（桂建发〔2022〕8号）文件，</w:t>
      </w:r>
      <w:r>
        <w:rPr>
          <w:rFonts w:hint="eastAsia" w:ascii="宋体" w:hAnsi="宋体" w:eastAsia="宋体" w:cs="宋体"/>
          <w:b w:val="0"/>
          <w:bCs w:val="0"/>
          <w:color w:val="auto"/>
          <w:highlight w:val="none"/>
        </w:rPr>
        <w:t>供应商（联合体）</w:t>
      </w:r>
      <w:r>
        <w:rPr>
          <w:rFonts w:hint="eastAsia" w:ascii="宋体" w:hAnsi="宋体" w:eastAsia="宋体" w:cs="宋体"/>
          <w:b w:val="0"/>
          <w:bCs w:val="0"/>
          <w:color w:val="auto"/>
          <w:szCs w:val="21"/>
          <w:highlight w:val="none"/>
        </w:rPr>
        <w:t>应满足以下要求之一：（1）同时具有</w:t>
      </w:r>
      <w:r>
        <w:rPr>
          <w:rFonts w:hint="eastAsia" w:ascii="宋体" w:hAnsi="宋体" w:eastAsia="宋体" w:cs="宋体"/>
          <w:b w:val="0"/>
          <w:bCs w:val="0"/>
          <w:color w:val="auto"/>
          <w:szCs w:val="21"/>
          <w:highlight w:val="none"/>
          <w:lang w:eastAsia="zh-CN"/>
        </w:rPr>
        <w:t>工程设计建筑行业（或建筑工程专业）</w:t>
      </w:r>
      <w:r>
        <w:rPr>
          <w:rFonts w:hint="eastAsia" w:ascii="宋体" w:hAnsi="宋体" w:eastAsia="宋体" w:cs="宋体"/>
          <w:b w:val="0"/>
          <w:bCs w:val="0"/>
          <w:color w:val="auto"/>
          <w:szCs w:val="21"/>
          <w:highlight w:val="none"/>
        </w:rPr>
        <w:t>甲级资质（或工程设计综合资质）和检测</w:t>
      </w:r>
      <w:r>
        <w:rPr>
          <w:rFonts w:hint="eastAsia" w:ascii="宋体" w:hAnsi="宋体" w:eastAsia="宋体" w:cs="宋体"/>
          <w:b w:val="0"/>
          <w:bCs w:val="0"/>
          <w:color w:val="auto"/>
          <w:szCs w:val="21"/>
          <w:highlight w:val="none"/>
          <w:lang w:val="en-US" w:eastAsia="zh-CN"/>
        </w:rPr>
        <w:t>机构</w:t>
      </w:r>
      <w:r>
        <w:rPr>
          <w:rFonts w:hint="eastAsia" w:ascii="宋体" w:hAnsi="宋体" w:eastAsia="宋体" w:cs="宋体"/>
          <w:b w:val="0"/>
          <w:bCs w:val="0"/>
          <w:color w:val="auto"/>
          <w:szCs w:val="21"/>
          <w:highlight w:val="none"/>
        </w:rPr>
        <w:t>资质</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综合资质或者专项资质（专项内容包括建筑材料及构配件、主体结构及装饰装修、地基基础、建筑节能）</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rPr>
        <w:t>。（2）单独具有</w:t>
      </w:r>
      <w:r>
        <w:rPr>
          <w:rFonts w:hint="eastAsia" w:ascii="宋体" w:hAnsi="宋体" w:eastAsia="宋体" w:cs="宋体"/>
          <w:b w:val="0"/>
          <w:bCs w:val="0"/>
          <w:color w:val="auto"/>
          <w:szCs w:val="21"/>
          <w:highlight w:val="none"/>
          <w:lang w:eastAsia="zh-CN"/>
        </w:rPr>
        <w:t>工程设计建筑行业（或建筑工程专业）</w:t>
      </w:r>
      <w:r>
        <w:rPr>
          <w:rFonts w:hint="eastAsia" w:ascii="宋体" w:hAnsi="宋体" w:eastAsia="宋体" w:cs="宋体"/>
          <w:b w:val="0"/>
          <w:bCs w:val="0"/>
          <w:color w:val="auto"/>
          <w:szCs w:val="21"/>
          <w:highlight w:val="none"/>
        </w:rPr>
        <w:t>甲级资质（或工程设计综合资质）或单独具有检测</w:t>
      </w:r>
      <w:r>
        <w:rPr>
          <w:rFonts w:hint="eastAsia" w:ascii="宋体" w:hAnsi="宋体" w:eastAsia="宋体" w:cs="宋体"/>
          <w:b w:val="0"/>
          <w:bCs w:val="0"/>
          <w:color w:val="auto"/>
          <w:szCs w:val="21"/>
          <w:highlight w:val="none"/>
          <w:lang w:val="en-US" w:eastAsia="zh-CN"/>
        </w:rPr>
        <w:t>机构</w:t>
      </w:r>
      <w:r>
        <w:rPr>
          <w:rFonts w:hint="eastAsia" w:ascii="宋体" w:hAnsi="宋体" w:eastAsia="宋体" w:cs="宋体"/>
          <w:b w:val="0"/>
          <w:bCs w:val="0"/>
          <w:color w:val="auto"/>
          <w:szCs w:val="21"/>
          <w:highlight w:val="none"/>
        </w:rPr>
        <w:t>资质</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综合资质或者专项资质（专项内容包括建筑材料及构配件、主体结构及装饰装修、地基基础、建筑节能）</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rPr>
        <w:t>的房屋安全鉴定机构，可组成联合体开展房屋安全鉴定业务，并签订联合体协议，明确联合体牵头单位和双方责任。提供</w:t>
      </w:r>
      <w:r>
        <w:rPr>
          <w:rFonts w:hint="eastAsia" w:ascii="宋体" w:hAnsi="宋体" w:eastAsia="宋体" w:cs="宋体"/>
          <w:b w:val="0"/>
          <w:bCs w:val="0"/>
          <w:color w:val="auto"/>
          <w:highlight w:val="none"/>
        </w:rPr>
        <w:t>供应商（联合体）的省级及以上建设行政主管部门颁发的工程设计资质证书（复印件）、省级及以上</w:t>
      </w:r>
      <w:r>
        <w:rPr>
          <w:rFonts w:hint="eastAsia" w:ascii="宋体" w:hAnsi="宋体" w:eastAsia="宋体" w:cs="宋体"/>
          <w:b w:val="0"/>
          <w:bCs w:val="0"/>
          <w:color w:val="auto"/>
          <w:highlight w:val="none"/>
          <w:lang w:val="en-US" w:eastAsia="zh-CN"/>
        </w:rPr>
        <w:t>建设行政主管</w:t>
      </w:r>
      <w:r>
        <w:rPr>
          <w:rFonts w:hint="eastAsia" w:ascii="宋体" w:hAnsi="宋体" w:eastAsia="宋体" w:cs="宋体"/>
          <w:b w:val="0"/>
          <w:bCs w:val="0"/>
          <w:color w:val="auto"/>
          <w:highlight w:val="none"/>
        </w:rPr>
        <w:t>部门颁发的</w:t>
      </w:r>
      <w:r>
        <w:rPr>
          <w:rFonts w:hint="eastAsia" w:ascii="宋体" w:hAnsi="宋体" w:eastAsia="宋体" w:cs="宋体"/>
          <w:b w:val="0"/>
          <w:bCs w:val="0"/>
          <w:color w:val="auto"/>
          <w:highlight w:val="none"/>
          <w:lang w:val="en-US" w:eastAsia="zh-CN"/>
        </w:rPr>
        <w:t>建设工程质量检测机构资质证书</w:t>
      </w:r>
      <w:r>
        <w:rPr>
          <w:rFonts w:hint="eastAsia" w:ascii="宋体" w:hAnsi="宋体" w:eastAsia="宋体" w:cs="宋体"/>
          <w:b w:val="0"/>
          <w:bCs w:val="0"/>
          <w:color w:val="auto"/>
          <w:highlight w:val="none"/>
        </w:rPr>
        <w:t>（复印件）。</w:t>
      </w:r>
    </w:p>
    <w:p w14:paraId="25E4233C">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4.本项目的特定条件：无</w:t>
      </w:r>
      <w:r>
        <w:rPr>
          <w:rFonts w:hint="eastAsia" w:ascii="宋体" w:hAnsi="宋体" w:cs="宋体"/>
          <w:color w:val="auto"/>
          <w:highlight w:val="none"/>
          <w:lang w:eastAsia="zh-CN"/>
        </w:rPr>
        <w:t>；</w:t>
      </w:r>
    </w:p>
    <w:p w14:paraId="272D98D0">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.其他要求：</w:t>
      </w:r>
    </w:p>
    <w:p w14:paraId="18C179CD">
      <w:pPr>
        <w:keepNext w:val="0"/>
        <w:keepLines w:val="0"/>
        <w:pageBreakBefore w:val="0"/>
        <w:widowControl/>
        <w:kinsoku/>
        <w:wordWrap w:val="0"/>
        <w:overflowPunct/>
        <w:topLinePunct w:val="0"/>
        <w:autoSpaceDE/>
        <w:autoSpaceDN/>
        <w:bidi w:val="0"/>
        <w:adjustRightInd/>
        <w:spacing w:line="360" w:lineRule="auto"/>
        <w:ind w:firstLine="422" w:firstLineChars="200"/>
        <w:jc w:val="left"/>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联合体竞标的，应满足下列要求：</w:t>
      </w:r>
    </w:p>
    <w:p w14:paraId="0858F643">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（1）联合体竞标时，本项目仅接受两家供应商组成一个联合体参加竞标；联合体各方均必须具备《中华人民共和国政府采购法》第二十二条第一款规定的基本条件。</w:t>
      </w:r>
    </w:p>
    <w:p w14:paraId="3A8FC4D7">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（2）联合体竞标时，联合体各方之间必须签订《联合体协议书》，《联合体协议书》原件（全流程电子标的放入原件的清晰扫描件）放入响应文件中；否则联合体竞标无效。</w:t>
      </w:r>
    </w:p>
    <w:p w14:paraId="2FCAC969">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联合体协议必须明确主体方（或者牵头方）并明确约定联合体各方承担的具体工作分工内容和相应的责任；对应工作分工内容采购文件有特定资质要求的，联合体对应分工的成员必须满足资质要求，否则联合体竞标无效。</w:t>
      </w:r>
    </w:p>
    <w:p w14:paraId="7D350F23">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（4）以联合体形式参加政府采购活动的，联合体各方不得再单独参加或者与其他投标人另外组成联合体参加同一合同项下的政府采购活动。</w:t>
      </w:r>
    </w:p>
    <w:p w14:paraId="483AD84A">
      <w:pPr>
        <w:pStyle w:val="2"/>
        <w:spacing w:line="360" w:lineRule="auto"/>
        <w:ind w:left="0" w:leftChars="0" w:firstLine="420" w:firstLineChars="200"/>
        <w:rPr>
          <w:rFonts w:hint="eastAsia"/>
        </w:rPr>
      </w:pPr>
      <w:r>
        <w:rPr>
          <w:rFonts w:hint="eastAsia" w:ascii="宋体" w:hAnsi="宋体" w:eastAsia="宋体" w:cs="宋体"/>
          <w:color w:val="auto"/>
          <w:highlight w:val="none"/>
        </w:rPr>
        <w:t>（5）联合体中有同类资质的供应商按照联合体分工承担相同工作的，应当按照资质等级较低的供应商确定资质等级。</w:t>
      </w:r>
    </w:p>
    <w:p w14:paraId="59951188">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D873D7C">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.在“信用中国”网站(www.creditchina.gov.cn) 、中国政府采购网(www.ccgp.gov.cn)被列入失信被执行人、重大税收违法失信主体名单、政府采购严重违法失信行为记录名单及其他不符合《中华人民共和国政府采购法》第二十二条规定条件的供应商，不得参与政府采购活动。</w:t>
      </w:r>
    </w:p>
    <w:p w14:paraId="3BB2B74B">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
          <w:bCs/>
          <w:color w:val="auto"/>
          <w:sz w:val="24"/>
          <w:highlight w:val="none"/>
        </w:rPr>
      </w:pPr>
      <w:bookmarkStart w:id="20" w:name="_Toc5277"/>
      <w:bookmarkStart w:id="21" w:name="_Toc26708"/>
      <w:r>
        <w:rPr>
          <w:rFonts w:hint="eastAsia" w:ascii="宋体" w:hAnsi="宋体" w:eastAsia="宋体" w:cs="宋体"/>
          <w:b/>
          <w:bCs/>
          <w:color w:val="auto"/>
          <w:sz w:val="24"/>
          <w:highlight w:val="none"/>
        </w:rPr>
        <w:t>三、获取竞争性磋商文件</w:t>
      </w:r>
      <w:bookmarkEnd w:id="20"/>
      <w:bookmarkEnd w:id="21"/>
    </w:p>
    <w:p w14:paraId="36DC788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bookmarkStart w:id="22" w:name="_Toc35393793"/>
      <w:bookmarkEnd w:id="22"/>
      <w:bookmarkStart w:id="23" w:name="_Toc28359005"/>
      <w:bookmarkEnd w:id="23"/>
      <w:bookmarkStart w:id="24" w:name="_Toc35393624"/>
      <w:bookmarkEnd w:id="24"/>
      <w:bookmarkStart w:id="25" w:name="_Toc28359082"/>
      <w:r>
        <w:rPr>
          <w:rFonts w:hint="eastAsia" w:ascii="宋体" w:hAnsi="宋体" w:eastAsia="宋体" w:cs="宋体"/>
          <w:color w:val="auto"/>
          <w:highlight w:val="none"/>
        </w:rPr>
        <w:t>时间：自公告发布之日起</w:t>
      </w:r>
      <w:bookmarkEnd w:id="25"/>
      <w:r>
        <w:rPr>
          <w:rFonts w:hint="eastAsia" w:ascii="宋体" w:hAnsi="宋体" w:eastAsia="宋体" w:cs="宋体"/>
          <w:color w:val="auto"/>
          <w:highlight w:val="none"/>
        </w:rPr>
        <w:t>至</w:t>
      </w:r>
      <w:r>
        <w:rPr>
          <w:rFonts w:hint="eastAsia" w:ascii="宋体" w:hAnsi="宋体" w:eastAsia="宋体" w:cs="宋体"/>
          <w:b/>
          <w:bCs/>
          <w:color w:val="auto"/>
          <w:highlight w:val="none"/>
          <w:u w:val="single"/>
        </w:rPr>
        <w:t>2026年</w:t>
      </w:r>
      <w:r>
        <w:rPr>
          <w:rFonts w:hint="eastAsia" w:ascii="宋体" w:hAnsi="宋体" w:eastAsia="宋体" w:cs="宋体"/>
          <w:b/>
          <w:bCs/>
          <w:color w:val="auto"/>
          <w:highlight w:val="none"/>
          <w:u w:val="single"/>
          <w:lang w:val="en-US" w:eastAsia="zh-CN"/>
        </w:rPr>
        <w:t>09</w:t>
      </w:r>
      <w:r>
        <w:rPr>
          <w:rFonts w:hint="eastAsia" w:ascii="宋体" w:hAnsi="宋体" w:eastAsia="宋体" w:cs="宋体"/>
          <w:b/>
          <w:bCs/>
          <w:color w:val="auto"/>
          <w:highlight w:val="none"/>
          <w:u w:val="single"/>
        </w:rPr>
        <w:t>月</w:t>
      </w:r>
      <w:r>
        <w:rPr>
          <w:rFonts w:hint="eastAsia" w:ascii="宋体" w:hAnsi="宋体" w:cs="宋体"/>
          <w:b/>
          <w:bCs/>
          <w:color w:val="auto"/>
          <w:highlight w:val="none"/>
          <w:u w:val="single"/>
          <w:lang w:val="en-US" w:eastAsia="zh-CN"/>
        </w:rPr>
        <w:t>30</w:t>
      </w:r>
      <w:r>
        <w:rPr>
          <w:rFonts w:hint="eastAsia" w:ascii="宋体" w:hAnsi="宋体" w:eastAsia="宋体" w:cs="宋体"/>
          <w:b/>
          <w:bCs/>
          <w:color w:val="auto"/>
          <w:highlight w:val="none"/>
          <w:u w:val="single"/>
        </w:rPr>
        <w:t>日0</w:t>
      </w:r>
      <w:r>
        <w:rPr>
          <w:rFonts w:hint="eastAsia" w:ascii="宋体" w:hAnsi="宋体" w:eastAsia="宋体" w:cs="宋体"/>
          <w:b/>
          <w:bCs/>
          <w:color w:val="auto"/>
          <w:highlight w:val="none"/>
          <w:u w:val="single"/>
          <w:lang w:val="en-US" w:eastAsia="zh-CN"/>
        </w:rPr>
        <w:t>9</w:t>
      </w:r>
      <w:r>
        <w:rPr>
          <w:rFonts w:hint="eastAsia" w:ascii="宋体" w:hAnsi="宋体" w:eastAsia="宋体" w:cs="宋体"/>
          <w:b/>
          <w:bCs/>
          <w:color w:val="auto"/>
          <w:highlight w:val="none"/>
          <w:u w:val="single"/>
        </w:rPr>
        <w:t>时30分</w:t>
      </w:r>
      <w:r>
        <w:rPr>
          <w:rFonts w:hint="eastAsia" w:ascii="宋体" w:hAnsi="宋体" w:eastAsia="宋体" w:cs="宋体"/>
          <w:bCs/>
          <w:color w:val="auto"/>
          <w:highlight w:val="none"/>
        </w:rPr>
        <w:t>（北京时间）</w:t>
      </w:r>
      <w:r>
        <w:rPr>
          <w:rFonts w:hint="eastAsia" w:ascii="宋体" w:hAnsi="宋体" w:eastAsia="宋体" w:cs="宋体"/>
          <w:color w:val="auto"/>
          <w:highlight w:val="none"/>
        </w:rPr>
        <w:t>。</w:t>
      </w:r>
    </w:p>
    <w:p w14:paraId="257B26B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b/>
          <w:bCs/>
          <w:color w:val="auto"/>
          <w:sz w:val="24"/>
          <w:highlight w:val="none"/>
        </w:rPr>
      </w:pPr>
      <w:r>
        <w:rPr>
          <w:rFonts w:hint="eastAsia" w:ascii="宋体" w:hAnsi="宋体" w:eastAsia="宋体" w:cs="宋体"/>
          <w:color w:val="auto"/>
          <w:highlight w:val="none"/>
        </w:rPr>
        <w:t>获取方式：网上下载。本项目不发放纸质采购文件，供应商可自行在“广西政府采购云平台”（</w:t>
      </w:r>
      <w:r>
        <w:rPr>
          <w:rFonts w:hint="eastAsia" w:ascii="宋体" w:hAnsi="宋体" w:eastAsia="宋体" w:cs="宋体"/>
          <w:color w:val="auto"/>
          <w:highlight w:val="none"/>
          <w:lang w:eastAsia="zh-CN"/>
        </w:rPr>
        <w:t>https://www.gcy.zfcg.gxzf.gov.cn</w:t>
      </w:r>
      <w:r>
        <w:rPr>
          <w:rFonts w:hint="eastAsia" w:ascii="宋体" w:hAnsi="宋体" w:eastAsia="宋体" w:cs="宋体"/>
          <w:color w:val="auto"/>
          <w:highlight w:val="none"/>
        </w:rPr>
        <w:t>）下载采购文件（操作路径：登录“广西政府采购云平台”-项目采购-获取采购文件-找到本项目-点击“申请获取采购文件”），电子响应文件制作需要基于“广西政府采购云平台”（</w:t>
      </w:r>
      <w:r>
        <w:rPr>
          <w:rFonts w:hint="eastAsia" w:ascii="宋体" w:hAnsi="宋体" w:eastAsia="宋体" w:cs="宋体"/>
          <w:color w:val="auto"/>
          <w:highlight w:val="none"/>
          <w:lang w:eastAsia="zh-CN"/>
        </w:rPr>
        <w:t>https://www.gcy.zfcg.gxzf.gov.cn</w:t>
      </w:r>
      <w:r>
        <w:rPr>
          <w:rFonts w:hint="eastAsia" w:ascii="宋体" w:hAnsi="宋体" w:eastAsia="宋体" w:cs="宋体"/>
          <w:color w:val="auto"/>
          <w:highlight w:val="none"/>
        </w:rPr>
        <w:t>）获取的采购文件编制。</w:t>
      </w:r>
    </w:p>
    <w:p w14:paraId="3A07AABD">
      <w:pPr>
        <w:keepNext w:val="0"/>
        <w:keepLines w:val="0"/>
        <w:pageBreakBefore w:val="0"/>
        <w:kinsoku/>
        <w:wordWrap w:val="0"/>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售价：0元。</w:t>
      </w:r>
    </w:p>
    <w:p w14:paraId="19C139CD">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
          <w:bCs/>
          <w:color w:val="auto"/>
          <w:sz w:val="24"/>
          <w:highlight w:val="none"/>
        </w:rPr>
      </w:pPr>
      <w:bookmarkStart w:id="26" w:name="_Toc21652"/>
      <w:bookmarkStart w:id="27" w:name="_Toc24517"/>
      <w:r>
        <w:rPr>
          <w:rFonts w:hint="eastAsia" w:ascii="宋体" w:hAnsi="宋体" w:eastAsia="宋体" w:cs="宋体"/>
          <w:b/>
          <w:bCs/>
          <w:color w:val="auto"/>
          <w:sz w:val="24"/>
          <w:highlight w:val="none"/>
        </w:rPr>
        <w:t>四、响应文件提交</w:t>
      </w:r>
      <w:bookmarkEnd w:id="26"/>
      <w:bookmarkEnd w:id="27"/>
    </w:p>
    <w:p w14:paraId="6944357B">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highlight w:val="none"/>
        </w:rPr>
        <w:t>1、首次响应文件提交截止时间</w:t>
      </w:r>
      <w:r>
        <w:rPr>
          <w:rFonts w:hint="eastAsia" w:ascii="宋体" w:hAnsi="宋体" w:eastAsia="宋体" w:cs="宋体"/>
          <w:bCs/>
          <w:color w:val="auto"/>
          <w:highlight w:val="none"/>
        </w:rPr>
        <w:t>（北京时间）：</w:t>
      </w:r>
      <w:r>
        <w:rPr>
          <w:rFonts w:hint="eastAsia" w:ascii="宋体" w:hAnsi="宋体" w:eastAsia="宋体" w:cs="宋体"/>
          <w:b/>
          <w:bCs/>
          <w:color w:val="auto"/>
          <w:highlight w:val="none"/>
          <w:u w:val="single"/>
        </w:rPr>
        <w:t>2026年</w:t>
      </w:r>
      <w:r>
        <w:rPr>
          <w:rFonts w:hint="eastAsia" w:ascii="宋体" w:hAnsi="宋体" w:eastAsia="宋体" w:cs="宋体"/>
          <w:b/>
          <w:bCs/>
          <w:color w:val="auto"/>
          <w:highlight w:val="none"/>
          <w:u w:val="single"/>
          <w:lang w:val="en-US" w:eastAsia="zh-CN"/>
        </w:rPr>
        <w:t>09</w:t>
      </w:r>
      <w:r>
        <w:rPr>
          <w:rFonts w:hint="eastAsia" w:ascii="宋体" w:hAnsi="宋体" w:eastAsia="宋体" w:cs="宋体"/>
          <w:b/>
          <w:bCs/>
          <w:color w:val="auto"/>
          <w:highlight w:val="none"/>
          <w:u w:val="single"/>
        </w:rPr>
        <w:t>月</w:t>
      </w:r>
      <w:r>
        <w:rPr>
          <w:rFonts w:hint="eastAsia" w:ascii="宋体" w:hAnsi="宋体" w:cs="宋体"/>
          <w:b/>
          <w:bCs/>
          <w:color w:val="auto"/>
          <w:highlight w:val="none"/>
          <w:u w:val="single"/>
          <w:lang w:val="en-US" w:eastAsia="zh-CN"/>
        </w:rPr>
        <w:t>30</w:t>
      </w:r>
      <w:r>
        <w:rPr>
          <w:rFonts w:hint="eastAsia" w:ascii="宋体" w:hAnsi="宋体" w:eastAsia="宋体" w:cs="宋体"/>
          <w:b/>
          <w:bCs/>
          <w:color w:val="auto"/>
          <w:highlight w:val="none"/>
          <w:u w:val="single"/>
        </w:rPr>
        <w:t>日0</w:t>
      </w:r>
      <w:r>
        <w:rPr>
          <w:rFonts w:hint="eastAsia" w:ascii="宋体" w:hAnsi="宋体" w:eastAsia="宋体" w:cs="宋体"/>
          <w:b/>
          <w:bCs/>
          <w:color w:val="auto"/>
          <w:highlight w:val="none"/>
          <w:u w:val="single"/>
          <w:lang w:val="en-US" w:eastAsia="zh-CN"/>
        </w:rPr>
        <w:t>9</w:t>
      </w:r>
      <w:r>
        <w:rPr>
          <w:rFonts w:hint="eastAsia" w:ascii="宋体" w:hAnsi="宋体" w:eastAsia="宋体" w:cs="宋体"/>
          <w:b/>
          <w:bCs/>
          <w:color w:val="auto"/>
          <w:highlight w:val="none"/>
          <w:u w:val="single"/>
        </w:rPr>
        <w:t>时30分</w:t>
      </w:r>
      <w:r>
        <w:rPr>
          <w:rFonts w:hint="eastAsia" w:ascii="宋体" w:hAnsi="宋体" w:eastAsia="宋体" w:cs="宋体"/>
          <w:color w:val="auto"/>
          <w:highlight w:val="none"/>
          <w:u w:val="single"/>
        </w:rPr>
        <w:t>（从磋商文件开始发出之日起至供应商提交首次响应文件截止之日止不得少于10日）</w:t>
      </w:r>
      <w:r>
        <w:rPr>
          <w:rFonts w:hint="eastAsia" w:ascii="宋体" w:hAnsi="宋体" w:eastAsia="宋体" w:cs="宋体"/>
          <w:color w:val="auto"/>
          <w:highlight w:val="none"/>
        </w:rPr>
        <w:t>。</w:t>
      </w:r>
    </w:p>
    <w:p w14:paraId="0E33DF8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2、首次响应文件提交地点：</w:t>
      </w:r>
    </w:p>
    <w:p w14:paraId="5057020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（1）响应文件提交方式：本项目为南宁市全流程电子化项目，通过广西政府采购云平台</w:t>
      </w:r>
      <w:r>
        <w:rPr>
          <w:rFonts w:hint="eastAsia" w:ascii="宋体" w:hAnsi="宋体" w:eastAsia="宋体" w:cs="宋体"/>
          <w:color w:val="auto"/>
          <w:highlight w:val="none"/>
          <w:lang w:eastAsia="zh-CN"/>
        </w:rPr>
        <w:t>https://www.gcy.zfcg.gxzf.gov.cn</w:t>
      </w:r>
      <w:r>
        <w:rPr>
          <w:rFonts w:hint="eastAsia" w:ascii="宋体" w:hAnsi="宋体" w:eastAsia="宋体" w:cs="宋体"/>
          <w:color w:val="auto"/>
          <w:highlight w:val="none"/>
        </w:rPr>
        <w:t>实行在线电子投标，各供应商通过新平台参与政府采购项目投标需下载使用新版客户端，新版客户端下载路径：广西政府采购网（访问地址http：//zfcg.gxzf.gov.cn/）—办事服务—下载专区。原在政采云平台注册的临时供应商需在新平台启用后重新注册登记。供应商广西政府采购云平台下载采购文件后，按照平台的要求编制、加密后在投标截止时间前通过网络上传至“广西政府采购云平台”（</w:t>
      </w:r>
      <w:r>
        <w:rPr>
          <w:rFonts w:hint="eastAsia" w:ascii="宋体" w:hAnsi="宋体" w:eastAsia="宋体" w:cs="宋体"/>
          <w:color w:val="auto"/>
          <w:highlight w:val="none"/>
          <w:lang w:eastAsia="zh-CN"/>
        </w:rPr>
        <w:t>https://www.gcy.zfcg.gxzf.gov.cn</w:t>
      </w:r>
      <w:r>
        <w:rPr>
          <w:rFonts w:hint="eastAsia" w:ascii="宋体" w:hAnsi="宋体" w:eastAsia="宋体" w:cs="宋体"/>
          <w:color w:val="auto"/>
          <w:highlight w:val="none"/>
        </w:rPr>
        <w:t>），供应商在“广西政府采购云平台”平台提交电子版</w:t>
      </w:r>
      <w:r>
        <w:rPr>
          <w:rFonts w:hint="eastAsia" w:ascii="宋体" w:hAnsi="宋体" w:eastAsia="宋体" w:cs="宋体"/>
          <w:color w:val="auto"/>
          <w:highlight w:val="none"/>
          <w:lang w:eastAsia="zh-CN"/>
        </w:rPr>
        <w:t>响应文件</w:t>
      </w:r>
      <w:r>
        <w:rPr>
          <w:rFonts w:hint="eastAsia" w:ascii="宋体" w:hAnsi="宋体" w:eastAsia="宋体" w:cs="宋体"/>
          <w:color w:val="auto"/>
          <w:highlight w:val="none"/>
        </w:rPr>
        <w:t>时，请填写参加远程开标活动经办人联系方式。</w:t>
      </w:r>
    </w:p>
    <w:p w14:paraId="19BBA90D">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未进行网上注册并办理数字证书（CA认证）的供应商将无法参与本项目政府采购活动，潜在供应商应当在投标截止时间前，完成电子交易平台上的CA数字证书办理及响应文件的提交。完成CA数字证书办理预计7日左右，供应商只需办理其中一家CA数字证书及签章。</w:t>
      </w:r>
    </w:p>
    <w:p w14:paraId="55F84D78">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（3）为确保网上操作合法、有效和安全，请供应商确保在电子响应过程中能够对相关数据电文进行加密和使用电子签章，妥善保管CA数字证书并使用有效的CA数字证书参与整个采购活动。</w:t>
      </w:r>
    </w:p>
    <w:p w14:paraId="0F87543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516A8F21">
      <w:pPr>
        <w:keepNext w:val="0"/>
        <w:keepLines w:val="0"/>
        <w:pageBreakBefore w:val="0"/>
        <w:kinsoku/>
        <w:wordWrap w:val="0"/>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CA证书在线解密：首次响应文件开启时，须要供应商携带制作响应文件时用来加密的有效数字证书（CA认证）登录“广西政府采购云平台”电子开标大厅现场按规定时间对加密的响应文件进行解密，否则后果自负。</w:t>
      </w:r>
    </w:p>
    <w:p w14:paraId="1CA6F6F8">
      <w:pPr>
        <w:keepNext w:val="0"/>
        <w:keepLines w:val="0"/>
        <w:pageBreakBefore w:val="0"/>
        <w:kinsoku/>
        <w:wordWrap w:val="0"/>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4、供应商需要在具备有摄像头及语音功能且互联网网络状况良好的电脑登录“广西政府采购云平台”远程开标大厅参与本次磋商，否则后果自负。</w:t>
      </w:r>
    </w:p>
    <w:p w14:paraId="25B05E73">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
          <w:bCs/>
          <w:color w:val="auto"/>
          <w:sz w:val="24"/>
          <w:highlight w:val="none"/>
        </w:rPr>
      </w:pPr>
      <w:bookmarkStart w:id="28" w:name="_Toc6234"/>
      <w:bookmarkStart w:id="29" w:name="_Toc15269"/>
      <w:r>
        <w:rPr>
          <w:rFonts w:hint="eastAsia" w:ascii="宋体" w:hAnsi="宋体" w:eastAsia="宋体" w:cs="宋体"/>
          <w:b/>
          <w:bCs/>
          <w:color w:val="auto"/>
          <w:sz w:val="24"/>
          <w:highlight w:val="none"/>
        </w:rPr>
        <w:t>五、开启（首次响应文件开启时间）</w:t>
      </w:r>
      <w:bookmarkEnd w:id="28"/>
      <w:bookmarkEnd w:id="29"/>
    </w:p>
    <w:p w14:paraId="1F5CCF22">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b/>
          <w:bCs/>
          <w:color w:val="auto"/>
          <w:szCs w:val="21"/>
          <w:highlight w:val="none"/>
          <w:u w:val="single"/>
        </w:rPr>
      </w:pPr>
      <w:r>
        <w:rPr>
          <w:rFonts w:hint="eastAsia" w:ascii="宋体" w:hAnsi="宋体" w:eastAsia="宋体" w:cs="宋体"/>
          <w:color w:val="auto"/>
          <w:highlight w:val="none"/>
        </w:rPr>
        <w:t>1.时间</w:t>
      </w:r>
      <w:r>
        <w:rPr>
          <w:rFonts w:hint="eastAsia" w:ascii="宋体" w:hAnsi="宋体" w:eastAsia="宋体" w:cs="宋体"/>
          <w:bCs/>
          <w:color w:val="auto"/>
          <w:highlight w:val="none"/>
        </w:rPr>
        <w:t>（北京时间）</w:t>
      </w:r>
      <w:r>
        <w:rPr>
          <w:rFonts w:hint="eastAsia" w:ascii="宋体" w:hAnsi="宋体" w:eastAsia="宋体" w:cs="宋体"/>
          <w:b/>
          <w:bCs/>
          <w:color w:val="auto"/>
          <w:highlight w:val="none"/>
          <w:u w:val="single"/>
        </w:rPr>
        <w:t>2026年0</w:t>
      </w:r>
      <w:r>
        <w:rPr>
          <w:rFonts w:hint="eastAsia" w:ascii="宋体" w:hAnsi="宋体" w:eastAsia="宋体" w:cs="宋体"/>
          <w:b/>
          <w:bCs/>
          <w:color w:val="auto"/>
          <w:highlight w:val="none"/>
          <w:u w:val="single"/>
          <w:lang w:val="en-US" w:eastAsia="zh-CN"/>
        </w:rPr>
        <w:t>9</w:t>
      </w:r>
      <w:r>
        <w:rPr>
          <w:rFonts w:hint="eastAsia" w:ascii="宋体" w:hAnsi="宋体" w:eastAsia="宋体" w:cs="宋体"/>
          <w:b/>
          <w:bCs/>
          <w:color w:val="auto"/>
          <w:highlight w:val="none"/>
          <w:u w:val="single"/>
        </w:rPr>
        <w:t>月</w:t>
      </w:r>
      <w:r>
        <w:rPr>
          <w:rFonts w:hint="eastAsia" w:ascii="宋体" w:hAnsi="宋体" w:cs="宋体"/>
          <w:b/>
          <w:bCs/>
          <w:color w:val="auto"/>
          <w:highlight w:val="none"/>
          <w:u w:val="single"/>
          <w:lang w:val="en-US" w:eastAsia="zh-CN"/>
        </w:rPr>
        <w:t>30</w:t>
      </w:r>
      <w:r>
        <w:rPr>
          <w:rFonts w:hint="eastAsia" w:ascii="宋体" w:hAnsi="宋体" w:eastAsia="宋体" w:cs="宋体"/>
          <w:b/>
          <w:bCs/>
          <w:color w:val="auto"/>
          <w:highlight w:val="none"/>
          <w:u w:val="single"/>
        </w:rPr>
        <w:t>日0</w:t>
      </w:r>
      <w:r>
        <w:rPr>
          <w:rFonts w:hint="eastAsia" w:ascii="宋体" w:hAnsi="宋体" w:eastAsia="宋体" w:cs="宋体"/>
          <w:b/>
          <w:bCs/>
          <w:color w:val="auto"/>
          <w:highlight w:val="none"/>
          <w:u w:val="single"/>
          <w:lang w:val="en-US" w:eastAsia="zh-CN"/>
        </w:rPr>
        <w:t>9</w:t>
      </w:r>
      <w:r>
        <w:rPr>
          <w:rFonts w:hint="eastAsia" w:ascii="宋体" w:hAnsi="宋体" w:eastAsia="宋体" w:cs="宋体"/>
          <w:b/>
          <w:bCs/>
          <w:color w:val="auto"/>
          <w:highlight w:val="none"/>
          <w:u w:val="single"/>
        </w:rPr>
        <w:t>时30分</w:t>
      </w:r>
      <w:r>
        <w:rPr>
          <w:rFonts w:hint="eastAsia" w:ascii="宋体" w:hAnsi="宋体" w:eastAsia="宋体" w:cs="宋体"/>
          <w:b/>
          <w:bCs/>
          <w:color w:val="auto"/>
          <w:highlight w:val="none"/>
        </w:rPr>
        <w:t>后</w:t>
      </w:r>
    </w:p>
    <w:p w14:paraId="602C27F2">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highlight w:val="none"/>
          <w:u w:val="single"/>
        </w:rPr>
      </w:pPr>
      <w:r>
        <w:rPr>
          <w:rFonts w:hint="eastAsia" w:ascii="宋体" w:hAnsi="宋体" w:eastAsia="宋体" w:cs="宋体"/>
          <w:color w:val="auto"/>
          <w:highlight w:val="none"/>
        </w:rPr>
        <w:t>2.地点：</w:t>
      </w:r>
      <w:r>
        <w:rPr>
          <w:rFonts w:hint="eastAsia" w:ascii="宋体" w:hAnsi="宋体" w:eastAsia="宋体" w:cs="宋体"/>
          <w:color w:val="auto"/>
          <w:highlight w:val="none"/>
          <w:u w:val="single"/>
        </w:rPr>
        <w:t xml:space="preserve">“广西政府采购云平台”远程开标大厅 </w:t>
      </w:r>
    </w:p>
    <w:p w14:paraId="34FC4DD4">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
          <w:bCs/>
          <w:color w:val="auto"/>
          <w:sz w:val="24"/>
          <w:highlight w:val="none"/>
        </w:rPr>
      </w:pPr>
      <w:bookmarkStart w:id="30" w:name="_Toc35393625"/>
      <w:bookmarkEnd w:id="30"/>
      <w:bookmarkStart w:id="31" w:name="_Toc28359084"/>
      <w:bookmarkEnd w:id="31"/>
      <w:bookmarkStart w:id="32" w:name="_Toc35393794"/>
      <w:bookmarkEnd w:id="32"/>
      <w:bookmarkStart w:id="33" w:name="_Toc28818"/>
      <w:bookmarkStart w:id="34" w:name="_Toc28359007"/>
      <w:bookmarkStart w:id="35" w:name="_Toc13637"/>
      <w:r>
        <w:rPr>
          <w:rFonts w:hint="eastAsia" w:ascii="宋体" w:hAnsi="宋体" w:eastAsia="宋体" w:cs="宋体"/>
          <w:b/>
          <w:bCs/>
          <w:color w:val="auto"/>
          <w:sz w:val="24"/>
          <w:highlight w:val="none"/>
        </w:rPr>
        <w:t>六、公告期限</w:t>
      </w:r>
      <w:bookmarkEnd w:id="33"/>
      <w:bookmarkEnd w:id="34"/>
      <w:bookmarkEnd w:id="35"/>
    </w:p>
    <w:p w14:paraId="765883A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highlight w:val="none"/>
        </w:rPr>
        <w:t>自本公告发布之日起5个工作日。</w:t>
      </w:r>
    </w:p>
    <w:p w14:paraId="3842DFCB">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
          <w:bCs/>
          <w:color w:val="auto"/>
          <w:sz w:val="24"/>
          <w:highlight w:val="none"/>
        </w:rPr>
      </w:pPr>
      <w:bookmarkStart w:id="36" w:name="_Toc35393795"/>
      <w:bookmarkEnd w:id="36"/>
      <w:bookmarkStart w:id="37" w:name="_Toc4323"/>
      <w:bookmarkStart w:id="38" w:name="_Toc1520"/>
      <w:bookmarkStart w:id="39" w:name="_Toc35393626"/>
      <w:r>
        <w:rPr>
          <w:rFonts w:hint="eastAsia" w:ascii="宋体" w:hAnsi="宋体" w:eastAsia="宋体" w:cs="宋体"/>
          <w:b/>
          <w:bCs/>
          <w:color w:val="auto"/>
          <w:sz w:val="24"/>
          <w:highlight w:val="none"/>
        </w:rPr>
        <w:t>七、其他补充事宜</w:t>
      </w:r>
      <w:bookmarkEnd w:id="37"/>
      <w:bookmarkEnd w:id="38"/>
      <w:bookmarkEnd w:id="39"/>
    </w:p>
    <w:p w14:paraId="6B86219A">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highlight w:val="none"/>
        </w:rPr>
        <w:t>磋商保证金：本项目不收取磋商保证金</w:t>
      </w:r>
    </w:p>
    <w:p w14:paraId="6D83551D">
      <w:pPr>
        <w:keepNext w:val="0"/>
        <w:keepLines w:val="0"/>
        <w:pageBreakBefore w:val="0"/>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2.采购意向公开链接： </w:t>
      </w:r>
    </w:p>
    <w:p w14:paraId="5BEC2AB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u w:val="single"/>
        </w:rPr>
        <w:t>http://www.ccgp-guangxi.gov.cn/site/detail?categoryCode=ZcyAnnouncement&amp;parentId=66485&amp;articleId=rPBIjghlShkZXYhKeJZlaQ==</w:t>
      </w:r>
    </w:p>
    <w:p w14:paraId="1C9BAD7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kern w:val="0"/>
          <w:szCs w:val="21"/>
          <w:highlight w:val="none"/>
        </w:rPr>
        <w:t>网上查询地址</w:t>
      </w:r>
    </w:p>
    <w:p w14:paraId="17D1818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中国政府采购网  http：//www.ccgp.gov.cn/、广西政府采购网http：//zfcg.gxzf.gov.cn、全国公共资源交易平台(广西.南宁) http：//ggzy.jgswj.gxzf.gov.cn/nnggzy/</w:t>
      </w:r>
    </w:p>
    <w:p w14:paraId="62F2930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4. </w:t>
      </w:r>
      <w:r>
        <w:rPr>
          <w:rFonts w:hint="eastAsia" w:ascii="宋体" w:hAnsi="宋体" w:eastAsia="宋体" w:cs="宋体"/>
          <w:color w:val="auto"/>
          <w:kern w:val="0"/>
          <w:szCs w:val="21"/>
          <w:highlight w:val="none"/>
        </w:rPr>
        <w:t>本项目需要落实的政府采购政策</w:t>
      </w:r>
    </w:p>
    <w:p w14:paraId="589EEAC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3DF3955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533FBA89">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（3）政府采购促进残疾人就业政策。</w:t>
      </w:r>
    </w:p>
    <w:p w14:paraId="21FC2CBA">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（4）政府采购支持监狱企业发展。</w:t>
      </w:r>
    </w:p>
    <w:p w14:paraId="26CDAC0A">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5.供应商认为采购文件使自己的权益受到损害的，可以在知道或者应知其权益受到损害之日</w:t>
      </w:r>
      <w:r>
        <w:rPr>
          <w:rFonts w:hint="eastAsia" w:ascii="宋体" w:hAnsi="宋体" w:eastAsia="宋体" w:cs="宋体"/>
          <w:color w:val="auto"/>
          <w:kern w:val="0"/>
          <w:highlight w:val="none"/>
        </w:rPr>
        <w:t>（公告期限届满后获取采购文件的，以公告期限届满之日为准）</w:t>
      </w:r>
      <w:r>
        <w:rPr>
          <w:rFonts w:hint="eastAsia" w:ascii="宋体" w:hAnsi="宋体" w:eastAsia="宋体" w:cs="宋体"/>
          <w:color w:val="auto"/>
          <w:kern w:val="0"/>
          <w:szCs w:val="21"/>
          <w:highlight w:val="none"/>
        </w:rPr>
        <w:t>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0AF46042">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 若对项目采购电子交易系统操作有疑问，可登录</w:t>
      </w:r>
      <w:r>
        <w:rPr>
          <w:rFonts w:hint="eastAsia" w:ascii="宋体" w:hAnsi="宋体" w:eastAsia="宋体" w:cs="宋体"/>
          <w:color w:val="auto"/>
          <w:highlight w:val="none"/>
        </w:rPr>
        <w:t>“</w:t>
      </w:r>
      <w:r>
        <w:rPr>
          <w:rFonts w:hint="eastAsia" w:ascii="宋体" w:hAnsi="宋体" w:eastAsia="宋体" w:cs="宋体"/>
          <w:b/>
          <w:bCs/>
          <w:color w:val="auto"/>
          <w:highlight w:val="none"/>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highlight w:val="none"/>
        </w:rPr>
        <w:t>（ </w:t>
      </w:r>
      <w:r>
        <w:rPr>
          <w:rFonts w:hint="eastAsia" w:ascii="宋体" w:hAnsi="宋体" w:eastAsia="宋体" w:cs="宋体"/>
          <w:color w:val="auto"/>
          <w:highlight w:val="none"/>
          <w:lang w:eastAsia="zh-CN"/>
        </w:rPr>
        <w:t>https://www.gcy.zfcg.gxzf.gov.cn</w:t>
      </w:r>
      <w:r>
        <w:rPr>
          <w:rFonts w:hint="eastAsia" w:ascii="宋体" w:hAnsi="宋体" w:eastAsia="宋体" w:cs="宋体"/>
          <w:color w:val="auto"/>
          <w:highlight w:val="none"/>
        </w:rPr>
        <w:t>）</w:t>
      </w:r>
      <w:r>
        <w:rPr>
          <w:rFonts w:hint="eastAsia" w:ascii="宋体" w:hAnsi="宋体" w:eastAsia="宋体" w:cs="宋体"/>
          <w:color w:val="auto"/>
          <w:kern w:val="0"/>
          <w:szCs w:val="21"/>
          <w:highlight w:val="none"/>
        </w:rPr>
        <w:t>，点击右侧咨询小采，获取采小蜜智能服务管家帮助，或拨打广西政府采购云平台服务热线95763获取热线服务帮助。</w:t>
      </w:r>
    </w:p>
    <w:p w14:paraId="3F0E6BF0">
      <w:pPr>
        <w:keepNext w:val="0"/>
        <w:keepLines w:val="0"/>
        <w:pageBreakBefore w:val="0"/>
        <w:kinsoku/>
        <w:wordWrap w:val="0"/>
        <w:overflowPunct/>
        <w:topLinePunct w:val="0"/>
        <w:autoSpaceDE/>
        <w:autoSpaceDN/>
        <w:bidi w:val="0"/>
        <w:adjustRightInd/>
        <w:spacing w:line="360" w:lineRule="auto"/>
        <w:ind w:firstLine="422" w:firstLineChars="200"/>
        <w:textAlignment w:val="auto"/>
        <w:rPr>
          <w:rFonts w:hint="eastAsia" w:ascii="宋体" w:hAnsi="宋体" w:eastAsia="宋体" w:cs="宋体"/>
          <w:b/>
          <w:bCs/>
          <w:color w:val="auto"/>
          <w:kern w:val="0"/>
          <w:highlight w:val="none"/>
        </w:rPr>
      </w:pPr>
      <w:r>
        <w:rPr>
          <w:rFonts w:hint="eastAsia" w:ascii="宋体" w:hAnsi="宋体" w:eastAsia="宋体" w:cs="宋体"/>
          <w:b/>
          <w:bCs/>
          <w:color w:val="auto"/>
          <w:kern w:val="0"/>
          <w:szCs w:val="21"/>
          <w:highlight w:val="none"/>
        </w:rPr>
        <w:t>7.本项目不属于远程异地评审项目。</w:t>
      </w:r>
      <w:r>
        <w:rPr>
          <w:rFonts w:hint="eastAsia" w:ascii="宋体" w:hAnsi="宋体" w:eastAsia="宋体" w:cs="宋体"/>
          <w:b/>
          <w:bCs/>
          <w:color w:val="auto"/>
          <w:kern w:val="0"/>
          <w:highlight w:val="none"/>
        </w:rPr>
        <w:t xml:space="preserve"> </w:t>
      </w:r>
    </w:p>
    <w:p w14:paraId="05924E8F">
      <w:pPr>
        <w:keepNext w:val="0"/>
        <w:keepLines w:val="0"/>
        <w:pageBreakBefore w:val="0"/>
        <w:kinsoku/>
        <w:wordWrap w:val="0"/>
        <w:overflowPunct/>
        <w:topLinePunct w:val="0"/>
        <w:autoSpaceDE/>
        <w:autoSpaceDN/>
        <w:bidi w:val="0"/>
        <w:adjustRightInd/>
        <w:spacing w:line="360" w:lineRule="auto"/>
        <w:ind w:firstLine="482" w:firstLineChars="200"/>
        <w:textAlignment w:val="auto"/>
        <w:outlineLvl w:val="1"/>
        <w:rPr>
          <w:rFonts w:hint="eastAsia" w:ascii="宋体" w:hAnsi="宋体" w:eastAsia="宋体" w:cs="宋体"/>
          <w:bCs/>
          <w:color w:val="auto"/>
          <w:sz w:val="24"/>
          <w:highlight w:val="none"/>
        </w:rPr>
      </w:pPr>
      <w:bookmarkStart w:id="40" w:name="_Toc16368"/>
      <w:bookmarkStart w:id="41" w:name="_Toc26044"/>
      <w:r>
        <w:rPr>
          <w:rFonts w:hint="eastAsia" w:ascii="宋体" w:hAnsi="宋体" w:eastAsia="宋体" w:cs="宋体"/>
          <w:b/>
          <w:color w:val="auto"/>
          <w:kern w:val="44"/>
          <w:sz w:val="24"/>
          <w:highlight w:val="none"/>
        </w:rPr>
        <w:t>八、凡对本次采购提出询问，请按以下方式联系</w:t>
      </w:r>
      <w:bookmarkEnd w:id="40"/>
      <w:bookmarkEnd w:id="41"/>
    </w:p>
    <w:p w14:paraId="6AAA59B5">
      <w:pPr>
        <w:keepNext w:val="0"/>
        <w:keepLines w:val="0"/>
        <w:pageBreakBefore w:val="0"/>
        <w:kinsoku/>
        <w:wordWrap w:val="0"/>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4D93E909">
      <w:pPr>
        <w:keepNext w:val="0"/>
        <w:keepLines w:val="0"/>
        <w:pageBreakBefore w:val="0"/>
        <w:kinsoku/>
        <w:wordWrap w:val="0"/>
        <w:overflowPunct/>
        <w:topLinePunct w:val="0"/>
        <w:autoSpaceDE/>
        <w:autoSpaceDN/>
        <w:bidi w:val="0"/>
        <w:adjustRightInd/>
        <w:spacing w:line="360" w:lineRule="auto"/>
        <w:ind w:left="0" w:leftChars="0" w:firstLine="420" w:firstLineChars="2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名 称：南宁市良庆区住房和城乡建设局</w:t>
      </w:r>
    </w:p>
    <w:p w14:paraId="499B97AF">
      <w:pPr>
        <w:keepNext w:val="0"/>
        <w:keepLines w:val="0"/>
        <w:pageBreakBefore w:val="0"/>
        <w:kinsoku/>
        <w:wordWrap w:val="0"/>
        <w:overflowPunct/>
        <w:topLinePunct w:val="0"/>
        <w:autoSpaceDE/>
        <w:autoSpaceDN/>
        <w:bidi w:val="0"/>
        <w:adjustRightInd/>
        <w:spacing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地址：南宁市良庆区平乐大道20号五象湖公园4号楼</w:t>
      </w:r>
    </w:p>
    <w:p w14:paraId="58FC3B2B">
      <w:pPr>
        <w:pStyle w:val="14"/>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kern w:val="2"/>
          <w:sz w:val="21"/>
          <w:highlight w:val="none"/>
        </w:rPr>
        <w:t>项目联系人：张工</w:t>
      </w:r>
    </w:p>
    <w:p w14:paraId="238872A8">
      <w:pPr>
        <w:keepNext w:val="0"/>
        <w:keepLines w:val="0"/>
        <w:pageBreakBefore w:val="0"/>
        <w:kinsoku/>
        <w:wordWrap w:val="0"/>
        <w:overflowPunct/>
        <w:topLinePunct w:val="0"/>
        <w:autoSpaceDE/>
        <w:autoSpaceDN/>
        <w:bidi w:val="0"/>
        <w:adjustRightInd/>
        <w:spacing w:line="360" w:lineRule="auto"/>
        <w:ind w:left="0" w:leftChars="0" w:firstLine="420" w:firstLineChars="2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联系电话：0771-3107713</w:t>
      </w:r>
    </w:p>
    <w:p w14:paraId="0D33A58E">
      <w:pPr>
        <w:keepNext w:val="0"/>
        <w:keepLines w:val="0"/>
        <w:pageBreakBefore w:val="0"/>
        <w:kinsoku/>
        <w:wordWrap w:val="0"/>
        <w:overflowPunct/>
        <w:topLinePunct w:val="0"/>
        <w:autoSpaceDE/>
        <w:autoSpaceDN/>
        <w:bidi w:val="0"/>
        <w:adjustRightInd/>
        <w:spacing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07EC52D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名 称：</w:t>
      </w:r>
      <w:bookmarkStart w:id="42" w:name="PO_3000001868_PM031_1"/>
      <w:r>
        <w:rPr>
          <w:rFonts w:hint="eastAsia" w:ascii="宋体" w:hAnsi="宋体" w:eastAsia="宋体" w:cs="宋体"/>
          <w:color w:val="auto"/>
          <w:szCs w:val="21"/>
          <w:highlight w:val="none"/>
          <w:u w:val="none"/>
        </w:rPr>
        <w:t>广西盛元华工程咨询有限公司</w:t>
      </w:r>
      <w:bookmarkEnd w:id="42"/>
    </w:p>
    <w:p w14:paraId="001D05E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地　址：</w:t>
      </w:r>
      <w:bookmarkStart w:id="43" w:name="PO_3000001868_PM035"/>
      <w:r>
        <w:rPr>
          <w:rFonts w:hint="eastAsia" w:ascii="宋体" w:hAnsi="宋体" w:eastAsia="宋体" w:cs="宋体"/>
          <w:color w:val="auto"/>
          <w:szCs w:val="21"/>
          <w:highlight w:val="none"/>
          <w:u w:val="none"/>
        </w:rPr>
        <w:t>中国(广西)自由贸易试验区南宁片区庆歌路20号富雅国际商务大厦A栋27层房号2701、2702、2713、2715、2716、2717、2718号</w:t>
      </w:r>
      <w:bookmarkEnd w:id="43"/>
    </w:p>
    <w:p w14:paraId="0784980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bookmarkStart w:id="44" w:name="PO_3000001868_PM033"/>
      <w:r>
        <w:rPr>
          <w:rFonts w:hint="eastAsia" w:ascii="宋体" w:hAnsi="宋体" w:eastAsia="宋体" w:cs="宋体"/>
          <w:color w:val="auto"/>
          <w:szCs w:val="21"/>
          <w:highlight w:val="none"/>
          <w:u w:val="none"/>
        </w:rPr>
        <w:t>0771-2869782</w:t>
      </w:r>
      <w:bookmarkEnd w:id="44"/>
    </w:p>
    <w:p w14:paraId="5AD86DEE">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3.项目联系方式</w:t>
      </w:r>
    </w:p>
    <w:p w14:paraId="4D18B03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项目联系人：梁连莲</w:t>
      </w:r>
    </w:p>
    <w:p w14:paraId="4B71DB2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电    话：0771-2869782</w:t>
      </w:r>
    </w:p>
    <w:p w14:paraId="2ECFD8E2">
      <w:pPr>
        <w:pStyle w:val="10"/>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p>
    <w:p w14:paraId="4C0737C2">
      <w:pPr>
        <w:pStyle w:val="10"/>
        <w:keepNext w:val="0"/>
        <w:keepLines w:val="0"/>
        <w:pageBreakBefore w:val="0"/>
        <w:kinsoku/>
        <w:wordWrap w:val="0"/>
        <w:overflowPunct/>
        <w:topLinePunct w:val="0"/>
        <w:autoSpaceDE/>
        <w:autoSpaceDN/>
        <w:bidi w:val="0"/>
        <w:adjustRightInd/>
        <w:spacing w:line="360" w:lineRule="auto"/>
        <w:ind w:firstLine="420" w:firstLineChars="200"/>
        <w:jc w:val="right"/>
        <w:textAlignment w:val="auto"/>
        <w:rPr>
          <w:rFonts w:hint="eastAsia" w:ascii="宋体" w:hAnsi="宋体" w:eastAsia="宋体" w:cs="宋体"/>
          <w:color w:val="auto"/>
          <w:highlight w:val="none"/>
        </w:rPr>
      </w:pPr>
      <w:bookmarkStart w:id="45" w:name="PO_3000001868_PM031_2"/>
      <w:bookmarkEnd w:id="45"/>
      <w:r>
        <w:rPr>
          <w:rFonts w:hint="eastAsia" w:ascii="宋体" w:hAnsi="宋体" w:eastAsia="宋体" w:cs="宋体"/>
          <w:color w:val="auto"/>
          <w:highlight w:val="none"/>
        </w:rPr>
        <w:t>广西盛元华工程咨询有限公司</w:t>
      </w:r>
    </w:p>
    <w:p w14:paraId="1C2B1C77">
      <w:pPr>
        <w:keepNext w:val="0"/>
        <w:keepLines w:val="0"/>
        <w:pageBreakBefore w:val="0"/>
        <w:kinsoku/>
        <w:wordWrap w:val="0"/>
        <w:overflowPunct/>
        <w:topLinePunct w:val="0"/>
        <w:autoSpaceDE/>
        <w:autoSpaceDN/>
        <w:bidi w:val="0"/>
        <w:adjustRightInd/>
        <w:spacing w:line="360" w:lineRule="auto"/>
        <w:jc w:val="right"/>
        <w:textAlignment w:val="auto"/>
        <w:rPr>
          <w:rFonts w:hint="eastAsia" w:ascii="宋体" w:hAnsi="宋体" w:eastAsia="宋体" w:cs="宋体"/>
          <w:color w:val="auto"/>
          <w:highlight w:val="none"/>
        </w:rPr>
        <w:sectPr>
          <w:footerReference r:id="rId5" w:type="default"/>
          <w:pgSz w:w="11906" w:h="16838"/>
          <w:pgMar w:top="1440" w:right="1440" w:bottom="1440" w:left="1440" w:header="720" w:footer="720" w:gutter="0"/>
          <w:pgBorders>
            <w:top w:val="none" w:sz="0" w:space="0"/>
            <w:left w:val="none" w:sz="0" w:space="0"/>
            <w:bottom w:val="none" w:sz="0" w:space="0"/>
            <w:right w:val="none" w:sz="0" w:space="0"/>
          </w:pgBorders>
          <w:pgNumType w:fmt="decimal" w:start="1"/>
          <w:cols w:space="0" w:num="1"/>
          <w:rtlGutter w:val="0"/>
          <w:docGrid w:type="lines" w:linePitch="331" w:charSpace="0"/>
        </w:sectPr>
      </w:pPr>
      <w:r>
        <w:rPr>
          <w:rFonts w:hint="eastAsia" w:ascii="宋体" w:hAnsi="宋体" w:eastAsia="宋体" w:cs="宋体"/>
          <w:color w:val="auto"/>
          <w:highlight w:val="none"/>
        </w:rPr>
        <w:t>2026年</w:t>
      </w:r>
      <w:r>
        <w:rPr>
          <w:rFonts w:hint="eastAsia" w:ascii="宋体" w:hAnsi="宋体" w:eastAsia="宋体" w:cs="宋体"/>
          <w:color w:val="auto"/>
          <w:highlight w:val="none"/>
          <w:lang w:val="en-US" w:eastAsia="zh-CN"/>
        </w:rPr>
        <w:t>09</w:t>
      </w:r>
      <w:r>
        <w:rPr>
          <w:rFonts w:hint="eastAsia" w:ascii="宋体" w:hAnsi="宋体" w:eastAsia="宋体" w:cs="宋体"/>
          <w:color w:val="auto"/>
          <w:highlight w:val="none"/>
        </w:rPr>
        <w:t>月</w:t>
      </w:r>
      <w:r>
        <w:rPr>
          <w:rFonts w:hint="eastAsia" w:ascii="宋体" w:hAnsi="宋体" w:cs="宋体"/>
          <w:color w:val="auto"/>
          <w:highlight w:val="none"/>
          <w:lang w:val="en-US" w:eastAsia="zh-CN"/>
        </w:rPr>
        <w:t>14</w:t>
      </w:r>
      <w:r>
        <w:rPr>
          <w:rFonts w:hint="eastAsia" w:ascii="宋体" w:hAnsi="宋体" w:eastAsia="宋体" w:cs="宋体"/>
          <w:color w:val="auto"/>
          <w:highlight w:val="none"/>
        </w:rPr>
        <w:t>日</w:t>
      </w:r>
      <w:bookmarkStart w:id="46" w:name="_Toc16006"/>
      <w:bookmarkEnd w:id="46"/>
      <w:bookmarkStart w:id="47" w:name="_Toc14836"/>
    </w:p>
    <w:p w14:paraId="7699C3AE">
      <w:pPr>
        <w:pStyle w:val="4"/>
        <w:spacing w:before="0" w:after="0" w:line="360" w:lineRule="auto"/>
        <w:jc w:val="center"/>
        <w:rPr>
          <w:rFonts w:hint="eastAsia" w:ascii="宋体" w:hAnsi="宋体" w:cs="宋体"/>
          <w:color w:val="auto"/>
          <w:highlight w:val="none"/>
        </w:rPr>
      </w:pPr>
      <w:r>
        <w:rPr>
          <w:rFonts w:hint="eastAsia" w:ascii="宋体" w:hAnsi="宋体" w:cs="宋体"/>
          <w:color w:val="auto"/>
          <w:highlight w:val="none"/>
        </w:rPr>
        <w:t>第二章 采购需求</w:t>
      </w:r>
      <w:bookmarkEnd w:id="47"/>
    </w:p>
    <w:p w14:paraId="43295F29">
      <w:pPr>
        <w:spacing w:line="420" w:lineRule="exact"/>
        <w:jc w:val="left"/>
        <w:rPr>
          <w:rFonts w:hint="eastAsia" w:ascii="宋体" w:hAnsi="宋体" w:eastAsia="宋体" w:cs="宋体"/>
          <w:color w:val="auto"/>
          <w:highlight w:val="none"/>
        </w:rPr>
      </w:pPr>
      <w:r>
        <w:rPr>
          <w:rFonts w:hint="eastAsia" w:ascii="宋体" w:hAnsi="宋体" w:eastAsia="宋体" w:cs="宋体"/>
          <w:color w:val="auto"/>
          <w:highlight w:val="none"/>
        </w:rPr>
        <w:t>说明：</w:t>
      </w:r>
    </w:p>
    <w:p w14:paraId="002D0AAB">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 为落实政府采购政策需满足的要求</w:t>
      </w:r>
    </w:p>
    <w:p w14:paraId="717B15CD">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（1）本竞争性磋商采购文件所称中小企业必须符合《政府采购促进中小企业发展管理办法》（财库〔2020〕46号）的规定。</w:t>
      </w:r>
    </w:p>
    <w:p w14:paraId="29A615F9">
      <w:pPr>
        <w:spacing w:line="360" w:lineRule="auto"/>
        <w:ind w:firstLine="420" w:firstLineChars="200"/>
        <w:rPr>
          <w:rFonts w:hint="eastAsia" w:ascii="宋体" w:hAnsi="宋体" w:eastAsia="宋体" w:cs="宋体"/>
          <w:b/>
          <w:bCs/>
          <w:color w:val="auto"/>
          <w:highlight w:val="none"/>
        </w:rPr>
      </w:pPr>
      <w:r>
        <w:rPr>
          <w:rFonts w:hint="eastAsia" w:ascii="宋体" w:hAnsi="宋体" w:eastAsia="宋体" w:cs="宋体"/>
          <w:color w:val="auto"/>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7D909531">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3）服务项目中包含货物的，根据《关于信息安全产品实施政府采购的通知》（财库〔2010〕48号）的规定，本项目采购范围包含信息安全产品的（信息安全产品包括：防火墙、网络安全隔离卡与线路选择器、安全隔离与信息交换产品、安全路由器、智能卡COS、数据备份与恢复产品、安全操作系统、安全数据库系统、反垃圾邮件产品、入侵检测系统（IDS）、网络脆弱扫描产品、安全审计产品、网站恢复产品），供应商必须在响应文件中提供中国信息安全认证中心授予的有效的信息安全产品认证证书（加盖供应商公章），否则响应文件作无效处理。</w:t>
      </w:r>
    </w:p>
    <w:p w14:paraId="50C3A624">
      <w:pPr>
        <w:spacing w:line="360" w:lineRule="auto"/>
        <w:ind w:left="412" w:leftChars="196"/>
        <w:rPr>
          <w:rFonts w:hint="eastAsia" w:ascii="宋体" w:hAnsi="宋体" w:eastAsia="宋体" w:cs="宋体"/>
          <w:b/>
          <w:bCs/>
          <w:color w:val="auto"/>
          <w:highlight w:val="none"/>
        </w:rPr>
      </w:pPr>
      <w:r>
        <w:rPr>
          <w:rFonts w:hint="eastAsia" w:ascii="宋体" w:hAnsi="宋体" w:eastAsia="宋体" w:cs="宋体"/>
          <w:b/>
          <w:bCs/>
          <w:color w:val="auto"/>
          <w:highlight w:val="none"/>
        </w:rPr>
        <w:t>2. “实质性要求”是指采购需求中带“▲”的条款或者不能负偏离的条款或者已经指明不满足按响应文件作无效处理的条款。</w:t>
      </w:r>
    </w:p>
    <w:p w14:paraId="3C3D1783">
      <w:pPr>
        <w:spacing w:line="360" w:lineRule="auto"/>
        <w:ind w:left="412" w:leftChars="196"/>
        <w:rPr>
          <w:rFonts w:hint="eastAsia" w:ascii="宋体" w:hAnsi="宋体" w:eastAsia="宋体" w:cs="宋体"/>
          <w:color w:val="auto"/>
          <w:highlight w:val="none"/>
        </w:rPr>
      </w:pPr>
      <w:r>
        <w:rPr>
          <w:rFonts w:hint="eastAsia" w:ascii="宋体" w:hAnsi="宋体" w:eastAsia="宋体" w:cs="宋体"/>
          <w:b/>
          <w:bCs/>
          <w:color w:val="auto"/>
          <w:highlight w:val="none"/>
        </w:rPr>
        <w:t>3. 不需要供应商对采购需求响应为具体数值的，此采购需求的数值后将以◆号标注。</w:t>
      </w:r>
    </w:p>
    <w:p w14:paraId="23D6331A">
      <w:pPr>
        <w:spacing w:line="360" w:lineRule="auto"/>
        <w:ind w:left="412" w:leftChars="196"/>
        <w:rPr>
          <w:rFonts w:hint="eastAsia" w:ascii="宋体" w:hAnsi="宋体" w:eastAsia="宋体" w:cs="宋体"/>
          <w:color w:val="auto"/>
          <w:highlight w:val="none"/>
        </w:rPr>
      </w:pPr>
      <w:r>
        <w:rPr>
          <w:rFonts w:hint="eastAsia" w:ascii="宋体" w:hAnsi="宋体" w:eastAsia="宋体" w:cs="宋体"/>
          <w:color w:val="auto"/>
          <w:highlight w:val="none"/>
        </w:rPr>
        <w:t>4. 如供应商投标产品存在侵犯他人的知识产权或者专利成果行为的，应承担相应法律责任。</w:t>
      </w:r>
    </w:p>
    <w:p w14:paraId="17941F82">
      <w:pPr>
        <w:spacing w:line="360" w:lineRule="auto"/>
        <w:ind w:left="412" w:leftChars="196"/>
        <w:rPr>
          <w:rFonts w:hint="eastAsia" w:ascii="宋体" w:hAnsi="宋体" w:eastAsia="宋体" w:cs="宋体"/>
          <w:b/>
          <w:bCs/>
          <w:color w:val="auto"/>
          <w:highlight w:val="none"/>
          <w:u w:val="single"/>
        </w:rPr>
      </w:pPr>
      <w:r>
        <w:rPr>
          <w:rFonts w:hint="eastAsia" w:ascii="宋体" w:hAnsi="宋体" w:eastAsia="宋体" w:cs="宋体"/>
          <w:color w:val="auto"/>
          <w:highlight w:val="none"/>
        </w:rPr>
        <w:t>5. 本项目中小企业划分标准所属行业</w:t>
      </w:r>
      <w:r>
        <w:rPr>
          <w:rFonts w:hint="eastAsia" w:ascii="宋体" w:hAnsi="宋体" w:eastAsia="宋体" w:cs="宋体"/>
          <w:color w:val="auto"/>
          <w:highlight w:val="none"/>
          <w:lang w:val="en-US" w:eastAsia="zh-CN"/>
        </w:rPr>
        <w:t>名称</w:t>
      </w:r>
      <w:r>
        <w:rPr>
          <w:rFonts w:hint="eastAsia" w:ascii="宋体" w:hAnsi="宋体" w:eastAsia="宋体" w:cs="宋体"/>
          <w:color w:val="auto"/>
          <w:highlight w:val="none"/>
        </w:rPr>
        <w:t>（行业名称及划分见本章附件</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b/>
          <w:bCs/>
          <w:color w:val="auto"/>
          <w:highlight w:val="none"/>
          <w:u w:val="single"/>
        </w:rPr>
        <w:t>其他未列明行业</w:t>
      </w:r>
    </w:p>
    <w:p w14:paraId="681D9913">
      <w:pPr>
        <w:pStyle w:val="24"/>
        <w:outlineLvl w:val="9"/>
        <w:rPr>
          <w:rFonts w:hint="eastAsia" w:ascii="宋体" w:hAnsi="宋体" w:cs="宋体"/>
          <w:color w:val="auto"/>
          <w:highlight w:val="none"/>
        </w:rPr>
      </w:pPr>
      <w:r>
        <w:rPr>
          <w:rFonts w:hint="eastAsia" w:ascii="宋体" w:hAnsi="宋体" w:cs="宋体"/>
          <w:color w:val="auto"/>
          <w:highlight w:val="none"/>
        </w:rPr>
        <w:t xml:space="preserve"> </w:t>
      </w:r>
    </w:p>
    <w:tbl>
      <w:tblPr>
        <w:tblStyle w:val="21"/>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6"/>
        <w:gridCol w:w="440"/>
        <w:gridCol w:w="867"/>
        <w:gridCol w:w="495"/>
        <w:gridCol w:w="495"/>
        <w:gridCol w:w="6509"/>
      </w:tblGrid>
      <w:tr w14:paraId="4517C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000" w:type="pct"/>
            <w:gridSpan w:val="6"/>
            <w:tcBorders>
              <w:top w:val="single" w:color="auto" w:sz="4" w:space="0"/>
              <w:left w:val="single" w:color="auto" w:sz="4" w:space="0"/>
              <w:bottom w:val="nil"/>
              <w:right w:val="single" w:color="auto" w:sz="4" w:space="0"/>
            </w:tcBorders>
            <w:noWrap w:val="0"/>
            <w:vAlign w:val="center"/>
          </w:tcPr>
          <w:p w14:paraId="69E9F6DB">
            <w:pPr>
              <w:spacing w:line="320" w:lineRule="exact"/>
              <w:jc w:val="center"/>
              <w:rPr>
                <w:rFonts w:hint="eastAsia" w:ascii="宋体" w:hAnsi="宋体" w:cs="宋体"/>
                <w:b/>
                <w:color w:val="auto"/>
                <w:sz w:val="24"/>
                <w:highlight w:val="none"/>
              </w:rPr>
            </w:pPr>
            <w:r>
              <w:rPr>
                <w:rFonts w:hint="eastAsia" w:ascii="仿宋_GB2312" w:hAnsi="宋体" w:eastAsia="仿宋_GB2312" w:cs="Arial"/>
                <w:b/>
                <w:color w:val="auto"/>
                <w:sz w:val="32"/>
                <w:szCs w:val="32"/>
                <w:highlight w:val="none"/>
              </w:rPr>
              <w:t>服务需求一览表</w:t>
            </w:r>
          </w:p>
        </w:tc>
      </w:tr>
      <w:tr w14:paraId="33A2C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236" w:type="pct"/>
            <w:vMerge w:val="restart"/>
            <w:tcBorders>
              <w:top w:val="single" w:color="auto" w:sz="4" w:space="0"/>
              <w:left w:val="single" w:color="auto" w:sz="4" w:space="0"/>
              <w:bottom w:val="single" w:color="auto" w:sz="4" w:space="0"/>
              <w:right w:val="single" w:color="auto" w:sz="4" w:space="0"/>
            </w:tcBorders>
            <w:noWrap w:val="0"/>
            <w:vAlign w:val="center"/>
          </w:tcPr>
          <w:p w14:paraId="063B0155">
            <w:pPr>
              <w:jc w:val="center"/>
              <w:rPr>
                <w:rFonts w:ascii="宋体" w:hAnsi="宋体" w:cs="宋体"/>
                <w:color w:val="auto"/>
                <w:szCs w:val="21"/>
                <w:highlight w:val="none"/>
              </w:rPr>
            </w:pPr>
            <w:r>
              <w:rPr>
                <w:rFonts w:hint="eastAsia" w:ascii="宋体" w:hAnsi="宋体" w:cs="宋体"/>
                <w:color w:val="auto"/>
                <w:szCs w:val="21"/>
                <w:highlight w:val="none"/>
              </w:rPr>
              <w:t>采购清单及技术参数</w:t>
            </w:r>
          </w:p>
        </w:tc>
        <w:tc>
          <w:tcPr>
            <w:tcW w:w="238"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58C10DD">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6F3761A9">
            <w:pPr>
              <w:jc w:val="center"/>
              <w:rPr>
                <w:rFonts w:hint="eastAsia" w:ascii="宋体" w:hAnsi="宋体" w:cs="宋体"/>
                <w:color w:val="auto"/>
                <w:szCs w:val="21"/>
                <w:highlight w:val="none"/>
              </w:rPr>
            </w:pPr>
            <w:r>
              <w:rPr>
                <w:rFonts w:hint="eastAsia" w:ascii="宋体" w:hAnsi="宋体" w:cs="宋体"/>
                <w:color w:val="auto"/>
                <w:szCs w:val="21"/>
                <w:highlight w:val="none"/>
              </w:rPr>
              <w:t>标的的名称</w:t>
            </w:r>
          </w:p>
        </w:tc>
        <w:tc>
          <w:tcPr>
            <w:tcW w:w="268" w:type="pct"/>
            <w:tcBorders>
              <w:top w:val="single" w:color="auto" w:sz="4" w:space="0"/>
              <w:left w:val="single" w:color="auto" w:sz="4" w:space="0"/>
              <w:bottom w:val="single" w:color="auto" w:sz="4" w:space="0"/>
              <w:right w:val="single" w:color="auto" w:sz="4" w:space="0"/>
            </w:tcBorders>
            <w:noWrap w:val="0"/>
            <w:vAlign w:val="center"/>
          </w:tcPr>
          <w:p w14:paraId="1C678B36">
            <w:pPr>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268" w:type="pct"/>
            <w:tcBorders>
              <w:top w:val="single" w:color="auto" w:sz="4" w:space="0"/>
              <w:left w:val="single" w:color="auto" w:sz="4" w:space="0"/>
              <w:bottom w:val="single" w:color="auto" w:sz="4" w:space="0"/>
              <w:right w:val="single" w:color="auto" w:sz="4" w:space="0"/>
            </w:tcBorders>
            <w:noWrap w:val="0"/>
            <w:vAlign w:val="center"/>
          </w:tcPr>
          <w:p w14:paraId="3BE4F36B">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3518" w:type="pct"/>
            <w:tcBorders>
              <w:top w:val="single" w:color="auto" w:sz="4" w:space="0"/>
              <w:left w:val="single" w:color="auto" w:sz="4" w:space="0"/>
              <w:bottom w:val="single" w:color="auto" w:sz="4" w:space="0"/>
              <w:right w:val="single" w:color="auto" w:sz="4" w:space="0"/>
            </w:tcBorders>
            <w:noWrap w:val="0"/>
            <w:vAlign w:val="center"/>
          </w:tcPr>
          <w:p w14:paraId="54CFFAC1">
            <w:pPr>
              <w:jc w:val="center"/>
              <w:rPr>
                <w:rFonts w:hint="eastAsia" w:ascii="宋体" w:hAnsi="宋体" w:cs="宋体"/>
                <w:color w:val="auto"/>
                <w:szCs w:val="21"/>
                <w:highlight w:val="none"/>
              </w:rPr>
            </w:pPr>
            <w:r>
              <w:rPr>
                <w:rFonts w:hint="eastAsia" w:ascii="宋体" w:hAnsi="宋体" w:cs="宋体"/>
                <w:color w:val="auto"/>
                <w:szCs w:val="21"/>
                <w:highlight w:val="none"/>
              </w:rPr>
              <w:t>服务内容及要求</w:t>
            </w:r>
          </w:p>
        </w:tc>
      </w:tr>
      <w:tr w14:paraId="215545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1" w:hRule="atLeast"/>
          <w:jc w:val="center"/>
        </w:trPr>
        <w:tc>
          <w:tcPr>
            <w:tcW w:w="236" w:type="pct"/>
            <w:vMerge w:val="continue"/>
            <w:tcBorders>
              <w:top w:val="single" w:color="auto" w:sz="4" w:space="0"/>
              <w:left w:val="single" w:color="auto" w:sz="4" w:space="0"/>
              <w:bottom w:val="single" w:color="auto" w:sz="4" w:space="0"/>
              <w:right w:val="single" w:color="auto" w:sz="4" w:space="0"/>
            </w:tcBorders>
            <w:noWrap w:val="0"/>
            <w:vAlign w:val="center"/>
          </w:tcPr>
          <w:p w14:paraId="6A27551C">
            <w:pPr>
              <w:widowControl/>
              <w:jc w:val="left"/>
              <w:rPr>
                <w:rFonts w:ascii="宋体" w:hAnsi="宋体" w:cs="宋体"/>
                <w:color w:val="auto"/>
                <w:sz w:val="24"/>
                <w:highlight w:val="none"/>
              </w:rPr>
            </w:pPr>
          </w:p>
        </w:tc>
        <w:tc>
          <w:tcPr>
            <w:tcW w:w="238" w:type="pct"/>
            <w:tcBorders>
              <w:top w:val="single" w:color="auto" w:sz="4" w:space="0"/>
              <w:left w:val="single" w:color="auto" w:sz="4" w:space="0"/>
              <w:bottom w:val="single" w:color="auto" w:sz="4" w:space="0"/>
              <w:right w:val="single" w:color="auto" w:sz="4" w:space="0"/>
            </w:tcBorders>
            <w:noWrap w:val="0"/>
            <w:vAlign w:val="center"/>
          </w:tcPr>
          <w:p w14:paraId="58544FF0">
            <w:pPr>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469" w:type="pct"/>
            <w:tcBorders>
              <w:top w:val="single" w:color="auto" w:sz="4" w:space="0"/>
              <w:left w:val="single" w:color="auto" w:sz="4" w:space="0"/>
              <w:right w:val="single" w:color="auto" w:sz="4" w:space="0"/>
            </w:tcBorders>
            <w:noWrap w:val="0"/>
            <w:vAlign w:val="center"/>
          </w:tcPr>
          <w:p w14:paraId="1006E275">
            <w:pPr>
              <w:spacing w:line="360" w:lineRule="auto"/>
              <w:jc w:val="center"/>
              <w:rPr>
                <w:rFonts w:hint="eastAsia" w:ascii="宋体" w:hAnsi="宋体"/>
                <w:color w:val="auto"/>
                <w:szCs w:val="21"/>
                <w:highlight w:val="none"/>
              </w:rPr>
            </w:pPr>
            <w:r>
              <w:rPr>
                <w:rFonts w:hint="eastAsia" w:ascii="宋体" w:hAnsi="宋体"/>
                <w:color w:val="auto"/>
                <w:szCs w:val="21"/>
                <w:highlight w:val="none"/>
              </w:rPr>
              <w:t>阳光城大唐檀境项目部分安置房源第三方检测服务</w:t>
            </w:r>
          </w:p>
        </w:tc>
        <w:tc>
          <w:tcPr>
            <w:tcW w:w="268" w:type="pct"/>
            <w:tcBorders>
              <w:top w:val="single" w:color="auto" w:sz="4" w:space="0"/>
              <w:left w:val="single" w:color="auto" w:sz="4" w:space="0"/>
              <w:right w:val="single" w:color="auto" w:sz="4" w:space="0"/>
            </w:tcBorders>
            <w:noWrap w:val="0"/>
            <w:vAlign w:val="center"/>
          </w:tcPr>
          <w:p w14:paraId="17386631">
            <w:pPr>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268" w:type="pct"/>
            <w:tcBorders>
              <w:top w:val="single" w:color="auto" w:sz="4" w:space="0"/>
              <w:left w:val="single" w:color="auto" w:sz="4" w:space="0"/>
              <w:right w:val="single" w:color="auto" w:sz="4" w:space="0"/>
            </w:tcBorders>
            <w:noWrap w:val="0"/>
            <w:vAlign w:val="center"/>
          </w:tcPr>
          <w:p w14:paraId="78D7284D">
            <w:pPr>
              <w:spacing w:line="360" w:lineRule="auto"/>
              <w:jc w:val="center"/>
              <w:rPr>
                <w:rFonts w:hint="eastAsia" w:ascii="宋体" w:hAnsi="宋体"/>
                <w:color w:val="auto"/>
                <w:szCs w:val="21"/>
                <w:highlight w:val="none"/>
              </w:rPr>
            </w:pPr>
            <w:r>
              <w:rPr>
                <w:rFonts w:hint="eastAsia" w:ascii="宋体" w:hAnsi="宋体"/>
                <w:color w:val="auto"/>
                <w:szCs w:val="21"/>
                <w:highlight w:val="none"/>
              </w:rPr>
              <w:t>项</w:t>
            </w:r>
          </w:p>
        </w:tc>
        <w:tc>
          <w:tcPr>
            <w:tcW w:w="3518" w:type="pct"/>
            <w:tcBorders>
              <w:top w:val="single" w:color="auto" w:sz="4" w:space="0"/>
              <w:left w:val="single" w:color="auto" w:sz="4" w:space="0"/>
              <w:right w:val="single" w:color="auto" w:sz="4" w:space="0"/>
            </w:tcBorders>
            <w:noWrap w:val="0"/>
            <w:vAlign w:val="top"/>
          </w:tcPr>
          <w:p w14:paraId="08905D54">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▲一、项目概况、基本要求</w:t>
            </w:r>
          </w:p>
          <w:p w14:paraId="394B58C1">
            <w:pPr>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highlight w:val="none"/>
              </w:rPr>
            </w:pPr>
            <w:r>
              <w:rPr>
                <w:rFonts w:hint="eastAsia" w:ascii="宋体" w:hAnsi="宋体" w:eastAsia="宋体" w:cs="宋体"/>
                <w:color w:val="auto"/>
                <w:szCs w:val="21"/>
                <w:highlight w:val="none"/>
              </w:rPr>
              <w:t>1.</w:t>
            </w:r>
            <w:r>
              <w:rPr>
                <w:rFonts w:hint="eastAsia" w:ascii="宋体" w:hAnsi="宋体" w:eastAsia="宋体" w:cs="宋体"/>
                <w:color w:val="auto"/>
                <w:highlight w:val="none"/>
              </w:rPr>
              <w:t>项目基本概况：本次采购阳光城大唐檀境项目（南宁市良庆区坛泽路3号）部分安置房源第三方检测服务，主要对项目安置楼栋9、12、13、18号楼及竞配产权移交住房5号楼开展房屋安全和使用功能检测，涉及建筑面积129179.96㎡</w:t>
            </w:r>
            <w:r>
              <w:rPr>
                <w:rFonts w:hint="eastAsia" w:ascii="宋体" w:hAnsi="宋体" w:eastAsia="宋体" w:cs="宋体"/>
                <w:b/>
                <w:bCs/>
                <w:color w:val="auto"/>
                <w:highlight w:val="none"/>
              </w:rPr>
              <w:t>；本项目最高层高为33层，不涉及钢结构。</w:t>
            </w:r>
          </w:p>
          <w:p w14:paraId="31F394DE">
            <w:pPr>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主要服务内容：依据《建设工程质量检测管理办法》（住房城乡建设部令第57号）、《关于规范我区房屋安全鉴定管理有关工作的通知》（桂建发〔2022〕8号）、《广西壮族自治区建设工程质量检测管理实施细则》（桂建发〔2025〕5号）、</w:t>
            </w:r>
            <w:r>
              <w:rPr>
                <w:rFonts w:hint="eastAsia" w:ascii="宋体" w:hAnsi="宋体" w:eastAsia="宋体" w:cs="宋体"/>
                <w:color w:val="auto"/>
                <w:highlight w:val="none"/>
                <w:lang w:eastAsia="zh-CN"/>
              </w:rPr>
              <w:t>《广西壮族自治区住宅工程质量分户验收管理规定》（桂建发〔2020〕6号）</w:t>
            </w:r>
            <w:r>
              <w:rPr>
                <w:rFonts w:hint="eastAsia" w:ascii="宋体" w:hAnsi="宋体" w:eastAsia="宋体" w:cs="宋体"/>
                <w:color w:val="auto"/>
                <w:highlight w:val="none"/>
              </w:rPr>
              <w:t>等相关检测、验收规定，对阳光城大唐檀境项目（南宁市良庆区坛泽路3号）部分安置房源（主要对项目安置楼栋9、12、13、18号楼及竞配产权移交住房5号楼）进行</w:t>
            </w:r>
            <w:r>
              <w:rPr>
                <w:rFonts w:hint="eastAsia" w:ascii="宋体" w:hAnsi="宋体" w:eastAsia="宋体" w:cs="宋体"/>
                <w:b/>
                <w:bCs/>
                <w:color w:val="auto"/>
                <w:szCs w:val="21"/>
                <w:highlight w:val="none"/>
              </w:rPr>
              <w:t>查勘、调查、检测、复核验算及分析等</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完成</w:t>
            </w:r>
            <w:r>
              <w:rPr>
                <w:rFonts w:hint="eastAsia" w:ascii="宋体" w:hAnsi="宋体" w:eastAsia="宋体" w:cs="宋体"/>
                <w:b/>
                <w:bCs/>
                <w:color w:val="auto"/>
                <w:highlight w:val="none"/>
                <w:u w:val="single"/>
              </w:rPr>
              <w:t>房屋安全鉴定（包括房屋安全性鉴定和抗震鉴定）和房屋使用功能检测</w:t>
            </w:r>
            <w:r>
              <w:rPr>
                <w:rFonts w:hint="eastAsia" w:ascii="宋体" w:hAnsi="宋体" w:eastAsia="宋体" w:cs="宋体"/>
                <w:color w:val="auto"/>
                <w:highlight w:val="none"/>
              </w:rPr>
              <w:t>，按要求出具检测报告和房屋安全鉴定报告及处理建议。</w:t>
            </w:r>
          </w:p>
          <w:p w14:paraId="424CA39D">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合同履约期限：</w:t>
            </w:r>
            <w:r>
              <w:rPr>
                <w:rFonts w:hint="eastAsia" w:ascii="宋体" w:hAnsi="宋体" w:eastAsia="宋体" w:cs="宋体"/>
                <w:color w:val="auto"/>
                <w:szCs w:val="21"/>
                <w:highlight w:val="none"/>
              </w:rPr>
              <w:t>项目总工期：</w:t>
            </w:r>
            <w:r>
              <w:rPr>
                <w:rFonts w:hint="eastAsia" w:ascii="宋体" w:hAnsi="宋体" w:eastAsia="宋体" w:cs="宋体"/>
                <w:color w:val="auto"/>
                <w:szCs w:val="21"/>
                <w:highlight w:val="none"/>
                <w:lang w:eastAsia="zh-CN"/>
              </w:rPr>
              <w:t>合同签订后45日历天</w:t>
            </w:r>
            <w:r>
              <w:rPr>
                <w:rFonts w:hint="eastAsia" w:ascii="宋体" w:hAnsi="宋体" w:eastAsia="宋体" w:cs="宋体"/>
                <w:color w:val="auto"/>
                <w:szCs w:val="21"/>
                <w:highlight w:val="none"/>
              </w:rPr>
              <w:t>（自进场至提交正式检测报告和房屋安全鉴定报告）。</w:t>
            </w:r>
          </w:p>
          <w:p w14:paraId="1886A2FC">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4.质量标准：</w:t>
            </w:r>
            <w:r>
              <w:rPr>
                <w:rFonts w:hint="eastAsia" w:ascii="宋体" w:hAnsi="宋体" w:eastAsia="宋体" w:cs="宋体"/>
                <w:color w:val="auto"/>
                <w:highlight w:val="none"/>
              </w:rPr>
              <w:t>房屋安全鉴定报告及处理建议符合《关于规范我区房屋安全鉴定管理有关工作的通知》（桂建发〔2022〕8号）规定及要求；房屋使用功能检测成果文件符合</w:t>
            </w:r>
            <w:r>
              <w:rPr>
                <w:rFonts w:hint="eastAsia" w:ascii="宋体" w:hAnsi="宋体" w:eastAsia="宋体" w:cs="宋体"/>
                <w:color w:val="auto"/>
                <w:highlight w:val="none"/>
                <w:lang w:eastAsia="zh-CN"/>
              </w:rPr>
              <w:t>《广西壮族自治区住宅工程质量分户验收管理规定》（桂建发〔2020〕6号）</w:t>
            </w:r>
            <w:r>
              <w:rPr>
                <w:rFonts w:hint="eastAsia" w:ascii="宋体" w:hAnsi="宋体" w:eastAsia="宋体" w:cs="宋体"/>
                <w:color w:val="auto"/>
                <w:highlight w:val="none"/>
              </w:rPr>
              <w:t>要求；所有过程检测和检测报告成果文件符合《建设工程质量检测管理办法》（住房城乡建设部令第57号）、《广西壮族自治区建设工程质量检测管理实施细则》（桂建发〔2025〕5号）等国家、广西</w:t>
            </w:r>
            <w:r>
              <w:rPr>
                <w:rFonts w:hint="eastAsia" w:ascii="宋体" w:hAnsi="宋体" w:eastAsia="宋体" w:cs="宋体"/>
                <w:color w:val="auto"/>
                <w:szCs w:val="21"/>
                <w:highlight w:val="none"/>
              </w:rPr>
              <w:t>、建筑行业现行有关规范和标准以及项目施工图设计要求标准；检测人员具有相应专业资格、技能熟练，仪器设备合格、状况和性能良好，检测数据准确、真实、完整、不漏项。</w:t>
            </w:r>
          </w:p>
          <w:p w14:paraId="17FE0256">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5.第三方检测服务规模明细参考（详见附件</w:t>
            </w: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w:t>
            </w:r>
          </w:p>
          <w:p w14:paraId="30AAC634">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p>
          <w:p w14:paraId="3025D94B">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二、本项目检测执行的国家标准、广西规范以及相关规定</w:t>
            </w:r>
          </w:p>
          <w:p w14:paraId="15D417C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1.《建设工程质量检测管理办法》（住房城乡建设部令第57号）</w:t>
            </w:r>
          </w:p>
          <w:p w14:paraId="09C5A897">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2.《关于规范我区房屋安全鉴定管理有关工作的通知》（桂建发〔2022〕8号）</w:t>
            </w:r>
          </w:p>
          <w:p w14:paraId="53EE7CC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3.《广西壮族自治区建设工程质量检测管理实施细则》（桂建发〔2025〕5号）</w:t>
            </w:r>
          </w:p>
          <w:p w14:paraId="6852AECF">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eastAsia="zh-CN"/>
              </w:rPr>
              <w:t>《广西壮族自治区住宅工程质量分户验收管理规定》（桂建发〔2020〕6号）</w:t>
            </w:r>
          </w:p>
          <w:p w14:paraId="0582AC1C">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5.</w:t>
            </w:r>
            <w:r>
              <w:rPr>
                <w:rFonts w:hint="eastAsia" w:ascii="宋体" w:hAnsi="宋体" w:eastAsia="宋体" w:cs="宋体"/>
                <w:color w:val="auto"/>
                <w:highlight w:val="none"/>
              </w:rPr>
              <w:t>《中华人民共和国建筑法》</w:t>
            </w:r>
          </w:p>
          <w:p w14:paraId="492679C3">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6.</w:t>
            </w:r>
            <w:r>
              <w:rPr>
                <w:rFonts w:hint="eastAsia" w:ascii="宋体" w:hAnsi="宋体" w:eastAsia="宋体" w:cs="宋体"/>
                <w:color w:val="auto"/>
                <w:szCs w:val="21"/>
                <w:highlight w:val="none"/>
              </w:rPr>
              <w:t>《建设工程质量管理条例》（国务院令第279号）（2022年4月23日修改）</w:t>
            </w:r>
          </w:p>
          <w:p w14:paraId="78983F8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7.《广西壮族自治区建设工程质量管理条例》</w:t>
            </w:r>
          </w:p>
          <w:p w14:paraId="19D89003">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8.住房城乡建设部《房屋建筑和市政基础设施工程竣工验收规定》（建质〔2013〕171号）</w:t>
            </w:r>
          </w:p>
          <w:p w14:paraId="41300BFB">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9.《关于做好住宅工程质量分户验收工作的通知》（建质〔2009〕291号）</w:t>
            </w:r>
          </w:p>
          <w:p w14:paraId="2528C9DE">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10.相关建筑工程施工质量验收规范，上述规定、细则的政策解读等（如有）。</w:t>
            </w:r>
          </w:p>
          <w:p w14:paraId="1D36799B">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p>
          <w:p w14:paraId="1421D8C2">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▲三、房屋安全鉴定具体工作要求</w:t>
            </w:r>
          </w:p>
          <w:p w14:paraId="61F9EA52">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（一）房屋安全鉴定类别</w:t>
            </w:r>
          </w:p>
          <w:p w14:paraId="3D9C409C">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highlight w:val="none"/>
                <w:u w:val="single"/>
              </w:rPr>
              <w:t>房屋安全检测（结构安全核心）及鉴定：</w:t>
            </w:r>
            <w:r>
              <w:rPr>
                <w:rFonts w:hint="eastAsia" w:ascii="宋体" w:hAnsi="宋体" w:eastAsia="宋体" w:cs="宋体"/>
                <w:color w:val="auto"/>
                <w:highlight w:val="none"/>
              </w:rPr>
              <w:t>包括房屋安全性鉴定和抗震鉴定。房屋安全性鉴定主要包含地基基础安全鉴定、上部承重结构和围护结构承重部分安全鉴定、鉴定单元安全综合评级。房屋抗震鉴定主要包含场地、地基和基础抗震鉴定、上部结构抗震鉴定、建筑综合抗震能力评定。</w:t>
            </w:r>
          </w:p>
          <w:p w14:paraId="59ED362A">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(二)房屋安全鉴定程序要求</w:t>
            </w:r>
          </w:p>
          <w:p w14:paraId="672C5FF9">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1、实施房屋安全鉴定前，房屋安全鉴定机构应调查、收集和分析房屋原始资料，并进行现场查勘，确定房屋安全鉴定的内容和范围，制定房屋安全鉴定方案。</w:t>
            </w:r>
          </w:p>
          <w:p w14:paraId="698BA6A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2、房屋安全鉴定机构应根据房屋安全鉴定方案对房屋现状进行现场检测，必要时应采用仪器测试，房屋安全性鉴定及抗震鉴定应进行结构分析和验算。</w:t>
            </w:r>
          </w:p>
          <w:p w14:paraId="485F6527">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3、房屋安全性等级评定应在对调查、查勘、检测、验算等数据资料进行全面分析的基础上进行综合评定。</w:t>
            </w:r>
          </w:p>
          <w:p w14:paraId="730AD167">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(三)房屋安全鉴定内容要求</w:t>
            </w:r>
          </w:p>
          <w:p w14:paraId="479603D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1、房屋安全性鉴定。主要包含地基基础安全鉴定、上部承重结构和围护结构承重部分安全鉴定、鉴定单元安全综合评级。</w:t>
            </w:r>
          </w:p>
          <w:p w14:paraId="35446C0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2、房屋抗震鉴定。主要包含场地、地基和基础抗震鉴定、上部结构抗震鉴定、建筑综合抗震能力评定。</w:t>
            </w:r>
          </w:p>
          <w:p w14:paraId="18AEE04C">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(四)房屋安全鉴定信息化要求</w:t>
            </w:r>
          </w:p>
          <w:p w14:paraId="10C496B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1、房屋安全鉴定机构应将机构的基本信息、人员信息、设备 信息、鉴定方案上传至广西建设工程检测监管信息系统(以下简 称检测监管系统)。</w:t>
            </w:r>
          </w:p>
          <w:p w14:paraId="1ABEE77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2、混凝土强度检测(回弹法、钻芯法)数据应实现自动采集 且实时上传至检测监管系统。</w:t>
            </w:r>
          </w:p>
          <w:p w14:paraId="13126E03">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3、房屋安全鉴定机构应使用检测监管系统出具房屋安全鉴定报告，报告封面应具有检测监管系统自动生成的二维码防伪标识。</w:t>
            </w:r>
          </w:p>
          <w:p w14:paraId="76A0B1E7">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（五）房屋安全鉴定结果要求</w:t>
            </w:r>
          </w:p>
          <w:p w14:paraId="5FE97F9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1、房屋安全鉴定报告应包含以下内容：</w:t>
            </w:r>
          </w:p>
          <w:p w14:paraId="051F729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（1）初步调查：图纸资料调查，使用记录调查，现场状况调查。</w:t>
            </w:r>
          </w:p>
          <w:p w14:paraId="2133F3C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（2）详细调查与检测：结构体系、构造措施检测，结构构件尺 寸检测，房屋及构件变形检测，材料性能检测，房屋结构实体质 量检测，结构损伤调查与检测，及其他补充检测。</w:t>
            </w:r>
          </w:p>
          <w:p w14:paraId="315B9AE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（3）结构复核验算及分析。</w:t>
            </w:r>
          </w:p>
          <w:p w14:paraId="7AA9C4A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（4）房屋安全鉴定评级。</w:t>
            </w:r>
          </w:p>
          <w:p w14:paraId="33476AE7">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（5）房屋安全鉴定结论及处理建议。</w:t>
            </w:r>
          </w:p>
          <w:p w14:paraId="15D2F694">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2、房屋安全鉴定结论及处理建议要求。</w:t>
            </w:r>
          </w:p>
          <w:p w14:paraId="316CB37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根据现场检测及承载力验算结果，及《既有建筑鉴定与加固通用规范》(GB55021)、《民用建筑可靠性鉴定标准》(GB50292)的有关规定，对房屋的安全性鉴定等级做出评定，不得以局部安全鉴定代替整栋房屋安全鉴定。经鉴定为非危险房屋的，房屋安全鉴定机构应当在房屋安全鉴定报告中注明在正常使用条件下的目标使用年限。</w:t>
            </w:r>
          </w:p>
          <w:p w14:paraId="177AFE5F">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根据现场检测结果及抗震鉴定结果，并依据《建筑抗震鉴定标准》(GB50023)、《建筑抗震设计规范》(GB50011)、《建筑与市政工程抗震通用规范》(GB55002)和《既有建筑鉴定与加固通用规范》(GB55021)的有关规定，综合判定房屋综合抗震能力是否满足国家相关标准规范的要求。</w:t>
            </w:r>
          </w:p>
          <w:p w14:paraId="76BE4BF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3、根据房屋安全性鉴定结果、抗震鉴定结果，提出处理建议。</w:t>
            </w:r>
          </w:p>
          <w:p w14:paraId="5E5C4909">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4、其他必要考虑的检测情形（如有）。</w:t>
            </w:r>
          </w:p>
          <w:p w14:paraId="7D0BE091">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(六)房屋安全鉴定报告的成果要求</w:t>
            </w:r>
          </w:p>
          <w:p w14:paraId="230274BA">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1、房屋安全鉴定报告</w:t>
            </w:r>
            <w:r>
              <w:rPr>
                <w:rFonts w:hint="eastAsia" w:ascii="宋体" w:hAnsi="宋体" w:eastAsia="宋体" w:cs="宋体"/>
                <w:color w:val="auto"/>
                <w:szCs w:val="21"/>
                <w:highlight w:val="none"/>
              </w:rPr>
              <w:t>应当由鉴定检测人、结构验算人、项目负责人、审核人、批准人签字。房屋安全鉴定机构及相关负责人对出具的报告依法承担法律责任。在房屋安全鉴定报告上签 字的人员应为该房屋安全鉴定机构在册人员并取得本单位授权，不得越权签字，不得转授权。房屋安全鉴定报告编号应当按年度连续编号，不得随意抽撤、涂改。</w:t>
            </w:r>
          </w:p>
          <w:p w14:paraId="7EA7345C">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2、房屋安全鉴定报告应当由一级注册结构工程师签字，并加盖一级注册结构工程师执业印章及房屋安全鉴定机构公章。</w:t>
            </w:r>
          </w:p>
          <w:p w14:paraId="20F1105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3、房屋安全鉴定机构应当按照国家和自治区有关规定、技术标准对房屋进行检测，根据检测数据以及验算和综合分析结论出具房屋安全鉴定报告，并对出具的房屋安全鉴定报告承担责 任，不得出具虚假房屋安全鉴定报告。任何单位和个人不得干涉正常的房屋安全鉴定活动，不得伪造、篡改安全鉴定报告。对不具备房屋安全鉴定资格、不按相关标准规范进行房屋安全鉴定、 出具房屋安全虚假鉴定报告等行为的，按规定认定相关责任单位和人员的不良行为记录，依法依规进行处理。</w:t>
            </w:r>
          </w:p>
          <w:p w14:paraId="6F7CE70C">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4、房屋安全鉴定机构应当建立房屋安全鉴定项目档案，安排专人负责，长期保管，确保安全鉴定检测数据、原始资料的可追溯性。</w:t>
            </w:r>
          </w:p>
          <w:p w14:paraId="483A1FC3">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（七）其他</w:t>
            </w:r>
          </w:p>
          <w:p w14:paraId="2FE2711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房屋安全鉴定机构发现房屋存在重大险情或房屋安全性鉴定评定等级为Dsu 级，应当立即报告项目所在地住房城乡建设主管部门。</w:t>
            </w:r>
          </w:p>
          <w:p w14:paraId="5190F6BC">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p>
          <w:p w14:paraId="6F067D5D">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▲四、</w:t>
            </w:r>
            <w:r>
              <w:rPr>
                <w:rFonts w:hint="eastAsia" w:ascii="宋体" w:hAnsi="宋体" w:eastAsia="宋体" w:cs="宋体"/>
                <w:b/>
                <w:bCs/>
                <w:color w:val="auto"/>
                <w:highlight w:val="none"/>
              </w:rPr>
              <w:t>房屋使用功能检测</w:t>
            </w:r>
            <w:r>
              <w:rPr>
                <w:rFonts w:hint="eastAsia" w:ascii="宋体" w:hAnsi="宋体" w:eastAsia="宋体" w:cs="宋体"/>
                <w:b/>
                <w:bCs/>
                <w:color w:val="auto"/>
                <w:szCs w:val="21"/>
                <w:highlight w:val="none"/>
              </w:rPr>
              <w:t>具体工作要求</w:t>
            </w:r>
          </w:p>
          <w:p w14:paraId="22720A16">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（一）检测重点和主要检测范围</w:t>
            </w:r>
          </w:p>
          <w:p w14:paraId="526354A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Cs w:val="21"/>
                <w:highlight w:val="none"/>
                <w:u w:val="single"/>
              </w:rPr>
            </w:pPr>
            <w:r>
              <w:rPr>
                <w:rFonts w:hint="eastAsia" w:ascii="宋体" w:hAnsi="宋体" w:eastAsia="宋体" w:cs="宋体"/>
                <w:color w:val="auto"/>
                <w:szCs w:val="21"/>
                <w:highlight w:val="none"/>
              </w:rPr>
              <w:t>房屋使用功能检测，检测重点为房屋是否能正常使用，围护、防水、机电、装修配套是否完好。按照</w:t>
            </w:r>
            <w:r>
              <w:rPr>
                <w:rFonts w:hint="eastAsia" w:ascii="宋体" w:hAnsi="宋体" w:eastAsia="宋体" w:cs="宋体"/>
                <w:color w:val="auto"/>
                <w:highlight w:val="none"/>
                <w:lang w:eastAsia="zh-CN"/>
              </w:rPr>
              <w:t>《广西壮族自治区住宅工程质量分户验收管理规定》（桂建发〔2020〕6号）</w:t>
            </w:r>
            <w:r>
              <w:rPr>
                <w:rFonts w:hint="eastAsia" w:ascii="宋体" w:hAnsi="宋体" w:eastAsia="宋体" w:cs="宋体"/>
                <w:color w:val="auto"/>
                <w:szCs w:val="21"/>
                <w:highlight w:val="none"/>
              </w:rPr>
              <w:t>要求进行使用功能检测，出具有效的检测报告。</w:t>
            </w:r>
          </w:p>
          <w:p w14:paraId="4AF00BF4">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按照分户验收要点进行检查或检测：</w:t>
            </w:r>
          </w:p>
          <w:p w14:paraId="52C568A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1室内空间尺寸</w:t>
            </w:r>
          </w:p>
          <w:p w14:paraId="35E563E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2门窗及玻璃安装质量</w:t>
            </w:r>
          </w:p>
          <w:p w14:paraId="65B532FD">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3墙面和顶棚面层施工质量</w:t>
            </w:r>
          </w:p>
          <w:p w14:paraId="410E1E1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4地面面层施工质量</w:t>
            </w:r>
          </w:p>
          <w:p w14:paraId="71E9F01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5防水工程施工质量</w:t>
            </w:r>
          </w:p>
          <w:p w14:paraId="3436EB3E">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6给水、排水系统安装质量</w:t>
            </w:r>
          </w:p>
          <w:p w14:paraId="4328C06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7室内电气工程安装质量</w:t>
            </w:r>
          </w:p>
          <w:p w14:paraId="27E076ED">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8细部工程施工质量</w:t>
            </w:r>
          </w:p>
          <w:p w14:paraId="49690A26">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（二）需要检查或检测的房屋使用功能</w:t>
            </w:r>
          </w:p>
          <w:p w14:paraId="499B0844">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1. 围护及建筑功能</w:t>
            </w:r>
          </w:p>
          <w:p w14:paraId="17610D7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外墙、内墙、屋面、门窗完整性；门窗启闭、密封、渗漏情况；</w:t>
            </w:r>
          </w:p>
          <w:p w14:paraId="2D14C5D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地坪、楼梯、阳台、栏杆、扶手高度、防护安全（防坠落）；</w:t>
            </w:r>
          </w:p>
          <w:p w14:paraId="16B65BE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屋面、露台、卫生间、外墙防水性能，渗水、水渍痕迹排查。</w:t>
            </w:r>
          </w:p>
          <w:p w14:paraId="0FFF4029">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2. 给排水系统</w:t>
            </w:r>
          </w:p>
          <w:p w14:paraId="4C94B63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给水管道渗漏、锈蚀；排水管道堵塞、破损、渗漏；</w:t>
            </w:r>
          </w:p>
          <w:p w14:paraId="06E0E3B8">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卫生间、厨房防水有效性，地漏、排水坡度是否满足使用要求。</w:t>
            </w:r>
          </w:p>
          <w:p w14:paraId="14E06691">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3. 电气系统（常规使用功能检测）</w:t>
            </w:r>
          </w:p>
          <w:p w14:paraId="00B42D64">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配电箱、线路老化、私拉乱接、插座接地、漏电保护；</w:t>
            </w:r>
          </w:p>
          <w:p w14:paraId="39AB4DB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线路破损、超负荷隐患，照明系统可用状况。</w:t>
            </w:r>
          </w:p>
          <w:p w14:paraId="06631619">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4. 通风、采光（按需，商用 / 住宅不同）</w:t>
            </w:r>
          </w:p>
          <w:p w14:paraId="78645CDB">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窗户开口、通风条件；室内采光是否满足规范要求。</w:t>
            </w:r>
          </w:p>
          <w:p w14:paraId="73293B1D">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5. 装饰装修面层</w:t>
            </w:r>
          </w:p>
          <w:p w14:paraId="62789B8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墙面、吊顶、地面饰面空鼓、脱落风险；吊顶松动、饰面坠落隐患。</w:t>
            </w:r>
          </w:p>
          <w:p w14:paraId="54496E49">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w:t>
            </w:r>
            <w:r>
              <w:rPr>
                <w:rFonts w:hint="eastAsia" w:ascii="宋体" w:hAnsi="宋体" w:eastAsia="宋体" w:cs="宋体"/>
                <w:b/>
                <w:bCs/>
                <w:color w:val="auto"/>
                <w:highlight w:val="none"/>
              </w:rPr>
              <w:t>使用功能检测</w:t>
            </w:r>
            <w:r>
              <w:rPr>
                <w:rFonts w:hint="eastAsia" w:ascii="宋体" w:hAnsi="宋体" w:eastAsia="宋体" w:cs="宋体"/>
                <w:b/>
                <w:bCs/>
                <w:color w:val="auto"/>
                <w:szCs w:val="21"/>
                <w:highlight w:val="none"/>
              </w:rPr>
              <w:t>成果文件要求</w:t>
            </w:r>
          </w:p>
          <w:p w14:paraId="14474101">
            <w:pPr>
              <w:keepNext w:val="0"/>
              <w:keepLines w:val="0"/>
              <w:pageBreakBefore w:val="0"/>
              <w:widowControl/>
              <w:kinsoku/>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供应商完成的房屋使用功能检测报告及成果文件，必须完全匹配</w:t>
            </w:r>
            <w:r>
              <w:rPr>
                <w:rFonts w:hint="eastAsia" w:ascii="宋体" w:hAnsi="宋体" w:eastAsia="宋体" w:cs="宋体"/>
                <w:color w:val="auto"/>
                <w:szCs w:val="21"/>
                <w:highlight w:val="none"/>
                <w:lang w:eastAsia="zh-CN"/>
              </w:rPr>
              <w:t>《广西壮族自治区住宅工程质量分户验收管理规定》（桂建发〔2020〕6号）</w:t>
            </w:r>
            <w:r>
              <w:rPr>
                <w:rFonts w:hint="eastAsia" w:ascii="宋体" w:hAnsi="宋体" w:eastAsia="宋体" w:cs="宋体"/>
                <w:color w:val="auto"/>
                <w:szCs w:val="21"/>
                <w:highlight w:val="none"/>
              </w:rPr>
              <w:t>中《住宅工程质量分户验收表》及配套分户验收记录表全部内容，不得缺项、漏项，若存在成果不完善、资料缺失问题，供应商须无条件免费补足、整改，直至成果合规。</w:t>
            </w:r>
          </w:p>
          <w:p w14:paraId="08979D4F">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p>
          <w:p w14:paraId="4A57020D">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五、人员、设备和场地要求</w:t>
            </w:r>
          </w:p>
          <w:p w14:paraId="68FA3782">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▲（一）房屋安全鉴定机构人员要求</w:t>
            </w:r>
          </w:p>
          <w:p w14:paraId="7E48421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房屋安全鉴定机构人员必须满足要求：</w:t>
            </w:r>
          </w:p>
          <w:p w14:paraId="0C7F10E9">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1.房屋安全鉴定项目负责人：具有土木工程类专业本科及以上学历，中级及以上技术职称或注册结构工程师执业资格，且有不少于5年的房屋安全鉴定、工程质量检测或者结构设计等工作经历。</w:t>
            </w:r>
          </w:p>
          <w:p w14:paraId="3767A1F7">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2.房屋安全鉴定机构技术负责人：具有土木工程类专业 高级技术职称或一级注册结构工程师执业资格，且有不少于10年的房屋安全鉴定、工程质量检测或者结构设计等工作经历。</w:t>
            </w:r>
          </w:p>
          <w:p w14:paraId="7873134C">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3.房屋安全鉴定报告审核人、批准人：具有土木工程类专业高级技术职称，且有不少于8年的房屋安全鉴定、工程质量检测或者结构设计等工作经历，其中至少1人应当具有一级注册结构工程师执业资格。</w:t>
            </w:r>
          </w:p>
          <w:p w14:paraId="059CF0FF">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4.房屋安全鉴定结构验算人：具有土木工程类专业本科及以上学历，中级及以上技术职称或注册结构工程师执业资格，且有不少于3年的结构设计或者房屋安全鉴定等工作经历。</w:t>
            </w:r>
          </w:p>
          <w:p w14:paraId="12D7D27A">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5.现场房屋安全鉴定必须有2名及以上鉴定检测人员参加，其中至少1人应当具有土木工程类专业中级及以上职称或注册结构工程师执业资格。</w:t>
            </w:r>
          </w:p>
          <w:p w14:paraId="44510728">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备注：提供人员的毕业证或学历证，职称证或注册证，复印件加盖公章；供应商有其他工作经历证明材料的，可以同时提供。</w:t>
            </w:r>
          </w:p>
          <w:p w14:paraId="364621F3">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6.要求：</w:t>
            </w:r>
          </w:p>
          <w:p w14:paraId="60D980F8">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（1）供应商（属于联合体竞标的，相关人员可以由联合体任一方提供）竞标时须提供《房屋安全鉴定机构人员一览表》及其人员资料，格式自拟。</w:t>
            </w:r>
          </w:p>
          <w:p w14:paraId="36C9C410">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人员表中必须包含人员姓名、岗位名称、职称、执业资格岗位证、专业、工作年限、工作经历等以及相应的人员证件，人员表岗位名称须包括：项目负责人、技术负责人、安全鉴定报告审核人、安全鉴定报告批准人、安全鉴定结构验算人、鉴定检测人员，属于联合体竞标的，还须注明这些人员指向所在的联合体一方。</w:t>
            </w:r>
          </w:p>
          <w:p w14:paraId="3AC29589">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▲(二)设备和场地要求</w:t>
            </w:r>
          </w:p>
          <w:p w14:paraId="0D935170">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highlight w:val="none"/>
                <w:vertAlign w:val="baseline"/>
                <w:lang w:val="en-US" w:eastAsia="zh-CN"/>
              </w:rPr>
              <w:t>1.根据《广西壮族自治区建设工程质量检测管理实施细则》（桂建发〔2025〕5 号）的要求，使用检测机构在注册地所在设区市以外检测场所的，该场所应通过广西壮族自治区住房和城乡建设厅的核定。检测机构应</w:t>
            </w:r>
            <w:r>
              <w:rPr>
                <w:rFonts w:hint="eastAsia" w:ascii="宋体" w:hAnsi="宋体" w:eastAsia="宋体" w:cs="宋体"/>
                <w:b/>
                <w:bCs/>
                <w:color w:val="auto"/>
                <w:sz w:val="21"/>
                <w:szCs w:val="21"/>
                <w:highlight w:val="none"/>
                <w:lang w:val="en-US" w:eastAsia="zh-CN"/>
              </w:rPr>
              <w:t>按广西壮族自治区建设工程质量检测管理相关规定开展检测活动。</w:t>
            </w:r>
          </w:p>
          <w:p w14:paraId="43B5B7CB">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lang w:val="en-US" w:eastAsia="zh-CN"/>
              </w:rPr>
              <w:t>2.根据</w:t>
            </w:r>
            <w:r>
              <w:rPr>
                <w:rFonts w:hint="eastAsia" w:ascii="宋体" w:hAnsi="宋体" w:eastAsia="宋体" w:cs="宋体"/>
                <w:b/>
                <w:bCs/>
                <w:color w:val="auto"/>
                <w:sz w:val="21"/>
                <w:szCs w:val="21"/>
              </w:rPr>
              <w:t>《关于规范我区房屋安全鉴定管理有关工作的通知》（桂建发〔2022〕8 号）</w:t>
            </w:r>
            <w:r>
              <w:rPr>
                <w:rFonts w:hint="eastAsia" w:ascii="宋体" w:hAnsi="宋体" w:eastAsia="宋体" w:cs="宋体"/>
                <w:b/>
                <w:bCs/>
                <w:color w:val="auto"/>
                <w:sz w:val="21"/>
                <w:szCs w:val="21"/>
                <w:lang w:val="en-US" w:eastAsia="zh-CN"/>
              </w:rPr>
              <w:t>规定，</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应当具备开展房屋安全鉴定工作必要的专业鉴定检测仪器设备和正版结构计算分析软件</w:t>
            </w:r>
            <w:r>
              <w:rPr>
                <w:rFonts w:hint="eastAsia" w:ascii="宋体" w:hAnsi="宋体" w:eastAsia="宋体" w:cs="宋体"/>
                <w:b/>
                <w:bCs/>
                <w:color w:val="auto"/>
                <w:szCs w:val="21"/>
                <w:highlight w:val="none"/>
              </w:rPr>
              <w:t>，</w:t>
            </w:r>
            <w:r>
              <w:rPr>
                <w:rFonts w:hint="eastAsia" w:ascii="宋体" w:hAnsi="宋体" w:eastAsia="宋体" w:cs="宋体"/>
                <w:b/>
                <w:bCs/>
                <w:color w:val="auto"/>
                <w:sz w:val="21"/>
                <w:szCs w:val="21"/>
                <w:highlight w:val="none"/>
              </w:rPr>
              <w:t>并在</w:t>
            </w:r>
            <w:r>
              <w:rPr>
                <w:rFonts w:hint="eastAsia" w:ascii="宋体" w:hAnsi="宋体" w:eastAsia="宋体" w:cs="宋体"/>
                <w:b/>
                <w:bCs/>
                <w:color w:val="auto"/>
                <w:sz w:val="21"/>
                <w:szCs w:val="21"/>
                <w:highlight w:val="none"/>
                <w:lang w:val="en-US" w:eastAsia="zh-CN"/>
              </w:rPr>
              <w:t>广西区域</w:t>
            </w:r>
            <w:r>
              <w:rPr>
                <w:rFonts w:hint="eastAsia" w:ascii="宋体" w:hAnsi="宋体" w:eastAsia="宋体" w:cs="宋体"/>
                <w:b/>
                <w:bCs/>
                <w:color w:val="auto"/>
                <w:sz w:val="21"/>
                <w:szCs w:val="21"/>
                <w:highlight w:val="none"/>
              </w:rPr>
              <w:t>范围内具有固定办公、试验场所，</w:t>
            </w:r>
            <w:r>
              <w:rPr>
                <w:rFonts w:hint="eastAsia" w:ascii="宋体" w:hAnsi="宋体" w:eastAsia="宋体" w:cs="宋体"/>
                <w:b/>
                <w:bCs/>
                <w:color w:val="auto"/>
                <w:szCs w:val="21"/>
                <w:highlight w:val="none"/>
              </w:rPr>
              <w:t>或承诺成交后7</w:t>
            </w:r>
            <w:r>
              <w:rPr>
                <w:rFonts w:hint="eastAsia" w:ascii="宋体" w:hAnsi="宋体" w:eastAsia="宋体" w:cs="宋体"/>
                <w:b/>
                <w:bCs/>
                <w:color w:val="auto"/>
                <w:szCs w:val="21"/>
                <w:highlight w:val="none"/>
                <w:lang w:val="en-US" w:eastAsia="zh-CN"/>
              </w:rPr>
              <w:t>日历天</w:t>
            </w:r>
            <w:r>
              <w:rPr>
                <w:rFonts w:hint="eastAsia" w:ascii="宋体" w:hAnsi="宋体" w:eastAsia="宋体" w:cs="宋体"/>
                <w:b/>
                <w:bCs/>
                <w:color w:val="auto"/>
                <w:szCs w:val="21"/>
                <w:highlight w:val="none"/>
              </w:rPr>
              <w:t>内在广西区域范围内设固定办公、试验场所并通过广西壮族自治区住房和城乡建设厅的核定</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 w:val="21"/>
                <w:szCs w:val="21"/>
                <w:highlight w:val="none"/>
              </w:rPr>
              <w:t>能够满足</w:t>
            </w:r>
            <w:r>
              <w:rPr>
                <w:rFonts w:hint="eastAsia" w:ascii="宋体" w:hAnsi="宋体" w:eastAsia="宋体" w:cs="宋体"/>
                <w:b/>
                <w:bCs/>
                <w:color w:val="auto"/>
                <w:sz w:val="21"/>
                <w:szCs w:val="21"/>
                <w:lang w:val="en-US" w:eastAsia="zh-CN"/>
              </w:rPr>
              <w:t>的</w:t>
            </w:r>
            <w:r>
              <w:rPr>
                <w:rFonts w:hint="eastAsia" w:ascii="宋体" w:hAnsi="宋体" w:eastAsia="宋体" w:cs="宋体"/>
                <w:b/>
                <w:bCs/>
                <w:color w:val="auto"/>
                <w:sz w:val="21"/>
                <w:szCs w:val="21"/>
                <w:highlight w:val="none"/>
              </w:rPr>
              <w:t>房屋安全鉴定工作需要。</w:t>
            </w:r>
          </w:p>
          <w:p w14:paraId="3D4FCDBD">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3.供应商竞标</w:t>
            </w:r>
            <w:r>
              <w:rPr>
                <w:rFonts w:hint="eastAsia" w:ascii="宋体" w:hAnsi="宋体" w:eastAsia="宋体" w:cs="宋体"/>
                <w:b/>
                <w:bCs/>
                <w:color w:val="auto"/>
                <w:sz w:val="21"/>
                <w:szCs w:val="21"/>
                <w:highlight w:val="none"/>
              </w:rPr>
              <w:t>时提供</w:t>
            </w:r>
            <w:r>
              <w:rPr>
                <w:rFonts w:hint="eastAsia" w:ascii="宋体" w:hAnsi="宋体" w:eastAsia="宋体" w:cs="宋体"/>
                <w:b/>
                <w:bCs/>
                <w:color w:val="auto"/>
                <w:sz w:val="21"/>
                <w:szCs w:val="21"/>
                <w:highlight w:val="none"/>
                <w:lang w:eastAsia="zh-CN"/>
              </w:rPr>
              <w:t>：</w:t>
            </w:r>
          </w:p>
          <w:p w14:paraId="5FF3A5B3">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 w:val="21"/>
                <w:szCs w:val="21"/>
                <w:highlight w:val="none"/>
                <w:lang w:val="en-US" w:eastAsia="zh-CN"/>
              </w:rPr>
              <w:t>表1</w:t>
            </w:r>
            <w:r>
              <w:rPr>
                <w:rFonts w:hint="eastAsia" w:ascii="宋体" w:hAnsi="宋体" w:eastAsia="宋体" w:cs="宋体"/>
                <w:b/>
                <w:bCs/>
                <w:color w:val="auto"/>
                <w:szCs w:val="21"/>
                <w:highlight w:val="none"/>
              </w:rPr>
              <w:t>《专业鉴定检测仪器设备</w:t>
            </w:r>
            <w:r>
              <w:rPr>
                <w:rFonts w:hint="eastAsia" w:ascii="宋体" w:hAnsi="宋体" w:eastAsia="宋体" w:cs="宋体"/>
                <w:b/>
                <w:bCs/>
                <w:color w:val="auto"/>
                <w:sz w:val="21"/>
                <w:szCs w:val="21"/>
                <w:highlight w:val="none"/>
              </w:rPr>
              <w:t>和正版结构计算分析软件</w:t>
            </w:r>
            <w:r>
              <w:rPr>
                <w:rFonts w:hint="eastAsia" w:ascii="宋体" w:hAnsi="宋体" w:eastAsia="宋体" w:cs="宋体"/>
                <w:b/>
                <w:bCs/>
                <w:color w:val="auto"/>
                <w:szCs w:val="21"/>
                <w:highlight w:val="none"/>
                <w:lang w:val="en-US" w:eastAsia="zh-CN"/>
              </w:rPr>
              <w:t>说明</w:t>
            </w:r>
            <w:r>
              <w:rPr>
                <w:rFonts w:hint="eastAsia" w:ascii="宋体" w:hAnsi="宋体" w:eastAsia="宋体" w:cs="宋体"/>
                <w:b/>
                <w:bCs/>
                <w:color w:val="auto"/>
                <w:szCs w:val="21"/>
                <w:highlight w:val="none"/>
              </w:rPr>
              <w:t>表》（</w:t>
            </w:r>
            <w:r>
              <w:rPr>
                <w:rFonts w:hint="eastAsia" w:ascii="宋体" w:hAnsi="宋体" w:eastAsia="宋体" w:cs="宋体"/>
                <w:b/>
                <w:bCs/>
                <w:color w:val="auto"/>
                <w:szCs w:val="21"/>
                <w:highlight w:val="none"/>
                <w:lang w:val="en-US" w:eastAsia="zh-CN"/>
              </w:rPr>
              <w:t>说明</w:t>
            </w:r>
            <w:r>
              <w:rPr>
                <w:rFonts w:hint="eastAsia" w:ascii="宋体" w:hAnsi="宋体" w:eastAsia="宋体" w:cs="宋体"/>
                <w:b/>
                <w:bCs/>
                <w:color w:val="auto"/>
                <w:szCs w:val="21"/>
                <w:highlight w:val="none"/>
              </w:rPr>
              <w:t>表应当包括设备</w:t>
            </w:r>
            <w:r>
              <w:rPr>
                <w:rFonts w:hint="eastAsia" w:ascii="宋体" w:hAnsi="宋体" w:eastAsia="宋体" w:cs="宋体"/>
                <w:b/>
                <w:bCs/>
                <w:color w:val="auto"/>
                <w:szCs w:val="21"/>
                <w:highlight w:val="none"/>
                <w:lang w:val="en-US" w:eastAsia="zh-CN"/>
              </w:rPr>
              <w:t>年份</w:t>
            </w:r>
            <w:r>
              <w:rPr>
                <w:rFonts w:hint="eastAsia" w:ascii="宋体" w:hAnsi="宋体" w:eastAsia="宋体" w:cs="宋体"/>
                <w:b/>
                <w:bCs/>
                <w:color w:val="auto"/>
                <w:szCs w:val="21"/>
                <w:highlight w:val="none"/>
              </w:rPr>
              <w:t>、型号规格说明、用途等，清晰图片（如有））</w:t>
            </w:r>
            <w:r>
              <w:rPr>
                <w:rFonts w:hint="eastAsia" w:ascii="宋体" w:hAnsi="宋体" w:eastAsia="宋体" w:cs="宋体"/>
                <w:b/>
                <w:bCs/>
                <w:color w:val="auto"/>
                <w:szCs w:val="21"/>
                <w:highlight w:val="none"/>
                <w:lang w:eastAsia="zh-CN"/>
              </w:rPr>
              <w:t>；</w:t>
            </w:r>
          </w:p>
          <w:p w14:paraId="7C25D8DF">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Cs w:val="21"/>
                <w:highlight w:val="none"/>
              </w:rPr>
              <w:t>表2</w:t>
            </w:r>
            <w:r>
              <w:rPr>
                <w:rFonts w:hint="eastAsia" w:ascii="宋体" w:hAnsi="宋体" w:eastAsia="宋体" w:cs="宋体"/>
                <w:b/>
                <w:bCs/>
                <w:color w:val="auto"/>
                <w:sz w:val="21"/>
                <w:szCs w:val="21"/>
                <w:highlight w:val="none"/>
              </w:rPr>
              <w:t>《广西区域固定办公试验场所一览表》</w:t>
            </w:r>
            <w:r>
              <w:rPr>
                <w:rFonts w:hint="eastAsia" w:ascii="宋体" w:hAnsi="宋体" w:eastAsia="宋体" w:cs="宋体"/>
                <w:b/>
                <w:bCs/>
                <w:color w:val="auto"/>
                <w:sz w:val="21"/>
                <w:szCs w:val="21"/>
                <w:highlight w:val="none"/>
                <w:lang w:val="en-US" w:eastAsia="zh-CN"/>
              </w:rPr>
              <w:t>及</w:t>
            </w:r>
            <w:r>
              <w:rPr>
                <w:rFonts w:hint="eastAsia" w:ascii="宋体" w:hAnsi="宋体" w:eastAsia="宋体" w:cs="宋体"/>
                <w:b/>
                <w:bCs/>
                <w:color w:val="auto"/>
                <w:sz w:val="21"/>
                <w:szCs w:val="21"/>
                <w:highlight w:val="none"/>
              </w:rPr>
              <w:t>场地的房产产权证或租赁协议</w:t>
            </w:r>
            <w:r>
              <w:rPr>
                <w:rFonts w:hint="eastAsia" w:ascii="宋体" w:hAnsi="宋体" w:eastAsia="宋体" w:cs="宋体"/>
                <w:b/>
                <w:bCs/>
                <w:color w:val="auto"/>
                <w:sz w:val="21"/>
                <w:szCs w:val="21"/>
                <w:highlight w:val="none"/>
                <w:lang w:val="en-US" w:eastAsia="zh-CN"/>
              </w:rPr>
              <w:t>复印件</w:t>
            </w:r>
            <w:r>
              <w:rPr>
                <w:rFonts w:hint="eastAsia" w:ascii="宋体" w:hAnsi="宋体" w:eastAsia="宋体" w:cs="宋体"/>
                <w:b/>
                <w:bCs/>
                <w:color w:val="auto"/>
                <w:sz w:val="21"/>
                <w:szCs w:val="21"/>
                <w:highlight w:val="none"/>
              </w:rPr>
              <w:t>（提供其一）、固定办公和试验场所分区说明及现场照片</w:t>
            </w:r>
            <w:r>
              <w:rPr>
                <w:rFonts w:hint="eastAsia" w:ascii="宋体" w:hAnsi="宋体" w:eastAsia="宋体" w:cs="宋体"/>
                <w:b/>
                <w:bCs/>
                <w:color w:val="auto"/>
                <w:sz w:val="21"/>
                <w:szCs w:val="21"/>
                <w:highlight w:val="none"/>
                <w:lang w:eastAsia="zh-CN"/>
              </w:rPr>
              <w:t>；</w:t>
            </w:r>
            <w:r>
              <w:rPr>
                <w:rFonts w:hint="eastAsia" w:ascii="宋体" w:hAnsi="宋体"/>
                <w:b/>
                <w:bCs/>
                <w:color w:val="0000FF"/>
                <w:sz w:val="21"/>
                <w:szCs w:val="21"/>
                <w:highlight w:val="none"/>
                <w:lang w:eastAsia="zh-CN"/>
              </w:rPr>
              <w:t>承诺成交后</w:t>
            </w:r>
            <w:r>
              <w:rPr>
                <w:rFonts w:hint="eastAsia" w:ascii="宋体" w:hAnsi="宋体"/>
                <w:b/>
                <w:bCs/>
                <w:color w:val="0000FF"/>
                <w:sz w:val="21"/>
                <w:szCs w:val="21"/>
                <w:highlight w:val="none"/>
                <w:lang w:val="en-US" w:eastAsia="zh-CN"/>
              </w:rPr>
              <w:t>7日历天内</w:t>
            </w:r>
            <w:r>
              <w:rPr>
                <w:rFonts w:hint="eastAsia" w:ascii="宋体" w:hAnsi="宋体"/>
                <w:b/>
                <w:bCs/>
                <w:color w:val="0000FF"/>
                <w:sz w:val="21"/>
                <w:szCs w:val="21"/>
                <w:highlight w:val="none"/>
              </w:rPr>
              <w:t>在</w:t>
            </w:r>
            <w:r>
              <w:rPr>
                <w:rFonts w:hint="eastAsia" w:ascii="宋体" w:hAnsi="宋体"/>
                <w:b/>
                <w:bCs/>
                <w:color w:val="0000FF"/>
                <w:sz w:val="21"/>
                <w:szCs w:val="21"/>
                <w:highlight w:val="none"/>
                <w:lang w:val="en-US" w:eastAsia="zh-CN"/>
              </w:rPr>
              <w:t>广西区域</w:t>
            </w:r>
            <w:r>
              <w:rPr>
                <w:rFonts w:hint="eastAsia" w:ascii="宋体" w:hAnsi="宋体"/>
                <w:b/>
                <w:bCs/>
                <w:color w:val="0000FF"/>
                <w:sz w:val="21"/>
                <w:szCs w:val="21"/>
                <w:highlight w:val="none"/>
              </w:rPr>
              <w:t>范围内</w:t>
            </w:r>
            <w:r>
              <w:rPr>
                <w:rFonts w:hint="eastAsia" w:ascii="宋体" w:hAnsi="宋体"/>
                <w:b/>
                <w:bCs/>
                <w:color w:val="0000FF"/>
                <w:sz w:val="21"/>
                <w:szCs w:val="21"/>
                <w:highlight w:val="none"/>
                <w:lang w:eastAsia="zh-CN"/>
              </w:rPr>
              <w:t>设</w:t>
            </w:r>
            <w:r>
              <w:rPr>
                <w:rFonts w:hint="eastAsia" w:ascii="宋体" w:hAnsi="宋体"/>
                <w:b/>
                <w:bCs/>
                <w:color w:val="0000FF"/>
                <w:sz w:val="21"/>
                <w:szCs w:val="21"/>
                <w:highlight w:val="none"/>
              </w:rPr>
              <w:t>固定办公、试验场所</w:t>
            </w:r>
            <w:r>
              <w:rPr>
                <w:rFonts w:hint="eastAsia" w:ascii="宋体" w:hAnsi="宋体"/>
                <w:b/>
                <w:bCs/>
                <w:color w:val="0000FF"/>
                <w:sz w:val="21"/>
                <w:szCs w:val="21"/>
                <w:highlight w:val="none"/>
                <w:lang w:eastAsia="zh-CN"/>
              </w:rPr>
              <w:t>并</w:t>
            </w:r>
            <w:r>
              <w:rPr>
                <w:rFonts w:hint="eastAsia" w:ascii="Times New Roman" w:hAnsi="Times New Roman" w:cs="Times New Roman"/>
                <w:b/>
                <w:bCs/>
                <w:color w:val="0000FF"/>
                <w:highlight w:val="none"/>
                <w:vertAlign w:val="baseline"/>
                <w:lang w:val="en-US" w:eastAsia="zh-CN"/>
              </w:rPr>
              <w:t>通过广西壮族自治区住房和城乡建设厅的核定</w:t>
            </w:r>
            <w:r>
              <w:rPr>
                <w:rFonts w:hint="eastAsia" w:ascii="宋体" w:hAnsi="宋体"/>
                <w:b/>
                <w:bCs/>
                <w:color w:val="0000FF"/>
                <w:sz w:val="21"/>
                <w:szCs w:val="21"/>
                <w:highlight w:val="none"/>
                <w:lang w:eastAsia="zh-CN"/>
              </w:rPr>
              <w:t>的，提供承诺书</w:t>
            </w:r>
            <w:r>
              <w:rPr>
                <w:rFonts w:hint="eastAsia" w:ascii="宋体" w:hAnsi="宋体" w:eastAsia="宋体" w:cs="宋体"/>
                <w:b/>
                <w:bCs/>
                <w:color w:val="auto"/>
                <w:sz w:val="21"/>
                <w:szCs w:val="21"/>
                <w:highlight w:val="none"/>
                <w:lang w:eastAsia="zh-CN"/>
              </w:rPr>
              <w:t>。</w:t>
            </w:r>
          </w:p>
          <w:p w14:paraId="3A429C3C">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color w:val="auto"/>
                <w:szCs w:val="21"/>
                <w:highlight w:val="none"/>
              </w:rPr>
            </w:pPr>
          </w:p>
          <w:p w14:paraId="6082E78C">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color w:val="auto"/>
                <w:highlight w:val="none"/>
              </w:rPr>
            </w:pPr>
            <w:r>
              <w:rPr>
                <w:rFonts w:hint="eastAsia" w:ascii="宋体" w:hAnsi="宋体" w:eastAsia="宋体" w:cs="宋体"/>
                <w:b/>
                <w:bCs/>
                <w:color w:val="auto"/>
                <w:szCs w:val="21"/>
                <w:highlight w:val="none"/>
              </w:rPr>
              <w:t>▲六</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highlight w:val="none"/>
              </w:rPr>
              <w:t>检测机构开展检测业务的要求</w:t>
            </w:r>
          </w:p>
          <w:p w14:paraId="0785C32C">
            <w:pPr>
              <w:keepNext w:val="0"/>
              <w:keepLines w:val="0"/>
              <w:pageBreakBefore w:val="0"/>
              <w:widowControl/>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1.供应商（联合体）的检测机构有资质开展的检测业务不允许分包。 </w:t>
            </w:r>
          </w:p>
          <w:p w14:paraId="620F2728">
            <w:pPr>
              <w:keepNext w:val="0"/>
              <w:keepLines w:val="0"/>
              <w:pageBreakBefore w:val="0"/>
              <w:widowControl/>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2.拟投入房屋安全鉴定机构人员应当满足</w:t>
            </w:r>
            <w:r>
              <w:rPr>
                <w:rFonts w:hint="eastAsia" w:ascii="宋体" w:hAnsi="宋体" w:eastAsia="宋体" w:cs="宋体"/>
                <w:color w:val="auto"/>
                <w:szCs w:val="21"/>
                <w:highlight w:val="none"/>
              </w:rPr>
              <w:t>《自治区住房城乡建设厅关于规范我区房屋安全鉴定管理有关工作的通知》（桂建发〔2022〕8号）文件要求。</w:t>
            </w:r>
          </w:p>
          <w:p w14:paraId="7725719B">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3.对跨区域承揽项目的供应商（联合体），检测单位必须符合《广西壮族自治区建设工程质量检测管理实施细则》（桂建发〔2025〕5 号）第十一条、第二十三条、第二十四条有关规定，方可在广西区域内从事资质许可范围内的建设工程质量检测活动。</w:t>
            </w:r>
          </w:p>
          <w:p w14:paraId="5FA708AC">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4.成交</w:t>
            </w:r>
            <w:r>
              <w:rPr>
                <w:rFonts w:hint="eastAsia" w:ascii="宋体" w:hAnsi="宋体" w:eastAsia="宋体" w:cs="宋体"/>
                <w:b/>
                <w:bCs/>
                <w:color w:val="auto"/>
                <w:szCs w:val="21"/>
                <w:highlight w:val="none"/>
                <w:lang w:val="en-US" w:eastAsia="zh-CN"/>
              </w:rPr>
              <w:t>供应商</w:t>
            </w:r>
            <w:r>
              <w:rPr>
                <w:rFonts w:hint="eastAsia" w:ascii="宋体" w:hAnsi="宋体" w:eastAsia="宋体" w:cs="宋体"/>
                <w:b/>
                <w:bCs/>
                <w:color w:val="auto"/>
                <w:szCs w:val="21"/>
                <w:highlight w:val="none"/>
              </w:rPr>
              <w:t>须符合《广西壮族自治区建筑市场诚信卡管理暂行办法》（桂建管﹝2013﹞17号）和《关于加强广西建筑业企业诚信信息库日常维护管理的通知》（桂建管﹝2014﹞25号）的要求，录入“桂建云”并处于有效状态。</w:t>
            </w:r>
            <w:r>
              <w:rPr>
                <w:rFonts w:hint="eastAsia" w:ascii="宋体" w:hAnsi="宋体" w:eastAsia="宋体" w:cs="宋体"/>
                <w:b/>
                <w:bCs/>
                <w:color w:val="auto"/>
                <w:szCs w:val="21"/>
                <w:highlight w:val="none"/>
                <w:lang w:val="en-US" w:eastAsia="zh-CN"/>
              </w:rPr>
              <w:t>响应文件中</w:t>
            </w:r>
            <w:r>
              <w:rPr>
                <w:rFonts w:hint="eastAsia" w:ascii="宋体" w:hAnsi="宋体" w:eastAsia="宋体" w:cs="宋体"/>
                <w:b/>
                <w:bCs/>
                <w:color w:val="auto"/>
                <w:szCs w:val="21"/>
                <w:highlight w:val="none"/>
              </w:rPr>
              <w:t>提供录入“桂建云”的截图，或者</w:t>
            </w:r>
            <w:r>
              <w:rPr>
                <w:rFonts w:hint="eastAsia" w:ascii="宋体" w:hAnsi="宋体" w:eastAsia="宋体" w:cs="宋体"/>
                <w:b/>
                <w:bCs/>
                <w:color w:val="auto"/>
                <w:szCs w:val="21"/>
                <w:highlight w:val="none"/>
                <w:lang w:val="en-US" w:eastAsia="zh-CN"/>
              </w:rPr>
              <w:t>提供承诺书</w:t>
            </w:r>
            <w:r>
              <w:rPr>
                <w:rFonts w:hint="eastAsia" w:ascii="宋体" w:hAnsi="宋体" w:eastAsia="宋体" w:cs="宋体"/>
                <w:b/>
                <w:bCs/>
                <w:color w:val="auto"/>
                <w:szCs w:val="21"/>
                <w:highlight w:val="none"/>
              </w:rPr>
              <w:t>承诺成交后25日历天内</w:t>
            </w:r>
            <w:r>
              <w:rPr>
                <w:rFonts w:hint="eastAsia" w:ascii="宋体" w:hAnsi="宋体" w:eastAsia="宋体" w:cs="宋体"/>
                <w:b/>
                <w:bCs/>
                <w:color w:val="auto"/>
                <w:szCs w:val="21"/>
                <w:highlight w:val="none"/>
                <w:lang w:eastAsia="zh-CN"/>
              </w:rPr>
              <w:t>成交供应商</w:t>
            </w:r>
            <w:r>
              <w:rPr>
                <w:rFonts w:hint="eastAsia" w:ascii="宋体" w:hAnsi="宋体" w:eastAsia="宋体" w:cs="宋体"/>
                <w:b/>
                <w:bCs/>
                <w:color w:val="auto"/>
                <w:szCs w:val="21"/>
                <w:highlight w:val="none"/>
              </w:rPr>
              <w:t>（包括联合体各方）成功录入“桂建云”系统（包括房屋安全鉴定机构人员）。</w:t>
            </w:r>
          </w:p>
          <w:p w14:paraId="49AB9442">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5.要求：供应商（联合体）竞标时须提供《专项竞标承诺书》，承诺满足上述全部业务管理要求，必要时提供对应的证明材料（自拟）。</w:t>
            </w:r>
          </w:p>
          <w:p w14:paraId="719FB811">
            <w:pPr>
              <w:keepNext w:val="0"/>
              <w:keepLines w:val="0"/>
              <w:pageBreakBefore w:val="0"/>
              <w:kinsoku/>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p>
          <w:p w14:paraId="40147B62">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eastAsia="宋体" w:cs="宋体"/>
                <w:b/>
                <w:bCs/>
                <w:color w:val="auto"/>
                <w:szCs w:val="21"/>
                <w:highlight w:val="none"/>
              </w:rPr>
              <w:t>▲七、成果文件：</w:t>
            </w:r>
            <w:r>
              <w:rPr>
                <w:rFonts w:hint="eastAsia" w:ascii="宋体" w:hAnsi="宋体" w:eastAsia="宋体" w:cs="宋体"/>
                <w:b/>
                <w:color w:val="auto"/>
                <w:szCs w:val="21"/>
                <w:highlight w:val="none"/>
              </w:rPr>
              <w:t>成果终身负责，</w:t>
            </w:r>
            <w:r>
              <w:rPr>
                <w:rFonts w:hint="eastAsia" w:ascii="宋体" w:hAnsi="宋体" w:eastAsia="宋体" w:cs="宋体"/>
                <w:b/>
                <w:bCs/>
                <w:color w:val="auto"/>
                <w:szCs w:val="21"/>
                <w:highlight w:val="none"/>
              </w:rPr>
              <w:t>永久有效。</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对出具的全部房屋安全鉴定报告、检测数据、结论意见承担终身质量责任，严格落实文件关于鉴定机构主体责任的要求，确保鉴定流程合规、数据真实、结论准确，杜绝虚假鉴定、违规鉴定行为。</w:t>
            </w:r>
          </w:p>
        </w:tc>
      </w:tr>
      <w:tr w14:paraId="2AC18A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7" w:hRule="atLeast"/>
          <w:jc w:val="center"/>
        </w:trPr>
        <w:tc>
          <w:tcPr>
            <w:tcW w:w="236" w:type="pct"/>
            <w:tcBorders>
              <w:top w:val="single" w:color="auto" w:sz="4" w:space="0"/>
              <w:left w:val="single" w:color="auto" w:sz="4" w:space="0"/>
              <w:bottom w:val="single" w:color="auto" w:sz="4" w:space="0"/>
              <w:right w:val="single" w:color="auto" w:sz="4" w:space="0"/>
            </w:tcBorders>
            <w:noWrap w:val="0"/>
            <w:vAlign w:val="center"/>
          </w:tcPr>
          <w:p w14:paraId="2EE8F20A">
            <w:pPr>
              <w:jc w:val="center"/>
              <w:rPr>
                <w:rFonts w:hint="eastAsia" w:ascii="宋体" w:hAnsi="宋体"/>
                <w:color w:val="auto"/>
                <w:highlight w:val="none"/>
              </w:rPr>
            </w:pPr>
            <w:r>
              <w:rPr>
                <w:rFonts w:hint="eastAsia" w:ascii="宋体" w:hAnsi="宋体"/>
                <w:color w:val="auto"/>
                <w:highlight w:val="none"/>
              </w:rPr>
              <w:t>商务条款</w:t>
            </w:r>
          </w:p>
        </w:tc>
        <w:tc>
          <w:tcPr>
            <w:tcW w:w="4763" w:type="pct"/>
            <w:gridSpan w:val="5"/>
            <w:tcBorders>
              <w:top w:val="single" w:color="auto" w:sz="4" w:space="0"/>
              <w:left w:val="single" w:color="auto" w:sz="4" w:space="0"/>
              <w:bottom w:val="single" w:color="auto" w:sz="4" w:space="0"/>
              <w:right w:val="single" w:color="auto" w:sz="4" w:space="0"/>
            </w:tcBorders>
            <w:noWrap w:val="0"/>
            <w:vAlign w:val="top"/>
          </w:tcPr>
          <w:p w14:paraId="53FB2E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cs="宋体"/>
                <w:b/>
                <w:bCs/>
                <w:color w:val="auto"/>
                <w:szCs w:val="21"/>
                <w:highlight w:val="none"/>
              </w:rPr>
              <w:t>▲一、合同签订期：</w:t>
            </w:r>
            <w:r>
              <w:rPr>
                <w:rFonts w:hint="eastAsia" w:ascii="宋体" w:hAnsi="宋体" w:cs="宋体"/>
                <w:color w:val="auto"/>
                <w:szCs w:val="21"/>
                <w:highlight w:val="none"/>
              </w:rPr>
              <w:t>自成交通知书发出之日起25日内。</w:t>
            </w:r>
          </w:p>
          <w:p w14:paraId="3EDE7C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val="0"/>
                <w:color w:val="auto"/>
                <w:szCs w:val="21"/>
                <w:highlight w:val="none"/>
              </w:rPr>
            </w:pPr>
            <w:r>
              <w:rPr>
                <w:rFonts w:hint="eastAsia" w:ascii="宋体" w:hAnsi="宋体" w:cs="宋体"/>
                <w:b/>
                <w:bCs/>
                <w:color w:val="auto"/>
                <w:szCs w:val="21"/>
                <w:highlight w:val="none"/>
              </w:rPr>
              <w:t>▲二、合同履行期限：</w:t>
            </w:r>
            <w:r>
              <w:rPr>
                <w:rFonts w:hint="eastAsia" w:ascii="宋体" w:hAnsi="宋体" w:cs="宋体"/>
                <w:b w:val="0"/>
                <w:bCs w:val="0"/>
                <w:color w:val="auto"/>
                <w:szCs w:val="21"/>
                <w:highlight w:val="none"/>
              </w:rPr>
              <w:t>项目总工期：</w:t>
            </w:r>
            <w:r>
              <w:rPr>
                <w:rFonts w:hint="eastAsia" w:ascii="宋体" w:hAnsi="宋体" w:cs="宋体"/>
                <w:b w:val="0"/>
                <w:bCs w:val="0"/>
                <w:color w:val="auto"/>
                <w:szCs w:val="21"/>
                <w:highlight w:val="none"/>
                <w:lang w:eastAsia="zh-CN"/>
              </w:rPr>
              <w:t>合同签订后45日历天</w:t>
            </w:r>
            <w:r>
              <w:rPr>
                <w:rFonts w:hint="eastAsia" w:ascii="宋体" w:hAnsi="宋体" w:cs="宋体"/>
                <w:b w:val="0"/>
                <w:bCs w:val="0"/>
                <w:color w:val="auto"/>
                <w:szCs w:val="21"/>
                <w:highlight w:val="none"/>
              </w:rPr>
              <w:t>（自进场至提交正式检测报告和房屋安全鉴定报告）。</w:t>
            </w:r>
          </w:p>
          <w:p w14:paraId="18EBBD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kern w:val="2"/>
                <w:sz w:val="21"/>
                <w:szCs w:val="21"/>
                <w:lang w:val="en-US" w:eastAsia="zh-CN" w:bidi="ar-SA"/>
              </w:rPr>
              <w:t>三、</w:t>
            </w:r>
            <w:r>
              <w:rPr>
                <w:rFonts w:hint="eastAsia" w:ascii="宋体" w:hAnsi="宋体" w:cs="宋体"/>
                <w:b/>
                <w:bCs/>
                <w:color w:val="auto"/>
                <w:szCs w:val="21"/>
                <w:highlight w:val="none"/>
              </w:rPr>
              <w:t>项目地点：</w:t>
            </w:r>
            <w:r>
              <w:rPr>
                <w:rFonts w:hint="eastAsia" w:ascii="宋体" w:hAnsi="宋体" w:cs="宋体"/>
                <w:color w:val="auto"/>
                <w:szCs w:val="21"/>
                <w:highlight w:val="none"/>
              </w:rPr>
              <w:t>阳光城大唐檀境项目（南宁市良庆区坛泽路3号）。</w:t>
            </w:r>
          </w:p>
          <w:p w14:paraId="0D2EB0E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cs="宋体"/>
                <w:color w:val="auto"/>
                <w:szCs w:val="21"/>
                <w:highlight w:val="none"/>
              </w:rPr>
            </w:pPr>
            <w:r>
              <w:rPr>
                <w:rFonts w:hint="eastAsia" w:ascii="宋体" w:hAnsi="宋体" w:eastAsia="宋体" w:cs="宋体"/>
                <w:color w:val="auto"/>
                <w:kern w:val="2"/>
                <w:sz w:val="21"/>
                <w:szCs w:val="21"/>
                <w:lang w:val="en-US" w:eastAsia="zh-CN" w:bidi="ar-SA"/>
              </w:rPr>
              <w:t>四、</w:t>
            </w:r>
            <w:r>
              <w:rPr>
                <w:rFonts w:hint="eastAsia" w:ascii="宋体" w:hAnsi="宋体" w:cs="宋体"/>
                <w:b/>
                <w:bCs/>
                <w:color w:val="auto"/>
                <w:szCs w:val="21"/>
                <w:highlight w:val="none"/>
              </w:rPr>
              <w:t>提交服务成果地点：</w:t>
            </w:r>
            <w:r>
              <w:rPr>
                <w:rFonts w:hint="eastAsia" w:ascii="宋体" w:hAnsi="宋体" w:cs="宋体"/>
                <w:b w:val="0"/>
                <w:bCs w:val="0"/>
                <w:color w:val="auto"/>
                <w:szCs w:val="21"/>
                <w:highlight w:val="none"/>
              </w:rPr>
              <w:t>采购人指定地点。</w:t>
            </w:r>
          </w:p>
          <w:p w14:paraId="455608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五</w:t>
            </w:r>
            <w:r>
              <w:rPr>
                <w:rFonts w:hint="eastAsia" w:ascii="宋体" w:hAnsi="宋体" w:cs="宋体"/>
                <w:b/>
                <w:bCs/>
                <w:color w:val="auto"/>
                <w:szCs w:val="21"/>
                <w:highlight w:val="none"/>
              </w:rPr>
              <w:t>、服务标准：</w:t>
            </w:r>
            <w:r>
              <w:rPr>
                <w:rFonts w:hint="eastAsia" w:ascii="宋体" w:hAnsi="宋体"/>
                <w:color w:val="auto"/>
                <w:szCs w:val="21"/>
                <w:highlight w:val="none"/>
              </w:rPr>
              <w:t>质量标准：</w:t>
            </w:r>
            <w:r>
              <w:rPr>
                <w:rFonts w:hint="eastAsia" w:ascii="宋体" w:hAnsi="宋体" w:cs="宋体"/>
                <w:color w:val="auto"/>
                <w:highlight w:val="none"/>
              </w:rPr>
              <w:t>房屋安全鉴定报告及处理建议符合《关于规范我区房屋安全鉴定管理有关工作的通知》（桂建发〔2022〕8号）规定及要求；房屋使用功能检测成果文件符合</w:t>
            </w:r>
            <w:r>
              <w:rPr>
                <w:rFonts w:hint="eastAsia" w:ascii="宋体" w:hAnsi="宋体" w:cs="宋体"/>
                <w:color w:val="auto"/>
                <w:highlight w:val="none"/>
                <w:lang w:eastAsia="zh-CN"/>
              </w:rPr>
              <w:t>《广西壮族自治区住宅工程质量分户验收管理规定》（桂建发〔2020〕6号）</w:t>
            </w:r>
            <w:r>
              <w:rPr>
                <w:rFonts w:hint="eastAsia" w:ascii="宋体" w:hAnsi="宋体" w:cs="宋体"/>
                <w:color w:val="auto"/>
                <w:highlight w:val="none"/>
              </w:rPr>
              <w:t>要求；所有过程检测和检测报告成果文件符合《建设工程质量检测管理办法》（住房城乡建设部令第57号）、《广西壮族自治区建设工程质量检测管理实施细则》（桂建发〔2025〕5号）等国家、广西</w:t>
            </w:r>
            <w:r>
              <w:rPr>
                <w:rFonts w:hint="eastAsia" w:ascii="宋体" w:hAnsi="宋体"/>
                <w:color w:val="auto"/>
                <w:szCs w:val="21"/>
                <w:highlight w:val="none"/>
              </w:rPr>
              <w:t>、建筑行业现行有关规范和标准以及项目施工图设计要求标准；检测人员具有相应专业资格、技能熟练，仪器设备合格、状况和性能良好，检测数据准确、真实、完整、不漏项。</w:t>
            </w:r>
          </w:p>
          <w:p w14:paraId="0C7A0D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六</w:t>
            </w:r>
            <w:r>
              <w:rPr>
                <w:rFonts w:hint="eastAsia" w:ascii="宋体" w:hAnsi="宋体" w:cs="宋体"/>
                <w:b/>
                <w:bCs/>
                <w:color w:val="auto"/>
                <w:szCs w:val="21"/>
                <w:highlight w:val="none"/>
              </w:rPr>
              <w:t>、交付及验收：</w:t>
            </w:r>
          </w:p>
          <w:p w14:paraId="2EE5EE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成交供应商应当在合同履行期限内完成服务事项，采购文件有约定的，从其约定。在交付前，成交供应商应作出全面检查和对验收文件进行整理，并列出清单，作为采购人验收和使用的技术条件依据，验收的结果交采购人。</w:t>
            </w:r>
          </w:p>
          <w:p w14:paraId="21E0CD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2、验收标准：按响应文件的承诺，达到采购需求要求的质量标准；按“桂建发〔2022〕8号”完成房屋安全鉴定信息化要求。</w:t>
            </w:r>
          </w:p>
          <w:p w14:paraId="78C6E4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七</w:t>
            </w:r>
            <w:r>
              <w:rPr>
                <w:rFonts w:hint="eastAsia" w:ascii="宋体" w:hAnsi="宋体" w:cs="宋体"/>
                <w:b/>
                <w:bCs/>
                <w:color w:val="auto"/>
                <w:szCs w:val="21"/>
                <w:highlight w:val="none"/>
              </w:rPr>
              <w:t>、</w:t>
            </w:r>
            <w:r>
              <w:rPr>
                <w:rFonts w:hint="eastAsia" w:ascii="宋体" w:hAnsi="宋体" w:cs="宋体"/>
                <w:b/>
                <w:bCs/>
                <w:color w:val="auto"/>
                <w:highlight w:val="none"/>
              </w:rPr>
              <w:t>售后服务要求</w:t>
            </w:r>
          </w:p>
          <w:p w14:paraId="62CD64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1. </w:t>
            </w:r>
            <w:r>
              <w:rPr>
                <w:rFonts w:hint="eastAsia" w:ascii="宋体" w:hAnsi="宋体" w:cs="宋体"/>
                <w:b/>
                <w:color w:val="auto"/>
                <w:szCs w:val="21"/>
                <w:highlight w:val="none"/>
              </w:rPr>
              <w:t>成果终身负责</w:t>
            </w:r>
            <w:r>
              <w:rPr>
                <w:rFonts w:hint="eastAsia" w:ascii="宋体" w:hAnsi="宋体" w:cs="宋体"/>
                <w:color w:val="auto"/>
                <w:szCs w:val="21"/>
                <w:highlight w:val="none"/>
              </w:rPr>
              <w:t>：</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对所出具的全部房屋安全鉴定报告、检测数据、结论意见承担终身质量责任，严格落实“</w:t>
            </w:r>
            <w:r>
              <w:rPr>
                <w:rFonts w:hint="eastAsia" w:ascii="宋体" w:hAnsi="宋体" w:cs="宋体"/>
                <w:color w:val="auto"/>
                <w:highlight w:val="none"/>
              </w:rPr>
              <w:t>桂建发〔2022〕8号</w:t>
            </w:r>
            <w:r>
              <w:rPr>
                <w:rFonts w:hint="eastAsia" w:ascii="宋体" w:hAnsi="宋体" w:cs="宋体"/>
                <w:color w:val="auto"/>
                <w:szCs w:val="21"/>
                <w:highlight w:val="none"/>
              </w:rPr>
              <w:t>”文件关于鉴定机构主体责任的要求，确保鉴定流程合规、数据真实、结论准确，杜绝虚假鉴定、违规鉴定行为。</w:t>
            </w:r>
          </w:p>
          <w:p w14:paraId="152F345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highlight w:val="none"/>
              </w:rPr>
            </w:pPr>
            <w:r>
              <w:rPr>
                <w:rFonts w:hint="eastAsia" w:ascii="宋体" w:hAnsi="宋体" w:cs="宋体"/>
                <w:b/>
                <w:bCs/>
                <w:color w:val="auto"/>
                <w:highlight w:val="none"/>
              </w:rPr>
              <w:t>2.问题响应及处理时限：</w:t>
            </w:r>
            <w:r>
              <w:rPr>
                <w:rFonts w:hint="eastAsia" w:ascii="宋体" w:hAnsi="宋体" w:cs="宋体"/>
                <w:b/>
                <w:bCs/>
                <w:color w:val="auto"/>
                <w:szCs w:val="21"/>
                <w:highlight w:val="none"/>
              </w:rPr>
              <w:t>项目质保期不少于1年。质保期内</w:t>
            </w:r>
            <w:r>
              <w:rPr>
                <w:rFonts w:hint="eastAsia" w:ascii="宋体" w:hAnsi="宋体" w:cs="宋体"/>
                <w:color w:val="auto"/>
                <w:szCs w:val="21"/>
                <w:highlight w:val="none"/>
              </w:rPr>
              <w:t>针对采购人、监管部门提出的报告疑问、流程合规性核查、成果纠错等需求，</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须在24小时内响应，48小时内完成书面答疑或</w:t>
            </w:r>
            <w:r>
              <w:rPr>
                <w:rFonts w:hint="eastAsia" w:ascii="宋体" w:hAnsi="宋体" w:cs="宋体"/>
                <w:color w:val="auto"/>
                <w:highlight w:val="none"/>
              </w:rPr>
              <w:t>提出可行的问题解决方案，或者完成</w:t>
            </w:r>
            <w:r>
              <w:rPr>
                <w:rFonts w:hint="eastAsia" w:ascii="宋体" w:hAnsi="宋体" w:cs="宋体"/>
                <w:color w:val="auto"/>
                <w:szCs w:val="21"/>
                <w:highlight w:val="none"/>
              </w:rPr>
              <w:t>整改完善，无偿提供成果修正、补充鉴定等配套服务。</w:t>
            </w:r>
          </w:p>
          <w:p w14:paraId="44E5F5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3. </w:t>
            </w:r>
            <w:r>
              <w:rPr>
                <w:rFonts w:hint="eastAsia" w:ascii="宋体" w:hAnsi="宋体" w:cs="宋体"/>
                <w:b/>
                <w:color w:val="auto"/>
                <w:szCs w:val="21"/>
                <w:highlight w:val="none"/>
              </w:rPr>
              <w:t>异议复核服务</w:t>
            </w:r>
            <w:r>
              <w:rPr>
                <w:rFonts w:hint="eastAsia" w:ascii="宋体" w:hAnsi="宋体" w:cs="宋体"/>
                <w:color w:val="auto"/>
                <w:szCs w:val="21"/>
                <w:highlight w:val="none"/>
              </w:rPr>
              <w:t>：采购人对鉴定成果存在异议时，</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须配合采购人开展核查、答疑工作，无条件配合双方共同认可的鉴定机构或住建主管部门随机抽取机构开展复检工作，按要求提供全套原始检测资料、鉴定台账及佐证材料，全程配合主管部门备案核查。</w:t>
            </w:r>
          </w:p>
          <w:p w14:paraId="007EF02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4. </w:t>
            </w:r>
            <w:r>
              <w:rPr>
                <w:rFonts w:hint="eastAsia" w:ascii="宋体" w:hAnsi="宋体" w:cs="宋体"/>
                <w:b/>
                <w:color w:val="auto"/>
                <w:szCs w:val="21"/>
                <w:highlight w:val="none"/>
              </w:rPr>
              <w:t>资料归档与备案服务</w:t>
            </w:r>
            <w:r>
              <w:rPr>
                <w:rFonts w:hint="eastAsia" w:ascii="宋体" w:hAnsi="宋体" w:cs="宋体"/>
                <w:color w:val="auto"/>
                <w:szCs w:val="21"/>
                <w:highlight w:val="none"/>
              </w:rPr>
              <w:t>：项目完成后，</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须按广西房屋安全鉴定管理规范，完整整理鉴定档案资料，按时提交合格的鉴定报告及全套归档材料，配合采购人及属地住建主管部门完成资料归档、信息上报、备案登记等工作。</w:t>
            </w:r>
          </w:p>
          <w:p w14:paraId="5467D1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szCs w:val="21"/>
                <w:highlight w:val="none"/>
              </w:rPr>
              <w:t>5.</w:t>
            </w:r>
            <w:r>
              <w:rPr>
                <w:rFonts w:hint="eastAsia" w:ascii="宋体" w:hAnsi="宋体" w:cs="宋体"/>
                <w:b/>
                <w:color w:val="auto"/>
                <w:szCs w:val="21"/>
                <w:highlight w:val="none"/>
              </w:rPr>
              <w:t>合规履约服务</w:t>
            </w:r>
            <w:r>
              <w:rPr>
                <w:rFonts w:hint="eastAsia" w:ascii="宋体" w:hAnsi="宋体" w:cs="宋体"/>
                <w:color w:val="auto"/>
                <w:szCs w:val="21"/>
                <w:highlight w:val="none"/>
              </w:rPr>
              <w:t>：全程严格遵守桂建发〔2022〕8号文件关于房屋安全鉴定的资质、流程、成果管理各项规定，不得转包、分包鉴定业务，不得篡改检测数据、出具不实鉴定结论，全程接受行业主管部门监督检查。</w:t>
            </w:r>
          </w:p>
          <w:p w14:paraId="6D76A91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八</w:t>
            </w:r>
            <w:r>
              <w:rPr>
                <w:rFonts w:hint="eastAsia" w:ascii="宋体" w:hAnsi="宋体" w:cs="宋体"/>
                <w:b/>
                <w:bCs/>
                <w:color w:val="auto"/>
                <w:szCs w:val="21"/>
                <w:highlight w:val="none"/>
              </w:rPr>
              <w:t>、报价及合同模式</w:t>
            </w:r>
          </w:p>
          <w:p w14:paraId="7B182BD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highlight w:val="none"/>
              </w:rPr>
            </w:pPr>
            <w:r>
              <w:rPr>
                <w:rFonts w:hint="eastAsia" w:ascii="宋体" w:hAnsi="宋体" w:cs="宋体"/>
                <w:b/>
                <w:bCs/>
                <w:color w:val="auto"/>
                <w:szCs w:val="21"/>
                <w:highlight w:val="none"/>
              </w:rPr>
              <w:t>1.本项目为固定总价报价，合同为总价包干。</w:t>
            </w:r>
          </w:p>
          <w:p w14:paraId="5ABBE6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b/>
                <w:bCs/>
                <w:color w:val="auto"/>
                <w:szCs w:val="21"/>
                <w:highlight w:val="none"/>
              </w:rPr>
              <w:t>综合单价和总价价格</w:t>
            </w:r>
            <w:r>
              <w:rPr>
                <w:rFonts w:hint="eastAsia" w:ascii="宋体" w:hAnsi="宋体" w:cs="宋体"/>
                <w:b/>
                <w:bCs/>
                <w:color w:val="auto"/>
                <w:highlight w:val="none"/>
              </w:rPr>
              <w:t>包括以下费用：</w:t>
            </w:r>
            <w:r>
              <w:rPr>
                <w:rFonts w:hint="eastAsia" w:ascii="宋体" w:hAnsi="宋体" w:cs="宋体"/>
                <w:color w:val="auto"/>
                <w:highlight w:val="none"/>
              </w:rPr>
              <w:t>包含但不限于实施和完成本项目全部工作所需的人员工资及福利、现场踏勘及调查、资料收集、报告编制、报告印刷、成果咨询、成果审查、提交成果等工作内容所发生的费用、保险、税费、利润、竞标及成交成本等与业务有关一切费用，供应商自行考虑完成项目所需的人力、物力等，磋商报价中应包含全部内容，国家规定的相关价格调整系数供应商须自行考虑在内，成交后采购人不再另行支付额外费用。</w:t>
            </w:r>
          </w:p>
          <w:p w14:paraId="2B1988E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b/>
                <w:bCs/>
                <w:color w:val="auto"/>
                <w:szCs w:val="21"/>
                <w:highlight w:val="none"/>
              </w:rPr>
            </w:pPr>
            <w:r>
              <w:rPr>
                <w:rFonts w:hint="eastAsia" w:ascii="宋体" w:hAnsi="宋体" w:cs="宋体"/>
                <w:b/>
                <w:bCs/>
                <w:color w:val="auto"/>
                <w:szCs w:val="21"/>
                <w:highlight w:val="none"/>
                <w:lang w:val="en-US" w:eastAsia="zh-CN"/>
              </w:rPr>
              <w:t>九</w:t>
            </w:r>
            <w:r>
              <w:rPr>
                <w:rFonts w:hint="eastAsia" w:ascii="宋体" w:hAnsi="宋体" w:cs="宋体"/>
                <w:b/>
                <w:bCs/>
                <w:color w:val="auto"/>
                <w:szCs w:val="21"/>
                <w:highlight w:val="none"/>
              </w:rPr>
              <w:t>、履约保证金及质保金：本项目不收履约保证金，本项目不收质保金。</w:t>
            </w:r>
          </w:p>
          <w:p w14:paraId="55AD69D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b/>
                <w:bCs/>
                <w:color w:val="auto"/>
                <w:szCs w:val="21"/>
                <w:highlight w:val="none"/>
              </w:rPr>
            </w:pPr>
            <w:r>
              <w:rPr>
                <w:rFonts w:hint="eastAsia" w:ascii="宋体" w:hAnsi="宋体" w:cs="宋体"/>
                <w:b/>
                <w:bCs/>
                <w:color w:val="auto"/>
                <w:szCs w:val="21"/>
                <w:highlight w:val="none"/>
                <w:lang w:val="en-US" w:eastAsia="zh-CN"/>
              </w:rPr>
              <w:t>十</w:t>
            </w:r>
            <w:r>
              <w:rPr>
                <w:rFonts w:hint="eastAsia" w:ascii="宋体" w:hAnsi="宋体" w:cs="宋体"/>
                <w:b/>
                <w:bCs/>
                <w:color w:val="auto"/>
                <w:szCs w:val="21"/>
                <w:highlight w:val="none"/>
              </w:rPr>
              <w:t>、付款方式：分三笔支付</w:t>
            </w:r>
          </w:p>
          <w:p w14:paraId="091F705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1.第一笔：签订合同后，乙方进行房屋安全查勘、检测、调查及验算分析验算分析等安全鉴定并有初步成果文件，10个工作日内甲方向乙方支付合同总价款的30%。</w:t>
            </w:r>
          </w:p>
          <w:p w14:paraId="0717FE4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2.第二笔：乙方向甲方提交房屋安全鉴定报告成果文件，10个工作日内甲方向乙方支付合同总价款的50%。</w:t>
            </w:r>
          </w:p>
          <w:p w14:paraId="72DD82A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3.第三笔：乙方向甲方提交房屋使用功能检测报告成果文件， 10个工作日内甲方向乙方支付合同总价款的20%。</w:t>
            </w:r>
          </w:p>
          <w:p w14:paraId="4BB617E9">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4.发票开具方式：采购人付款前中标人应提供合法有效的增值税专用发票，否则采购人有权推迟付款时间。</w:t>
            </w:r>
          </w:p>
          <w:p w14:paraId="391475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一</w:t>
            </w:r>
            <w:r>
              <w:rPr>
                <w:rFonts w:hint="eastAsia" w:ascii="宋体" w:hAnsi="宋体" w:cs="宋体"/>
                <w:b/>
                <w:bCs/>
                <w:color w:val="auto"/>
                <w:szCs w:val="21"/>
                <w:highlight w:val="none"/>
              </w:rPr>
              <w:t>、违约条款</w:t>
            </w:r>
          </w:p>
          <w:p w14:paraId="23C50D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1. </w:t>
            </w:r>
            <w:r>
              <w:rPr>
                <w:rFonts w:hint="eastAsia" w:ascii="宋体" w:hAnsi="宋体" w:cs="宋体"/>
                <w:b/>
                <w:color w:val="auto"/>
                <w:szCs w:val="21"/>
                <w:highlight w:val="none"/>
              </w:rPr>
              <w:t>成果质量违约</w:t>
            </w:r>
            <w:r>
              <w:rPr>
                <w:rFonts w:hint="eastAsia" w:ascii="宋体" w:hAnsi="宋体" w:cs="宋体"/>
                <w:color w:val="auto"/>
                <w:szCs w:val="21"/>
                <w:highlight w:val="none"/>
              </w:rPr>
              <w:t>：</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出具的鉴定报告存在数据虚假、结论错误、流程违规等问题，不符合广西房屋安全鉴定规范及桂建发〔2022〕8号文件要求的，视为严重违约。采购人有权无条件解除合同、不予支付剩余款项，</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须全额退还已收服务费用，并承担项目返工、复检、整改产生的全部费用。若造成安全隐患、行政处罚或采购人损失的，</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承担全部赔偿责任。</w:t>
            </w:r>
          </w:p>
          <w:p w14:paraId="382452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2. </w:t>
            </w:r>
            <w:r>
              <w:rPr>
                <w:rFonts w:hint="eastAsia" w:ascii="宋体" w:hAnsi="宋体" w:cs="宋体"/>
                <w:b/>
                <w:color w:val="auto"/>
                <w:szCs w:val="21"/>
                <w:highlight w:val="none"/>
              </w:rPr>
              <w:t>拒不配合复检与核查违约</w:t>
            </w:r>
            <w:r>
              <w:rPr>
                <w:rFonts w:hint="eastAsia" w:ascii="宋体" w:hAnsi="宋体" w:cs="宋体"/>
                <w:color w:val="auto"/>
                <w:szCs w:val="21"/>
                <w:highlight w:val="none"/>
              </w:rPr>
              <w:t>：采购人对鉴定成果提出异议、启动复检或主管部门开展核查时，</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无正当理由拒不配合、拒不提供原始资料、拖延答疑整改的，每逾期1日，按合同总金额0.5%支付违约金；逾期超过3日的，采购人有权终止合同，扣除全部尾款，并追责由此产生的一切损失。</w:t>
            </w:r>
          </w:p>
          <w:p w14:paraId="7AED6C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3. </w:t>
            </w:r>
            <w:r>
              <w:rPr>
                <w:rFonts w:hint="eastAsia" w:ascii="宋体" w:hAnsi="宋体" w:cs="宋体"/>
                <w:b/>
                <w:color w:val="auto"/>
                <w:szCs w:val="21"/>
                <w:highlight w:val="none"/>
              </w:rPr>
              <w:t>违规转包分包违约</w:t>
            </w:r>
            <w:r>
              <w:rPr>
                <w:rFonts w:hint="eastAsia" w:ascii="宋体" w:hAnsi="宋体" w:cs="宋体"/>
                <w:color w:val="auto"/>
                <w:szCs w:val="21"/>
                <w:highlight w:val="none"/>
              </w:rPr>
              <w:t>：</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擅自转包、分包本项目鉴定业务，或超出资质范围开展鉴定工作，违反桂建发〔2022〕8号管理规定的，视为根本性违约，采购人立即终止合同，扣除全部合同款项，同时将其违规行为上报行业主管部门记入信用档案。</w:t>
            </w:r>
          </w:p>
          <w:p w14:paraId="657D5F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4. </w:t>
            </w:r>
            <w:r>
              <w:rPr>
                <w:rFonts w:hint="eastAsia" w:ascii="宋体" w:hAnsi="宋体" w:cs="宋体"/>
                <w:b/>
                <w:color w:val="auto"/>
                <w:szCs w:val="21"/>
                <w:highlight w:val="none"/>
              </w:rPr>
              <w:t>逾期履约违约</w:t>
            </w:r>
            <w:r>
              <w:rPr>
                <w:rFonts w:hint="eastAsia" w:ascii="宋体" w:hAnsi="宋体" w:cs="宋体"/>
                <w:color w:val="auto"/>
                <w:szCs w:val="21"/>
                <w:highlight w:val="none"/>
              </w:rPr>
              <w:t>：</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未按合同约定时限完成鉴定工作和检测工作、未提交合格成果，或未按时完成资料归档、备案配合工作的，每逾期1日按合同总金额0.3%支付违约金，逾期超30日，采购人有权单方解除合同并追偿</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损失。</w:t>
            </w:r>
          </w:p>
          <w:p w14:paraId="12BC7B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5. </w:t>
            </w:r>
            <w:r>
              <w:rPr>
                <w:rFonts w:hint="eastAsia" w:ascii="宋体" w:hAnsi="宋体" w:cs="宋体"/>
                <w:b/>
                <w:color w:val="auto"/>
                <w:szCs w:val="21"/>
                <w:highlight w:val="none"/>
              </w:rPr>
              <w:t>终身责任违约</w:t>
            </w:r>
            <w:r>
              <w:rPr>
                <w:rFonts w:hint="eastAsia" w:ascii="宋体" w:hAnsi="宋体" w:cs="宋体"/>
                <w:color w:val="auto"/>
                <w:szCs w:val="21"/>
                <w:highlight w:val="none"/>
              </w:rPr>
              <w:t>：项目履约完成后，经核查鉴定成果存在违规问题、不实问题，或因鉴定失误引发房屋安全责任事故、监管追责的，</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终身承担全部法律责任、经济赔偿责任，采购人有权追溯追责、追缴全部损失。</w:t>
            </w:r>
          </w:p>
          <w:p w14:paraId="62961E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6. </w:t>
            </w:r>
            <w:r>
              <w:rPr>
                <w:rFonts w:hint="eastAsia" w:ascii="宋体" w:hAnsi="宋体" w:cs="宋体"/>
                <w:b/>
                <w:color w:val="auto"/>
                <w:szCs w:val="21"/>
                <w:highlight w:val="none"/>
              </w:rPr>
              <w:t>信用惩戒约定</w:t>
            </w:r>
            <w:r>
              <w:rPr>
                <w:rFonts w:hint="eastAsia" w:ascii="宋体" w:hAnsi="宋体" w:cs="宋体"/>
                <w:color w:val="auto"/>
                <w:szCs w:val="21"/>
                <w:highlight w:val="none"/>
              </w:rPr>
              <w:t>：</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发生上述违约行为的，采购人有权将其纳入不良合作名单，限制其后续参与采购人同类项目投标，并上报属地住建主管部门依规处理。</w:t>
            </w:r>
          </w:p>
          <w:p w14:paraId="39BACE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二</w:t>
            </w:r>
            <w:r>
              <w:rPr>
                <w:rFonts w:hint="eastAsia" w:ascii="宋体" w:hAnsi="宋体" w:cs="宋体"/>
                <w:b/>
                <w:bCs/>
                <w:color w:val="auto"/>
                <w:szCs w:val="21"/>
                <w:highlight w:val="none"/>
              </w:rPr>
              <w:t>、知识产权归属</w:t>
            </w:r>
          </w:p>
          <w:p w14:paraId="3C97E9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1.本项目产生成果的知识产权归采购人所有。</w:t>
            </w:r>
          </w:p>
          <w:p w14:paraId="20D911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不得将成果及非专利技术等信息泄露或转让给第三方。</w:t>
            </w:r>
          </w:p>
          <w:p w14:paraId="6DA7BE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应承诺最终提供给采购人的服务成果不得包含任何第三方未授权的知识产权或引起任何第三方基于该产品知识产权的指控。如有任何指控，所产生的一切经济损失和法律责任等后果均由</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无条件承担。</w:t>
            </w:r>
          </w:p>
          <w:p w14:paraId="1AF05A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4.本项目产生的所有成果归采购人、实际协议签订人所有，</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必须对一切检测数据和成果保密，不得泄露给任何第三方，也不得将与成果有关的技术资料用于任何经营、开发及学术活动，否则，承担由此产生的一切责任。</w:t>
            </w:r>
          </w:p>
        </w:tc>
      </w:tr>
      <w:tr w14:paraId="19974B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236" w:type="pct"/>
            <w:tcBorders>
              <w:top w:val="single" w:color="auto" w:sz="4" w:space="0"/>
              <w:left w:val="single" w:color="auto" w:sz="4" w:space="0"/>
              <w:bottom w:val="single" w:color="auto" w:sz="4" w:space="0"/>
              <w:right w:val="single" w:color="auto" w:sz="4" w:space="0"/>
            </w:tcBorders>
            <w:noWrap w:val="0"/>
            <w:vAlign w:val="center"/>
          </w:tcPr>
          <w:p w14:paraId="46F22131">
            <w:pPr>
              <w:jc w:val="center"/>
              <w:rPr>
                <w:rFonts w:hint="eastAsia" w:ascii="宋体" w:hAnsi="宋体"/>
                <w:color w:val="auto"/>
                <w:highlight w:val="none"/>
              </w:rPr>
            </w:pPr>
            <w:r>
              <w:rPr>
                <w:rFonts w:hint="eastAsia" w:ascii="宋体" w:hAnsi="宋体"/>
                <w:color w:val="auto"/>
                <w:highlight w:val="none"/>
              </w:rPr>
              <w:t>其他说明</w:t>
            </w:r>
          </w:p>
        </w:tc>
        <w:tc>
          <w:tcPr>
            <w:tcW w:w="4763" w:type="pct"/>
            <w:gridSpan w:val="5"/>
            <w:tcBorders>
              <w:top w:val="single" w:color="auto" w:sz="4" w:space="0"/>
              <w:left w:val="single" w:color="auto" w:sz="4" w:space="0"/>
              <w:bottom w:val="single" w:color="auto" w:sz="4" w:space="0"/>
              <w:right w:val="single" w:color="auto" w:sz="4" w:space="0"/>
            </w:tcBorders>
            <w:noWrap w:val="0"/>
            <w:vAlign w:val="top"/>
          </w:tcPr>
          <w:p w14:paraId="33C10493">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一、进口产品说明</w:t>
            </w:r>
          </w:p>
          <w:p w14:paraId="63D533D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本项目服务不涉及进口产品货物采购内容。</w:t>
            </w:r>
          </w:p>
          <w:p w14:paraId="07B1F57B">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二、其他</w:t>
            </w:r>
          </w:p>
          <w:p w14:paraId="048CF69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1、不进行演示</w:t>
            </w:r>
          </w:p>
          <w:p w14:paraId="704A267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2、不要求提供样品</w:t>
            </w:r>
          </w:p>
          <w:p w14:paraId="1475AF1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3、不组织现场踏勘</w:t>
            </w:r>
          </w:p>
        </w:tc>
      </w:tr>
    </w:tbl>
    <w:p w14:paraId="73F90151">
      <w:pPr>
        <w:pStyle w:val="24"/>
        <w:outlineLvl w:val="9"/>
        <w:rPr>
          <w:rFonts w:hint="eastAsia" w:ascii="宋体" w:hAnsi="宋体" w:cs="宋体"/>
          <w:color w:val="auto"/>
          <w:highlight w:val="none"/>
        </w:rPr>
      </w:pPr>
    </w:p>
    <w:p w14:paraId="17F79A34">
      <w:pPr>
        <w:rPr>
          <w:rFonts w:hint="eastAsia" w:ascii="宋体" w:hAnsi="宋体"/>
          <w:b/>
          <w:bCs/>
          <w:color w:val="auto"/>
          <w:szCs w:val="21"/>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docGrid w:type="lines" w:linePitch="331" w:charSpace="0"/>
        </w:sectPr>
      </w:pPr>
    </w:p>
    <w:p w14:paraId="1B132588">
      <w:pPr>
        <w:spacing w:line="360" w:lineRule="auto"/>
        <w:rPr>
          <w:rFonts w:hint="eastAsia" w:ascii="微软雅黑" w:hAnsi="微软雅黑" w:eastAsia="微软雅黑" w:cs="微软雅黑"/>
          <w:color w:val="auto"/>
          <w:sz w:val="32"/>
          <w:szCs w:val="32"/>
          <w:highlight w:val="none"/>
        </w:rPr>
      </w:pPr>
      <w:r>
        <w:rPr>
          <w:rFonts w:hint="eastAsia" w:ascii="微软雅黑" w:hAnsi="微软雅黑" w:eastAsia="微软雅黑" w:cs="微软雅黑"/>
          <w:color w:val="auto"/>
          <w:sz w:val="32"/>
          <w:szCs w:val="32"/>
          <w:highlight w:val="none"/>
        </w:rPr>
        <w:t>附件</w:t>
      </w:r>
      <w:r>
        <w:rPr>
          <w:rFonts w:hint="eastAsia" w:ascii="微软雅黑" w:hAnsi="微软雅黑" w:eastAsia="微软雅黑" w:cs="微软雅黑"/>
          <w:color w:val="auto"/>
          <w:sz w:val="32"/>
          <w:szCs w:val="32"/>
          <w:highlight w:val="none"/>
          <w:lang w:val="en-US" w:eastAsia="zh-CN"/>
        </w:rPr>
        <w:t>1</w:t>
      </w:r>
      <w:r>
        <w:rPr>
          <w:rFonts w:hint="eastAsia" w:ascii="微软雅黑" w:hAnsi="微软雅黑" w:eastAsia="微软雅黑" w:cs="微软雅黑"/>
          <w:color w:val="auto"/>
          <w:sz w:val="32"/>
          <w:szCs w:val="32"/>
          <w:highlight w:val="none"/>
        </w:rPr>
        <w:t>：</w:t>
      </w:r>
    </w:p>
    <w:p w14:paraId="590D607B">
      <w:pPr>
        <w:spacing w:line="360" w:lineRule="auto"/>
        <w:jc w:val="center"/>
        <w:rPr>
          <w:rFonts w:hint="eastAsia" w:ascii="宋体" w:hAnsi="宋体" w:cs="宋体"/>
          <w:color w:val="auto"/>
          <w:highlight w:val="none"/>
        </w:rPr>
      </w:pPr>
      <w:r>
        <w:rPr>
          <w:rFonts w:hint="eastAsia" w:ascii="微软雅黑" w:hAnsi="微软雅黑" w:eastAsia="微软雅黑" w:cs="微软雅黑"/>
          <w:color w:val="auto"/>
          <w:sz w:val="32"/>
          <w:szCs w:val="32"/>
          <w:highlight w:val="none"/>
        </w:rPr>
        <w:t>第三方检测服务规模明细参考</w:t>
      </w:r>
    </w:p>
    <w:tbl>
      <w:tblPr>
        <w:tblStyle w:val="21"/>
        <w:tblW w:w="5000" w:type="pct"/>
        <w:tblInd w:w="0" w:type="dxa"/>
        <w:tblLayout w:type="autofit"/>
        <w:tblCellMar>
          <w:top w:w="0" w:type="dxa"/>
          <w:left w:w="0" w:type="dxa"/>
          <w:bottom w:w="0" w:type="dxa"/>
          <w:right w:w="0" w:type="dxa"/>
        </w:tblCellMar>
      </w:tblPr>
      <w:tblGrid>
        <w:gridCol w:w="739"/>
        <w:gridCol w:w="1425"/>
        <w:gridCol w:w="1632"/>
        <w:gridCol w:w="1900"/>
        <w:gridCol w:w="1862"/>
        <w:gridCol w:w="1498"/>
      </w:tblGrid>
      <w:tr w14:paraId="7E9E8074">
        <w:tblPrEx>
          <w:tblCellMar>
            <w:top w:w="0" w:type="dxa"/>
            <w:left w:w="0" w:type="dxa"/>
            <w:bottom w:w="0" w:type="dxa"/>
            <w:right w:w="0" w:type="dxa"/>
          </w:tblCellMar>
        </w:tblPrEx>
        <w:trPr>
          <w:trHeight w:val="540" w:hRule="atLeast"/>
        </w:trPr>
        <w:tc>
          <w:tcPr>
            <w:tcW w:w="5000" w:type="pct"/>
            <w:gridSpan w:val="6"/>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926B7FE">
            <w:pPr>
              <w:widowControl/>
              <w:jc w:val="center"/>
              <w:textAlignment w:val="center"/>
              <w:rPr>
                <w:rFonts w:hint="eastAsia" w:ascii="宋体" w:hAnsi="宋体" w:cs="宋体"/>
                <w:b/>
                <w:color w:val="auto"/>
                <w:szCs w:val="21"/>
                <w:highlight w:val="none"/>
              </w:rPr>
            </w:pPr>
            <w:r>
              <w:rPr>
                <w:rFonts w:hint="eastAsia" w:ascii="宋体" w:hAnsi="宋体" w:cs="宋体"/>
                <w:b/>
                <w:color w:val="auto"/>
                <w:kern w:val="0"/>
                <w:szCs w:val="21"/>
                <w:highlight w:val="none"/>
                <w:lang w:bidi="ar"/>
              </w:rPr>
              <w:t>阳光城大唐檀境项目部分安置房源第三方检测服务规模明细参考</w:t>
            </w:r>
          </w:p>
        </w:tc>
      </w:tr>
      <w:tr w14:paraId="55C84B06">
        <w:tblPrEx>
          <w:tblCellMar>
            <w:top w:w="0" w:type="dxa"/>
            <w:left w:w="0" w:type="dxa"/>
            <w:bottom w:w="0" w:type="dxa"/>
            <w:right w:w="0" w:type="dxa"/>
          </w:tblCellMar>
        </w:tblPrEx>
        <w:trPr>
          <w:trHeight w:val="600"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BA7AE84">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序号</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B48A30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楼栋号</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2D79B3DA">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楼层数</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1463D5B">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楼栋高度（m）</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DC2F82E">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建筑面积（㎡）</w:t>
            </w:r>
          </w:p>
        </w:tc>
        <w:tc>
          <w:tcPr>
            <w:tcW w:w="826"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6F40906">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备注</w:t>
            </w:r>
          </w:p>
        </w:tc>
      </w:tr>
      <w:tr w14:paraId="1C2B7D04">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F95C0DD">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1AA680A">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5#-1</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66411E9E">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33</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F6E3820">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99.60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B41CB33">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16114.72</w:t>
            </w:r>
          </w:p>
        </w:tc>
        <w:tc>
          <w:tcPr>
            <w:tcW w:w="826" w:type="pct"/>
            <w:vMerge w:val="restar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29F529B9">
            <w:pPr>
              <w:jc w:val="center"/>
              <w:rPr>
                <w:rFonts w:hint="eastAsia" w:ascii="宋体" w:hAnsi="宋体" w:cs="宋体"/>
                <w:color w:val="auto"/>
                <w:szCs w:val="21"/>
                <w:highlight w:val="none"/>
              </w:rPr>
            </w:pPr>
            <w:r>
              <w:rPr>
                <w:rFonts w:hint="eastAsia" w:ascii="宋体" w:hAnsi="宋体" w:cs="宋体"/>
                <w:color w:val="auto"/>
                <w:highlight w:val="none"/>
              </w:rPr>
              <w:t>房屋安全鉴定（包括房屋安全性鉴定和抗震鉴定）和房屋使用功能检测</w:t>
            </w:r>
          </w:p>
        </w:tc>
      </w:tr>
      <w:tr w14:paraId="2C8B6760">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347D59D">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6CC91752">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5#-2</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EAB7947">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30</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5E4297F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90.60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67AC4EC0">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14046.02</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61C104E8">
            <w:pPr>
              <w:jc w:val="center"/>
              <w:rPr>
                <w:rFonts w:hint="eastAsia" w:ascii="宋体" w:hAnsi="宋体" w:cs="宋体"/>
                <w:color w:val="auto"/>
                <w:szCs w:val="21"/>
                <w:highlight w:val="none"/>
              </w:rPr>
            </w:pPr>
          </w:p>
        </w:tc>
      </w:tr>
      <w:tr w14:paraId="7466F8F0">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D89A685">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2076F2F0">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B0558E7">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33</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A4CFEA1">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97.85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C341165">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15037.52</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0C2839A">
            <w:pPr>
              <w:jc w:val="center"/>
              <w:rPr>
                <w:rFonts w:hint="eastAsia" w:ascii="宋体" w:hAnsi="宋体" w:cs="宋体"/>
                <w:color w:val="auto"/>
                <w:szCs w:val="21"/>
                <w:highlight w:val="none"/>
              </w:rPr>
            </w:pPr>
          </w:p>
        </w:tc>
      </w:tr>
      <w:tr w14:paraId="0B3E21AA">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64580B7">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23D0C701">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12#-1</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17104F5">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33</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9D679C5">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98.05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669E4050">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13684.42</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5F667A87">
            <w:pPr>
              <w:jc w:val="center"/>
              <w:rPr>
                <w:rFonts w:hint="eastAsia" w:ascii="宋体" w:hAnsi="宋体" w:cs="宋体"/>
                <w:color w:val="auto"/>
                <w:szCs w:val="21"/>
                <w:highlight w:val="none"/>
              </w:rPr>
            </w:pPr>
          </w:p>
        </w:tc>
      </w:tr>
      <w:tr w14:paraId="0ADABE10">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0DFF6D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ECC854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12#-2</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34955F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30</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584F810D">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89.05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D8A0F46">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14288.75</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2A88452">
            <w:pPr>
              <w:jc w:val="center"/>
              <w:rPr>
                <w:rFonts w:hint="eastAsia" w:ascii="宋体" w:hAnsi="宋体" w:cs="宋体"/>
                <w:color w:val="auto"/>
                <w:szCs w:val="21"/>
                <w:highlight w:val="none"/>
              </w:rPr>
            </w:pPr>
          </w:p>
        </w:tc>
      </w:tr>
      <w:tr w14:paraId="02C9A989">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070E9D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E031906">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13#-1</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BDC8BAA">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30</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9F62801">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90.30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5478EB26">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13146.24</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C8B2FF0">
            <w:pPr>
              <w:jc w:val="center"/>
              <w:rPr>
                <w:rFonts w:hint="eastAsia" w:ascii="宋体" w:hAnsi="宋体" w:cs="宋体"/>
                <w:color w:val="auto"/>
                <w:szCs w:val="21"/>
                <w:highlight w:val="none"/>
              </w:rPr>
            </w:pPr>
          </w:p>
        </w:tc>
      </w:tr>
      <w:tr w14:paraId="5FF66263">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67FFDC0">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7</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DA9C27B">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13#-2</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7487575">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33</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B2BDF2A">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99.30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A1D9234">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14159.29</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C529B7C">
            <w:pPr>
              <w:jc w:val="center"/>
              <w:rPr>
                <w:rFonts w:hint="eastAsia" w:ascii="宋体" w:hAnsi="宋体" w:cs="宋体"/>
                <w:color w:val="auto"/>
                <w:szCs w:val="21"/>
                <w:highlight w:val="none"/>
              </w:rPr>
            </w:pPr>
          </w:p>
        </w:tc>
      </w:tr>
      <w:tr w14:paraId="688162C3">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07A0FEA">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56D27B7B">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18#-1</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1081E05">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33</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E52F95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99.70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5AC43E8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15597.55</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90A6EBD">
            <w:pPr>
              <w:jc w:val="center"/>
              <w:rPr>
                <w:rFonts w:hint="eastAsia" w:ascii="宋体" w:hAnsi="宋体" w:cs="宋体"/>
                <w:color w:val="auto"/>
                <w:szCs w:val="21"/>
                <w:highlight w:val="none"/>
              </w:rPr>
            </w:pPr>
          </w:p>
        </w:tc>
      </w:tr>
      <w:tr w14:paraId="5CE86F5C">
        <w:tblPrEx>
          <w:tblCellMar>
            <w:top w:w="0" w:type="dxa"/>
            <w:left w:w="0" w:type="dxa"/>
            <w:bottom w:w="0" w:type="dxa"/>
            <w:right w:w="0" w:type="dxa"/>
          </w:tblCellMar>
        </w:tblPrEx>
        <w:trPr>
          <w:trHeight w:val="499" w:hRule="atLeast"/>
        </w:trPr>
        <w:tc>
          <w:tcPr>
            <w:tcW w:w="40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2E3903CA">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w:t>
            </w:r>
          </w:p>
        </w:tc>
        <w:tc>
          <w:tcPr>
            <w:tcW w:w="787"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1A18CC7">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18#-2</w:t>
            </w:r>
          </w:p>
        </w:tc>
        <w:tc>
          <w:tcPr>
            <w:tcW w:w="901"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26C2F8C6">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30</w:t>
            </w:r>
          </w:p>
        </w:tc>
        <w:tc>
          <w:tcPr>
            <w:tcW w:w="1049"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1135202D">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90.70 </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7007DC5E">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13105.45</w:t>
            </w:r>
          </w:p>
        </w:tc>
        <w:tc>
          <w:tcPr>
            <w:tcW w:w="826" w:type="pct"/>
            <w:vMerge w:val="continue"/>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4FFC77FB">
            <w:pPr>
              <w:jc w:val="center"/>
              <w:rPr>
                <w:rFonts w:hint="eastAsia" w:ascii="宋体" w:hAnsi="宋体" w:cs="宋体"/>
                <w:color w:val="auto"/>
                <w:szCs w:val="21"/>
                <w:highlight w:val="none"/>
              </w:rPr>
            </w:pPr>
          </w:p>
        </w:tc>
      </w:tr>
      <w:tr w14:paraId="1766DB7C">
        <w:tblPrEx>
          <w:tblCellMar>
            <w:top w:w="0" w:type="dxa"/>
            <w:left w:w="0" w:type="dxa"/>
            <w:bottom w:w="0" w:type="dxa"/>
            <w:right w:w="0" w:type="dxa"/>
          </w:tblCellMar>
        </w:tblPrEx>
        <w:trPr>
          <w:trHeight w:val="600" w:hRule="atLeast"/>
        </w:trPr>
        <w:tc>
          <w:tcPr>
            <w:tcW w:w="3145" w:type="pct"/>
            <w:gridSpan w:val="4"/>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B6F1FA8">
            <w:pPr>
              <w:jc w:val="center"/>
              <w:rPr>
                <w:rFonts w:hint="eastAsia" w:ascii="宋体" w:hAnsi="宋体" w:cs="宋体"/>
                <w:b/>
                <w:color w:val="auto"/>
                <w:szCs w:val="21"/>
                <w:highlight w:val="none"/>
              </w:rPr>
            </w:pPr>
            <w:r>
              <w:rPr>
                <w:rFonts w:hint="eastAsia" w:ascii="宋体" w:hAnsi="宋体" w:cs="宋体"/>
                <w:color w:val="auto"/>
                <w:kern w:val="0"/>
                <w:szCs w:val="21"/>
                <w:highlight w:val="none"/>
                <w:lang w:bidi="ar"/>
              </w:rPr>
              <w:t>小计</w:t>
            </w:r>
          </w:p>
        </w:tc>
        <w:tc>
          <w:tcPr>
            <w:tcW w:w="1028"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38E58352">
            <w:pPr>
              <w:widowControl/>
              <w:jc w:val="center"/>
              <w:textAlignment w:val="center"/>
              <w:rPr>
                <w:rFonts w:hint="eastAsia" w:ascii="宋体" w:hAnsi="宋体" w:cs="宋体"/>
                <w:b/>
                <w:color w:val="auto"/>
                <w:szCs w:val="21"/>
                <w:highlight w:val="none"/>
              </w:rPr>
            </w:pPr>
            <w:r>
              <w:rPr>
                <w:rFonts w:hint="eastAsia" w:ascii="宋体" w:hAnsi="宋体" w:cs="宋体"/>
                <w:b/>
                <w:color w:val="auto"/>
                <w:kern w:val="0"/>
                <w:szCs w:val="21"/>
                <w:highlight w:val="none"/>
                <w:lang w:bidi="ar"/>
              </w:rPr>
              <w:t>129179.96</w:t>
            </w:r>
          </w:p>
        </w:tc>
        <w:tc>
          <w:tcPr>
            <w:tcW w:w="826" w:type="pct"/>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2DBEB9C6">
            <w:pPr>
              <w:jc w:val="center"/>
              <w:rPr>
                <w:rFonts w:hint="eastAsia" w:ascii="宋体" w:hAnsi="宋体" w:cs="宋体"/>
                <w:color w:val="auto"/>
                <w:szCs w:val="21"/>
                <w:highlight w:val="none"/>
              </w:rPr>
            </w:pPr>
          </w:p>
        </w:tc>
      </w:tr>
    </w:tbl>
    <w:p w14:paraId="7508EBA4">
      <w:pPr>
        <w:pStyle w:val="25"/>
        <w:rPr>
          <w:rFonts w:hint="eastAsia"/>
          <w:color w:val="auto"/>
          <w:highlight w:val="none"/>
        </w:rPr>
      </w:pPr>
    </w:p>
    <w:p w14:paraId="0C917618">
      <w:pPr>
        <w:rPr>
          <w:rFonts w:hint="eastAsia" w:ascii="宋体" w:hAnsi="宋体" w:cs="宋体"/>
          <w:color w:val="auto"/>
          <w:highlight w:val="none"/>
        </w:rPr>
      </w:pPr>
      <w:r>
        <w:rPr>
          <w:rFonts w:hint="eastAsia" w:ascii="宋体" w:hAnsi="宋体" w:cs="宋体"/>
          <w:color w:val="auto"/>
          <w:highlight w:val="none"/>
        </w:rPr>
        <w:t xml:space="preserve"> </w:t>
      </w:r>
    </w:p>
    <w:p w14:paraId="3A3CB7C8">
      <w:pPr>
        <w:pStyle w:val="24"/>
        <w:outlineLvl w:val="9"/>
        <w:rPr>
          <w:rFonts w:hint="eastAsia" w:ascii="宋体" w:hAnsi="宋体" w:cs="宋体"/>
          <w:color w:val="auto"/>
          <w:highlight w:val="none"/>
        </w:rPr>
      </w:pPr>
    </w:p>
    <w:p w14:paraId="6BA05D10">
      <w:pPr>
        <w:pStyle w:val="24"/>
        <w:outlineLvl w:val="9"/>
        <w:rPr>
          <w:rFonts w:hint="eastAsia" w:ascii="宋体" w:hAnsi="宋体" w:cs="宋体"/>
          <w:color w:val="auto"/>
          <w:highlight w:val="none"/>
        </w:rPr>
      </w:pPr>
      <w:r>
        <w:rPr>
          <w:rFonts w:hint="eastAsia" w:ascii="宋体" w:hAnsi="宋体" w:cs="宋体"/>
          <w:color w:val="auto"/>
          <w:highlight w:val="none"/>
        </w:rPr>
        <w:t xml:space="preserve"> </w:t>
      </w:r>
    </w:p>
    <w:p w14:paraId="1C848E48">
      <w:pPr>
        <w:pStyle w:val="24"/>
        <w:outlineLvl w:val="9"/>
        <w:rPr>
          <w:rFonts w:hint="eastAsia" w:ascii="宋体" w:hAnsi="宋体" w:cs="宋体"/>
          <w:color w:val="auto"/>
          <w:highlight w:val="none"/>
        </w:rPr>
      </w:pPr>
    </w:p>
    <w:p w14:paraId="16A2B4EB">
      <w:pPr>
        <w:rPr>
          <w:rFonts w:hint="eastAsia" w:ascii="宋体" w:hAnsi="宋体" w:cs="宋体"/>
          <w:color w:val="auto"/>
          <w:highlight w:val="none"/>
        </w:rPr>
      </w:pPr>
    </w:p>
    <w:p w14:paraId="445E1F4C">
      <w:pPr>
        <w:spacing w:line="428" w:lineRule="exact"/>
        <w:rPr>
          <w:rFonts w:hint="eastAsia" w:ascii="微软雅黑" w:hAnsi="微软雅黑" w:eastAsia="微软雅黑" w:cs="微软雅黑"/>
          <w:color w:val="auto"/>
          <w:sz w:val="32"/>
          <w:szCs w:val="32"/>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docGrid w:type="lines" w:linePitch="331" w:charSpace="0"/>
        </w:sectPr>
      </w:pPr>
    </w:p>
    <w:p w14:paraId="39349C47">
      <w:pPr>
        <w:spacing w:line="428" w:lineRule="exact"/>
        <w:rPr>
          <w:rFonts w:hint="eastAsia" w:ascii="Arial Unicode MS" w:hAnsi="Arial Unicode MS" w:eastAsia="Arial Unicode MS" w:cs="Arial Unicode MS"/>
          <w:color w:val="auto"/>
          <w:sz w:val="17"/>
          <w:szCs w:val="17"/>
          <w:highlight w:val="none"/>
        </w:rPr>
      </w:pPr>
      <w:r>
        <w:rPr>
          <w:rFonts w:hint="eastAsia" w:ascii="微软雅黑" w:hAnsi="微软雅黑" w:eastAsia="微软雅黑" w:cs="微软雅黑"/>
          <w:color w:val="auto"/>
          <w:sz w:val="32"/>
          <w:szCs w:val="32"/>
          <w:highlight w:val="none"/>
        </w:rPr>
        <w:t>附件</w:t>
      </w:r>
      <w:r>
        <w:rPr>
          <w:rFonts w:hint="eastAsia" w:ascii="微软雅黑" w:hAnsi="微软雅黑" w:eastAsia="微软雅黑" w:cs="微软雅黑"/>
          <w:color w:val="auto"/>
          <w:sz w:val="32"/>
          <w:szCs w:val="32"/>
          <w:highlight w:val="none"/>
          <w:lang w:val="en-US" w:eastAsia="zh-CN"/>
        </w:rPr>
        <w:t>2</w:t>
      </w:r>
      <w:r>
        <w:rPr>
          <w:rFonts w:hint="eastAsia" w:ascii="微软雅黑" w:hAnsi="微软雅黑" w:eastAsia="微软雅黑" w:cs="微软雅黑"/>
          <w:color w:val="auto"/>
          <w:sz w:val="32"/>
          <w:szCs w:val="32"/>
          <w:highlight w:val="none"/>
        </w:rPr>
        <w:t>：</w:t>
      </w:r>
    </w:p>
    <w:p w14:paraId="5676A1DB">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21"/>
        <w:tblW w:w="924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641"/>
        <w:gridCol w:w="1116"/>
        <w:gridCol w:w="1518"/>
        <w:gridCol w:w="1620"/>
        <w:gridCol w:w="4345"/>
      </w:tblGrid>
      <w:tr w14:paraId="60EE9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5" w:hRule="atLeast"/>
        </w:trPr>
        <w:tc>
          <w:tcPr>
            <w:tcW w:w="641" w:type="dxa"/>
            <w:tcBorders>
              <w:tl2br w:val="nil"/>
              <w:tr2bl w:val="nil"/>
            </w:tcBorders>
            <w:noWrap w:val="0"/>
            <w:vAlign w:val="top"/>
          </w:tcPr>
          <w:p w14:paraId="2E39E9AF">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254" w:type="dxa"/>
            <w:gridSpan w:val="3"/>
            <w:tcBorders>
              <w:tl2br w:val="nil"/>
              <w:tr2bl w:val="nil"/>
            </w:tcBorders>
            <w:noWrap w:val="0"/>
            <w:vAlign w:val="center"/>
          </w:tcPr>
          <w:p w14:paraId="3B65A79E">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345" w:type="dxa"/>
            <w:tcBorders>
              <w:tl2br w:val="nil"/>
              <w:tr2bl w:val="nil"/>
            </w:tcBorders>
            <w:noWrap w:val="0"/>
            <w:vAlign w:val="center"/>
          </w:tcPr>
          <w:p w14:paraId="255DC0DC">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7EA8B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restart"/>
            <w:tcBorders>
              <w:tl2br w:val="nil"/>
              <w:tr2bl w:val="nil"/>
            </w:tcBorders>
            <w:noWrap w:val="0"/>
            <w:vAlign w:val="center"/>
          </w:tcPr>
          <w:p w14:paraId="408BB11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116" w:type="dxa"/>
            <w:vMerge w:val="restart"/>
            <w:tcBorders>
              <w:tl2br w:val="nil"/>
              <w:tr2bl w:val="nil"/>
            </w:tcBorders>
            <w:noWrap w:val="0"/>
            <w:vAlign w:val="center"/>
          </w:tcPr>
          <w:p w14:paraId="1B6B7F6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518" w:type="dxa"/>
            <w:tcBorders>
              <w:tl2br w:val="nil"/>
              <w:tr2bl w:val="nil"/>
            </w:tcBorders>
            <w:noWrap w:val="0"/>
            <w:vAlign w:val="center"/>
          </w:tcPr>
          <w:p w14:paraId="3FF27EA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20" w:type="dxa"/>
            <w:tcBorders>
              <w:tl2br w:val="nil"/>
              <w:tr2bl w:val="nil"/>
            </w:tcBorders>
            <w:noWrap w:val="0"/>
            <w:vAlign w:val="center"/>
          </w:tcPr>
          <w:p w14:paraId="20179DB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0ED7F8B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277E6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26B981BA">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18187415">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51188EE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20" w:type="dxa"/>
            <w:tcBorders>
              <w:tl2br w:val="nil"/>
              <w:tr2bl w:val="nil"/>
            </w:tcBorders>
            <w:noWrap w:val="0"/>
            <w:vAlign w:val="center"/>
          </w:tcPr>
          <w:p w14:paraId="5362541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4F3220F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48BD3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00A9D3AA">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75D59D6E">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53A972F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20" w:type="dxa"/>
            <w:tcBorders>
              <w:tl2br w:val="nil"/>
              <w:tr2bl w:val="nil"/>
            </w:tcBorders>
            <w:noWrap w:val="0"/>
            <w:vAlign w:val="center"/>
          </w:tcPr>
          <w:p w14:paraId="6D0AF0E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55B65BA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651E6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restart"/>
            <w:tcBorders>
              <w:tl2br w:val="nil"/>
              <w:tr2bl w:val="nil"/>
            </w:tcBorders>
            <w:noWrap w:val="0"/>
            <w:vAlign w:val="center"/>
          </w:tcPr>
          <w:p w14:paraId="7AB33F2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116" w:type="dxa"/>
            <w:vMerge w:val="restart"/>
            <w:tcBorders>
              <w:tl2br w:val="nil"/>
              <w:tr2bl w:val="nil"/>
            </w:tcBorders>
            <w:noWrap w:val="0"/>
            <w:vAlign w:val="center"/>
          </w:tcPr>
          <w:p w14:paraId="717D343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518" w:type="dxa"/>
            <w:vMerge w:val="restart"/>
            <w:tcBorders>
              <w:tl2br w:val="nil"/>
              <w:tr2bl w:val="nil"/>
            </w:tcBorders>
            <w:noWrap w:val="0"/>
            <w:vAlign w:val="center"/>
          </w:tcPr>
          <w:p w14:paraId="5AD55F6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20" w:type="dxa"/>
            <w:tcBorders>
              <w:tl2br w:val="nil"/>
              <w:tr2bl w:val="nil"/>
            </w:tcBorders>
            <w:noWrap w:val="0"/>
            <w:vAlign w:val="center"/>
          </w:tcPr>
          <w:p w14:paraId="3B36AD6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345" w:type="dxa"/>
            <w:tcBorders>
              <w:tl2br w:val="nil"/>
              <w:tr2bl w:val="nil"/>
            </w:tcBorders>
            <w:noWrap w:val="0"/>
            <w:vAlign w:val="center"/>
          </w:tcPr>
          <w:p w14:paraId="121D01B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2A04F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01E22B10">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4C9CAD6B">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27DDF067">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3430AAC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345" w:type="dxa"/>
            <w:tcBorders>
              <w:tl2br w:val="nil"/>
              <w:tr2bl w:val="nil"/>
            </w:tcBorders>
            <w:noWrap w:val="0"/>
            <w:vAlign w:val="center"/>
          </w:tcPr>
          <w:p w14:paraId="156CB42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6C211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1058FA44">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4485931B">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27830C31">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40E61C6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345" w:type="dxa"/>
            <w:tcBorders>
              <w:tl2br w:val="nil"/>
              <w:tr2bl w:val="nil"/>
            </w:tcBorders>
            <w:noWrap w:val="0"/>
            <w:vAlign w:val="center"/>
          </w:tcPr>
          <w:p w14:paraId="344763C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68430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14156AF2">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23C89372">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7D15164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20" w:type="dxa"/>
            <w:tcBorders>
              <w:tl2br w:val="nil"/>
              <w:tr2bl w:val="nil"/>
            </w:tcBorders>
            <w:noWrap w:val="0"/>
            <w:vAlign w:val="center"/>
          </w:tcPr>
          <w:p w14:paraId="5CAE8BA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345" w:type="dxa"/>
            <w:tcBorders>
              <w:tl2br w:val="nil"/>
              <w:tr2bl w:val="nil"/>
            </w:tcBorders>
            <w:noWrap w:val="0"/>
            <w:vAlign w:val="center"/>
          </w:tcPr>
          <w:p w14:paraId="08C7AAD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21304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75" w:hRule="atLeast"/>
        </w:trPr>
        <w:tc>
          <w:tcPr>
            <w:tcW w:w="641" w:type="dxa"/>
            <w:vMerge w:val="continue"/>
            <w:tcBorders>
              <w:tl2br w:val="nil"/>
              <w:tr2bl w:val="nil"/>
            </w:tcBorders>
            <w:noWrap w:val="0"/>
            <w:vAlign w:val="center"/>
          </w:tcPr>
          <w:p w14:paraId="6B090EB3">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61B16DAB">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41F3F56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20" w:type="dxa"/>
            <w:tcBorders>
              <w:tl2br w:val="nil"/>
              <w:tr2bl w:val="nil"/>
            </w:tcBorders>
            <w:noWrap w:val="0"/>
            <w:vAlign w:val="center"/>
          </w:tcPr>
          <w:p w14:paraId="04A0462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345" w:type="dxa"/>
            <w:tcBorders>
              <w:tl2br w:val="nil"/>
              <w:tr2bl w:val="nil"/>
            </w:tcBorders>
            <w:noWrap w:val="0"/>
            <w:vAlign w:val="center"/>
          </w:tcPr>
          <w:p w14:paraId="6C8E2A5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452E2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7E860AE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116" w:type="dxa"/>
            <w:tcBorders>
              <w:tl2br w:val="nil"/>
              <w:tr2bl w:val="nil"/>
            </w:tcBorders>
            <w:noWrap w:val="0"/>
            <w:vAlign w:val="center"/>
          </w:tcPr>
          <w:p w14:paraId="249A1A3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518" w:type="dxa"/>
            <w:tcBorders>
              <w:tl2br w:val="nil"/>
              <w:tr2bl w:val="nil"/>
            </w:tcBorders>
            <w:noWrap w:val="0"/>
            <w:vAlign w:val="center"/>
          </w:tcPr>
          <w:p w14:paraId="3DDCE7B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l2br w:val="nil"/>
              <w:tr2bl w:val="nil"/>
            </w:tcBorders>
            <w:noWrap w:val="0"/>
            <w:vAlign w:val="center"/>
          </w:tcPr>
          <w:p w14:paraId="64CFC95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6F45FFF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7BF82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3A643F0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116" w:type="dxa"/>
            <w:tcBorders>
              <w:tl2br w:val="nil"/>
              <w:tr2bl w:val="nil"/>
            </w:tcBorders>
            <w:noWrap w:val="0"/>
            <w:vAlign w:val="center"/>
          </w:tcPr>
          <w:p w14:paraId="21C2B3B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518" w:type="dxa"/>
            <w:tcBorders>
              <w:tl2br w:val="nil"/>
              <w:tr2bl w:val="nil"/>
            </w:tcBorders>
            <w:noWrap w:val="0"/>
            <w:vAlign w:val="center"/>
          </w:tcPr>
          <w:p w14:paraId="34C1559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l2br w:val="nil"/>
              <w:tr2bl w:val="nil"/>
            </w:tcBorders>
            <w:noWrap w:val="0"/>
            <w:vAlign w:val="center"/>
          </w:tcPr>
          <w:p w14:paraId="4244621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1AAD892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47B9B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47AEE52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116" w:type="dxa"/>
            <w:tcBorders>
              <w:tl2br w:val="nil"/>
              <w:tr2bl w:val="nil"/>
            </w:tcBorders>
            <w:noWrap w:val="0"/>
            <w:vAlign w:val="center"/>
          </w:tcPr>
          <w:p w14:paraId="71A0506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518" w:type="dxa"/>
            <w:tcBorders>
              <w:tl2br w:val="nil"/>
              <w:tr2bl w:val="nil"/>
            </w:tcBorders>
            <w:noWrap w:val="0"/>
            <w:vAlign w:val="center"/>
          </w:tcPr>
          <w:p w14:paraId="48F00F8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20" w:type="dxa"/>
            <w:tcBorders>
              <w:tl2br w:val="nil"/>
              <w:tr2bl w:val="nil"/>
            </w:tcBorders>
            <w:noWrap w:val="0"/>
            <w:vAlign w:val="center"/>
          </w:tcPr>
          <w:p w14:paraId="4DC8F09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2B11855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42537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restart"/>
            <w:tcBorders>
              <w:tl2br w:val="nil"/>
              <w:tr2bl w:val="nil"/>
            </w:tcBorders>
            <w:noWrap w:val="0"/>
            <w:vAlign w:val="center"/>
          </w:tcPr>
          <w:p w14:paraId="24BCA02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116" w:type="dxa"/>
            <w:vMerge w:val="restart"/>
            <w:tcBorders>
              <w:tl2br w:val="nil"/>
              <w:tr2bl w:val="nil"/>
            </w:tcBorders>
            <w:noWrap w:val="0"/>
            <w:vAlign w:val="center"/>
          </w:tcPr>
          <w:p w14:paraId="5D2785D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518" w:type="dxa"/>
            <w:vMerge w:val="restart"/>
            <w:tcBorders>
              <w:tl2br w:val="nil"/>
              <w:tr2bl w:val="nil"/>
            </w:tcBorders>
            <w:noWrap w:val="0"/>
            <w:vAlign w:val="center"/>
          </w:tcPr>
          <w:p w14:paraId="44EB11A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20" w:type="dxa"/>
            <w:tcBorders>
              <w:tl2br w:val="nil"/>
              <w:tr2bl w:val="nil"/>
            </w:tcBorders>
            <w:noWrap w:val="0"/>
            <w:vAlign w:val="center"/>
          </w:tcPr>
          <w:p w14:paraId="364FB40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345" w:type="dxa"/>
            <w:tcBorders>
              <w:tl2br w:val="nil"/>
              <w:tr2bl w:val="nil"/>
            </w:tcBorders>
            <w:noWrap w:val="0"/>
            <w:vAlign w:val="center"/>
          </w:tcPr>
          <w:p w14:paraId="122EC10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69969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46BAAF7F">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270CC2D6">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625138D2">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328E485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345" w:type="dxa"/>
            <w:tcBorders>
              <w:tl2br w:val="nil"/>
              <w:tr2bl w:val="nil"/>
            </w:tcBorders>
            <w:noWrap w:val="0"/>
            <w:vAlign w:val="center"/>
          </w:tcPr>
          <w:p w14:paraId="204501F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3CA6F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39A55B44">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3F7B9E37">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764B1270">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2C86785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345" w:type="dxa"/>
            <w:tcBorders>
              <w:tl2br w:val="nil"/>
              <w:tr2bl w:val="nil"/>
            </w:tcBorders>
            <w:noWrap w:val="0"/>
            <w:vAlign w:val="center"/>
          </w:tcPr>
          <w:p w14:paraId="6ABEB9C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31643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635117B9">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06DCC6AA">
            <w:pPr>
              <w:widowControl/>
              <w:jc w:val="left"/>
              <w:rPr>
                <w:rFonts w:ascii="宋体" w:hAnsi="宋体" w:cs="宋体"/>
                <w:color w:val="auto"/>
                <w:kern w:val="0"/>
                <w:sz w:val="20"/>
                <w:szCs w:val="20"/>
                <w:highlight w:val="none"/>
              </w:rPr>
            </w:pPr>
          </w:p>
        </w:tc>
        <w:tc>
          <w:tcPr>
            <w:tcW w:w="1518" w:type="dxa"/>
            <w:vMerge w:val="restart"/>
            <w:tcBorders>
              <w:tl2br w:val="nil"/>
              <w:tr2bl w:val="nil"/>
            </w:tcBorders>
            <w:noWrap w:val="0"/>
            <w:vAlign w:val="center"/>
          </w:tcPr>
          <w:p w14:paraId="2D734ED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20" w:type="dxa"/>
            <w:tcBorders>
              <w:tl2br w:val="nil"/>
              <w:tr2bl w:val="nil"/>
            </w:tcBorders>
            <w:noWrap w:val="0"/>
            <w:vAlign w:val="center"/>
          </w:tcPr>
          <w:p w14:paraId="2F7DEBF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345" w:type="dxa"/>
            <w:tcBorders>
              <w:tl2br w:val="nil"/>
              <w:tr2bl w:val="nil"/>
            </w:tcBorders>
            <w:noWrap w:val="0"/>
            <w:vAlign w:val="center"/>
          </w:tcPr>
          <w:p w14:paraId="4F04863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0B0A0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2ED5EC7E">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27576EE9">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505CDBEB">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47B7C2E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345" w:type="dxa"/>
            <w:tcBorders>
              <w:tl2br w:val="nil"/>
              <w:tr2bl w:val="nil"/>
            </w:tcBorders>
            <w:noWrap w:val="0"/>
            <w:vAlign w:val="center"/>
          </w:tcPr>
          <w:p w14:paraId="536AFF2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0676A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549687DC">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1EED331E">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6CB1B5E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20" w:type="dxa"/>
            <w:tcBorders>
              <w:tl2br w:val="nil"/>
              <w:tr2bl w:val="nil"/>
            </w:tcBorders>
            <w:noWrap w:val="0"/>
            <w:vAlign w:val="center"/>
          </w:tcPr>
          <w:p w14:paraId="075ABA6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345" w:type="dxa"/>
            <w:tcBorders>
              <w:tl2br w:val="nil"/>
              <w:tr2bl w:val="nil"/>
            </w:tcBorders>
            <w:noWrap w:val="0"/>
            <w:vAlign w:val="center"/>
          </w:tcPr>
          <w:p w14:paraId="249B0F2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6F64D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08EFBB7D">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1A33BA23">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36C9F25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20" w:type="dxa"/>
            <w:tcBorders>
              <w:tl2br w:val="nil"/>
              <w:tr2bl w:val="nil"/>
            </w:tcBorders>
            <w:noWrap w:val="0"/>
            <w:vAlign w:val="center"/>
          </w:tcPr>
          <w:p w14:paraId="367B386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345" w:type="dxa"/>
            <w:tcBorders>
              <w:tl2br w:val="nil"/>
              <w:tr2bl w:val="nil"/>
            </w:tcBorders>
            <w:noWrap w:val="0"/>
            <w:vAlign w:val="center"/>
          </w:tcPr>
          <w:p w14:paraId="1D967B6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44E59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495EECD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116" w:type="dxa"/>
            <w:tcBorders>
              <w:tl2br w:val="nil"/>
              <w:tr2bl w:val="nil"/>
            </w:tcBorders>
            <w:noWrap w:val="0"/>
            <w:vAlign w:val="center"/>
          </w:tcPr>
          <w:p w14:paraId="76E5635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518" w:type="dxa"/>
            <w:tcBorders>
              <w:tl2br w:val="nil"/>
              <w:tr2bl w:val="nil"/>
            </w:tcBorders>
            <w:noWrap w:val="0"/>
            <w:vAlign w:val="center"/>
          </w:tcPr>
          <w:p w14:paraId="5F3A4DF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l2br w:val="nil"/>
              <w:tr2bl w:val="nil"/>
            </w:tcBorders>
            <w:noWrap w:val="0"/>
            <w:vAlign w:val="center"/>
          </w:tcPr>
          <w:p w14:paraId="537A51B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57E6022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4A98F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31CD440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116" w:type="dxa"/>
            <w:tcBorders>
              <w:tl2br w:val="nil"/>
              <w:tr2bl w:val="nil"/>
            </w:tcBorders>
            <w:noWrap w:val="0"/>
            <w:vAlign w:val="center"/>
          </w:tcPr>
          <w:p w14:paraId="4AFF61B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518" w:type="dxa"/>
            <w:tcBorders>
              <w:tl2br w:val="nil"/>
              <w:tr2bl w:val="nil"/>
            </w:tcBorders>
            <w:noWrap w:val="0"/>
            <w:vAlign w:val="center"/>
          </w:tcPr>
          <w:p w14:paraId="12E8586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20" w:type="dxa"/>
            <w:tcBorders>
              <w:tl2br w:val="nil"/>
              <w:tr2bl w:val="nil"/>
            </w:tcBorders>
            <w:noWrap w:val="0"/>
            <w:vAlign w:val="center"/>
          </w:tcPr>
          <w:p w14:paraId="6A4ADF9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22A6513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68CE4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0B834B9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116" w:type="dxa"/>
            <w:tcBorders>
              <w:tl2br w:val="nil"/>
              <w:tr2bl w:val="nil"/>
            </w:tcBorders>
            <w:noWrap w:val="0"/>
            <w:vAlign w:val="center"/>
          </w:tcPr>
          <w:p w14:paraId="657020C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518" w:type="dxa"/>
            <w:tcBorders>
              <w:tl2br w:val="nil"/>
              <w:tr2bl w:val="nil"/>
            </w:tcBorders>
            <w:noWrap w:val="0"/>
            <w:vAlign w:val="center"/>
          </w:tcPr>
          <w:p w14:paraId="2B177BF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20" w:type="dxa"/>
            <w:tcBorders>
              <w:tl2br w:val="nil"/>
              <w:tr2bl w:val="nil"/>
            </w:tcBorders>
            <w:noWrap w:val="0"/>
            <w:vAlign w:val="center"/>
          </w:tcPr>
          <w:p w14:paraId="020B898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3A26A6B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380B8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restart"/>
            <w:tcBorders>
              <w:tl2br w:val="nil"/>
              <w:tr2bl w:val="nil"/>
            </w:tcBorders>
            <w:noWrap w:val="0"/>
            <w:vAlign w:val="center"/>
          </w:tcPr>
          <w:p w14:paraId="0EA7156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116" w:type="dxa"/>
            <w:vMerge w:val="restart"/>
            <w:tcBorders>
              <w:tl2br w:val="nil"/>
              <w:tr2bl w:val="nil"/>
            </w:tcBorders>
            <w:noWrap w:val="0"/>
            <w:vAlign w:val="center"/>
          </w:tcPr>
          <w:p w14:paraId="68663CC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518" w:type="dxa"/>
            <w:tcBorders>
              <w:tl2br w:val="nil"/>
              <w:tr2bl w:val="nil"/>
            </w:tcBorders>
            <w:noWrap w:val="0"/>
            <w:vAlign w:val="center"/>
          </w:tcPr>
          <w:p w14:paraId="736A4E1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20" w:type="dxa"/>
            <w:tcBorders>
              <w:tl2br w:val="nil"/>
              <w:tr2bl w:val="nil"/>
            </w:tcBorders>
            <w:noWrap w:val="0"/>
            <w:vAlign w:val="center"/>
          </w:tcPr>
          <w:p w14:paraId="214AC85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65E3A07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5E3E4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75" w:hRule="atLeast"/>
        </w:trPr>
        <w:tc>
          <w:tcPr>
            <w:tcW w:w="641" w:type="dxa"/>
            <w:vMerge w:val="continue"/>
            <w:tcBorders>
              <w:tl2br w:val="nil"/>
              <w:tr2bl w:val="nil"/>
            </w:tcBorders>
            <w:noWrap w:val="0"/>
            <w:vAlign w:val="center"/>
          </w:tcPr>
          <w:p w14:paraId="6EF7C103">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047718F3">
            <w:pPr>
              <w:widowControl/>
              <w:jc w:val="left"/>
              <w:rPr>
                <w:rFonts w:ascii="宋体" w:hAnsi="宋体" w:cs="宋体"/>
                <w:color w:val="auto"/>
                <w:kern w:val="0"/>
                <w:sz w:val="20"/>
                <w:szCs w:val="20"/>
                <w:highlight w:val="none"/>
              </w:rPr>
            </w:pPr>
          </w:p>
        </w:tc>
        <w:tc>
          <w:tcPr>
            <w:tcW w:w="1518" w:type="dxa"/>
            <w:vMerge w:val="restart"/>
            <w:tcBorders>
              <w:tl2br w:val="nil"/>
              <w:tr2bl w:val="nil"/>
            </w:tcBorders>
            <w:noWrap w:val="0"/>
            <w:vAlign w:val="center"/>
          </w:tcPr>
          <w:p w14:paraId="756BD75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20" w:type="dxa"/>
            <w:tcBorders>
              <w:tl2br w:val="nil"/>
              <w:tr2bl w:val="nil"/>
            </w:tcBorders>
            <w:noWrap w:val="0"/>
            <w:vAlign w:val="center"/>
          </w:tcPr>
          <w:p w14:paraId="065A32B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345" w:type="dxa"/>
            <w:tcBorders>
              <w:tl2br w:val="nil"/>
              <w:tr2bl w:val="nil"/>
            </w:tcBorders>
            <w:noWrap w:val="0"/>
            <w:vAlign w:val="center"/>
          </w:tcPr>
          <w:p w14:paraId="443217A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7215B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639642F5">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11C8B4FE">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4F48FCC6">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72E2F75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345" w:type="dxa"/>
            <w:tcBorders>
              <w:tl2br w:val="nil"/>
              <w:tr2bl w:val="nil"/>
            </w:tcBorders>
            <w:noWrap w:val="0"/>
            <w:vAlign w:val="center"/>
          </w:tcPr>
          <w:p w14:paraId="14021F5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38002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22EC3A15">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165FB6D6">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5FDE78AB">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40C7D67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345" w:type="dxa"/>
            <w:tcBorders>
              <w:tl2br w:val="nil"/>
              <w:tr2bl w:val="nil"/>
            </w:tcBorders>
            <w:noWrap w:val="0"/>
            <w:vAlign w:val="center"/>
          </w:tcPr>
          <w:p w14:paraId="700034E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37AC3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7B4A69D6">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05957CCD">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44816DC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20" w:type="dxa"/>
            <w:tcBorders>
              <w:tl2br w:val="nil"/>
              <w:tr2bl w:val="nil"/>
            </w:tcBorders>
            <w:noWrap w:val="0"/>
            <w:vAlign w:val="center"/>
          </w:tcPr>
          <w:p w14:paraId="1DAE7DD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168856C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49816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53FEB3B2">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0A89ED97">
            <w:pPr>
              <w:widowControl/>
              <w:jc w:val="left"/>
              <w:rPr>
                <w:rFonts w:ascii="宋体" w:hAnsi="宋体" w:cs="宋体"/>
                <w:color w:val="auto"/>
                <w:kern w:val="0"/>
                <w:sz w:val="20"/>
                <w:szCs w:val="20"/>
                <w:highlight w:val="none"/>
              </w:rPr>
            </w:pPr>
          </w:p>
        </w:tc>
        <w:tc>
          <w:tcPr>
            <w:tcW w:w="1518" w:type="dxa"/>
            <w:vMerge w:val="restart"/>
            <w:tcBorders>
              <w:tl2br w:val="nil"/>
              <w:tr2bl w:val="nil"/>
            </w:tcBorders>
            <w:noWrap w:val="0"/>
            <w:vAlign w:val="center"/>
          </w:tcPr>
          <w:p w14:paraId="54B740E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20" w:type="dxa"/>
            <w:tcBorders>
              <w:tl2br w:val="nil"/>
              <w:tr2bl w:val="nil"/>
            </w:tcBorders>
            <w:noWrap w:val="0"/>
            <w:vAlign w:val="center"/>
          </w:tcPr>
          <w:p w14:paraId="0A1A043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345" w:type="dxa"/>
            <w:tcBorders>
              <w:tl2br w:val="nil"/>
              <w:tr2bl w:val="nil"/>
            </w:tcBorders>
            <w:noWrap w:val="0"/>
            <w:vAlign w:val="center"/>
          </w:tcPr>
          <w:p w14:paraId="3AE7680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63C2F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19CE7937">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640BE716">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45EA64EB">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0849130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345" w:type="dxa"/>
            <w:tcBorders>
              <w:tl2br w:val="nil"/>
              <w:tr2bl w:val="nil"/>
            </w:tcBorders>
            <w:noWrap w:val="0"/>
            <w:vAlign w:val="center"/>
          </w:tcPr>
          <w:p w14:paraId="3B6834F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0D9CD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10CF6DBC">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71C65C12">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32BE3788">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3079150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345" w:type="dxa"/>
            <w:tcBorders>
              <w:tl2br w:val="nil"/>
              <w:tr2bl w:val="nil"/>
            </w:tcBorders>
            <w:noWrap w:val="0"/>
            <w:vAlign w:val="center"/>
          </w:tcPr>
          <w:p w14:paraId="7507E16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58696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00F0DB12">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4FFA746C">
            <w:pPr>
              <w:widowControl/>
              <w:jc w:val="left"/>
              <w:rPr>
                <w:rFonts w:ascii="宋体" w:hAnsi="宋体" w:cs="宋体"/>
                <w:color w:val="auto"/>
                <w:kern w:val="0"/>
                <w:sz w:val="20"/>
                <w:szCs w:val="20"/>
                <w:highlight w:val="none"/>
              </w:rPr>
            </w:pPr>
          </w:p>
        </w:tc>
        <w:tc>
          <w:tcPr>
            <w:tcW w:w="1518" w:type="dxa"/>
            <w:vMerge w:val="continue"/>
            <w:tcBorders>
              <w:tl2br w:val="nil"/>
              <w:tr2bl w:val="nil"/>
            </w:tcBorders>
            <w:noWrap w:val="0"/>
            <w:vAlign w:val="center"/>
          </w:tcPr>
          <w:p w14:paraId="5BCF3C32">
            <w:pPr>
              <w:widowControl/>
              <w:jc w:val="left"/>
              <w:rPr>
                <w:rFonts w:ascii="宋体" w:hAnsi="宋体" w:cs="宋体"/>
                <w:color w:val="auto"/>
                <w:kern w:val="0"/>
                <w:sz w:val="20"/>
                <w:szCs w:val="20"/>
                <w:highlight w:val="none"/>
              </w:rPr>
            </w:pPr>
          </w:p>
        </w:tc>
        <w:tc>
          <w:tcPr>
            <w:tcW w:w="1620" w:type="dxa"/>
            <w:tcBorders>
              <w:tl2br w:val="nil"/>
              <w:tr2bl w:val="nil"/>
            </w:tcBorders>
            <w:noWrap w:val="0"/>
            <w:vAlign w:val="center"/>
          </w:tcPr>
          <w:p w14:paraId="7AAC60F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345" w:type="dxa"/>
            <w:tcBorders>
              <w:tl2br w:val="nil"/>
              <w:tr2bl w:val="nil"/>
            </w:tcBorders>
            <w:noWrap w:val="0"/>
            <w:vAlign w:val="center"/>
          </w:tcPr>
          <w:p w14:paraId="2929045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44609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restart"/>
            <w:tcBorders>
              <w:tl2br w:val="nil"/>
              <w:tr2bl w:val="nil"/>
            </w:tcBorders>
            <w:noWrap w:val="0"/>
            <w:vAlign w:val="center"/>
          </w:tcPr>
          <w:p w14:paraId="55F2F40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116" w:type="dxa"/>
            <w:vMerge w:val="restart"/>
            <w:tcBorders>
              <w:tl2br w:val="nil"/>
              <w:tr2bl w:val="nil"/>
            </w:tcBorders>
            <w:noWrap w:val="0"/>
            <w:vAlign w:val="center"/>
          </w:tcPr>
          <w:p w14:paraId="7B743C2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518" w:type="dxa"/>
            <w:tcBorders>
              <w:tl2br w:val="nil"/>
              <w:tr2bl w:val="nil"/>
            </w:tcBorders>
            <w:noWrap w:val="0"/>
            <w:vAlign w:val="center"/>
          </w:tcPr>
          <w:p w14:paraId="7B6BBAB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20" w:type="dxa"/>
            <w:tcBorders>
              <w:tl2br w:val="nil"/>
              <w:tr2bl w:val="nil"/>
            </w:tcBorders>
            <w:noWrap w:val="0"/>
            <w:vAlign w:val="center"/>
          </w:tcPr>
          <w:p w14:paraId="47AC82F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3BC039A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4AA94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5430D3CA">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71FFE9C8">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4A4966F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20" w:type="dxa"/>
            <w:tcBorders>
              <w:tl2br w:val="nil"/>
              <w:tr2bl w:val="nil"/>
            </w:tcBorders>
            <w:noWrap w:val="0"/>
            <w:vAlign w:val="center"/>
          </w:tcPr>
          <w:p w14:paraId="79B0D13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1ED8DA7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1BE2C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43FEAFAA">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6B708019">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4FD90D4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20" w:type="dxa"/>
            <w:tcBorders>
              <w:tl2br w:val="nil"/>
              <w:tr2bl w:val="nil"/>
            </w:tcBorders>
            <w:noWrap w:val="0"/>
            <w:vAlign w:val="center"/>
          </w:tcPr>
          <w:p w14:paraId="005ACEB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509C445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4B686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vMerge w:val="continue"/>
            <w:tcBorders>
              <w:tl2br w:val="nil"/>
              <w:tr2bl w:val="nil"/>
            </w:tcBorders>
            <w:noWrap w:val="0"/>
            <w:vAlign w:val="center"/>
          </w:tcPr>
          <w:p w14:paraId="1BC18DDB">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042198A6">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657BD12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20" w:type="dxa"/>
            <w:tcBorders>
              <w:tl2br w:val="nil"/>
              <w:tr2bl w:val="nil"/>
            </w:tcBorders>
            <w:noWrap w:val="0"/>
            <w:vAlign w:val="center"/>
          </w:tcPr>
          <w:p w14:paraId="2EC27DC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393FC1D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7FB1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5" w:hRule="atLeast"/>
        </w:trPr>
        <w:tc>
          <w:tcPr>
            <w:tcW w:w="641" w:type="dxa"/>
            <w:tcBorders>
              <w:tl2br w:val="nil"/>
              <w:tr2bl w:val="nil"/>
            </w:tcBorders>
            <w:noWrap w:val="0"/>
            <w:vAlign w:val="center"/>
          </w:tcPr>
          <w:p w14:paraId="0C7A559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116" w:type="dxa"/>
            <w:tcBorders>
              <w:tl2br w:val="nil"/>
              <w:tr2bl w:val="nil"/>
            </w:tcBorders>
            <w:noWrap w:val="0"/>
            <w:vAlign w:val="center"/>
          </w:tcPr>
          <w:p w14:paraId="4F0864D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518" w:type="dxa"/>
            <w:tcBorders>
              <w:tl2br w:val="nil"/>
              <w:tr2bl w:val="nil"/>
            </w:tcBorders>
            <w:noWrap w:val="0"/>
            <w:vAlign w:val="center"/>
          </w:tcPr>
          <w:p w14:paraId="23AD213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20" w:type="dxa"/>
            <w:tcBorders>
              <w:tl2br w:val="nil"/>
              <w:tr2bl w:val="nil"/>
            </w:tcBorders>
            <w:noWrap w:val="0"/>
            <w:vAlign w:val="center"/>
          </w:tcPr>
          <w:p w14:paraId="6334EF7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31C6DAB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0CBA1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75" w:hRule="atLeast"/>
        </w:trPr>
        <w:tc>
          <w:tcPr>
            <w:tcW w:w="641" w:type="dxa"/>
            <w:tcBorders>
              <w:tl2br w:val="nil"/>
              <w:tr2bl w:val="nil"/>
            </w:tcBorders>
            <w:noWrap w:val="0"/>
            <w:vAlign w:val="center"/>
          </w:tcPr>
          <w:p w14:paraId="31A2EDA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116" w:type="dxa"/>
            <w:tcBorders>
              <w:tl2br w:val="nil"/>
              <w:tr2bl w:val="nil"/>
            </w:tcBorders>
            <w:noWrap w:val="0"/>
            <w:vAlign w:val="center"/>
          </w:tcPr>
          <w:p w14:paraId="795FB7C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518" w:type="dxa"/>
            <w:tcBorders>
              <w:tl2br w:val="nil"/>
              <w:tr2bl w:val="nil"/>
            </w:tcBorders>
            <w:noWrap w:val="0"/>
            <w:vAlign w:val="center"/>
          </w:tcPr>
          <w:p w14:paraId="7FA5930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20" w:type="dxa"/>
            <w:tcBorders>
              <w:tl2br w:val="nil"/>
              <w:tr2bl w:val="nil"/>
            </w:tcBorders>
            <w:noWrap w:val="0"/>
            <w:vAlign w:val="center"/>
          </w:tcPr>
          <w:p w14:paraId="0E41CDF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345" w:type="dxa"/>
            <w:tcBorders>
              <w:tl2br w:val="nil"/>
              <w:tr2bl w:val="nil"/>
            </w:tcBorders>
            <w:noWrap w:val="0"/>
            <w:vAlign w:val="center"/>
          </w:tcPr>
          <w:p w14:paraId="1AF3936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34FAC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5829821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116" w:type="dxa"/>
            <w:tcBorders>
              <w:tl2br w:val="nil"/>
              <w:tr2bl w:val="nil"/>
            </w:tcBorders>
            <w:noWrap w:val="0"/>
            <w:vAlign w:val="center"/>
          </w:tcPr>
          <w:p w14:paraId="0642187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518" w:type="dxa"/>
            <w:tcBorders>
              <w:tl2br w:val="nil"/>
              <w:tr2bl w:val="nil"/>
            </w:tcBorders>
            <w:noWrap w:val="0"/>
            <w:vAlign w:val="center"/>
          </w:tcPr>
          <w:p w14:paraId="016E11F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20" w:type="dxa"/>
            <w:tcBorders>
              <w:tl2br w:val="nil"/>
              <w:tr2bl w:val="nil"/>
            </w:tcBorders>
            <w:noWrap w:val="0"/>
            <w:vAlign w:val="center"/>
          </w:tcPr>
          <w:p w14:paraId="0C8E34F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3693A1B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7F06B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5" w:hRule="atLeast"/>
        </w:trPr>
        <w:tc>
          <w:tcPr>
            <w:tcW w:w="641" w:type="dxa"/>
            <w:vMerge w:val="restart"/>
            <w:tcBorders>
              <w:tl2br w:val="nil"/>
              <w:tr2bl w:val="nil"/>
            </w:tcBorders>
            <w:noWrap w:val="0"/>
            <w:vAlign w:val="center"/>
          </w:tcPr>
          <w:p w14:paraId="765DFA9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116" w:type="dxa"/>
            <w:vMerge w:val="restart"/>
            <w:tcBorders>
              <w:tl2br w:val="nil"/>
              <w:tr2bl w:val="nil"/>
            </w:tcBorders>
            <w:noWrap w:val="0"/>
            <w:vAlign w:val="center"/>
          </w:tcPr>
          <w:p w14:paraId="133DF3E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518" w:type="dxa"/>
            <w:tcBorders>
              <w:tl2br w:val="nil"/>
              <w:tr2bl w:val="nil"/>
            </w:tcBorders>
            <w:noWrap w:val="0"/>
            <w:vAlign w:val="center"/>
          </w:tcPr>
          <w:p w14:paraId="0A56723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20" w:type="dxa"/>
            <w:tcBorders>
              <w:tl2br w:val="nil"/>
              <w:tr2bl w:val="nil"/>
            </w:tcBorders>
            <w:noWrap w:val="0"/>
            <w:vAlign w:val="center"/>
          </w:tcPr>
          <w:p w14:paraId="1F3DD28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6B8E9EF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67515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17AAFE98">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511BB774">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141551B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20" w:type="dxa"/>
            <w:tcBorders>
              <w:tl2br w:val="nil"/>
              <w:tr2bl w:val="nil"/>
            </w:tcBorders>
            <w:noWrap w:val="0"/>
            <w:vAlign w:val="center"/>
          </w:tcPr>
          <w:p w14:paraId="4ECDA35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000E025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113BA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vMerge w:val="continue"/>
            <w:tcBorders>
              <w:tl2br w:val="nil"/>
              <w:tr2bl w:val="nil"/>
            </w:tcBorders>
            <w:noWrap w:val="0"/>
            <w:vAlign w:val="center"/>
          </w:tcPr>
          <w:p w14:paraId="51AFB282">
            <w:pPr>
              <w:widowControl/>
              <w:jc w:val="left"/>
              <w:rPr>
                <w:rFonts w:ascii="宋体" w:hAnsi="宋体" w:cs="宋体"/>
                <w:color w:val="auto"/>
                <w:kern w:val="0"/>
                <w:sz w:val="20"/>
                <w:szCs w:val="20"/>
                <w:highlight w:val="none"/>
              </w:rPr>
            </w:pPr>
          </w:p>
        </w:tc>
        <w:tc>
          <w:tcPr>
            <w:tcW w:w="1116" w:type="dxa"/>
            <w:vMerge w:val="continue"/>
            <w:tcBorders>
              <w:tl2br w:val="nil"/>
              <w:tr2bl w:val="nil"/>
            </w:tcBorders>
            <w:noWrap w:val="0"/>
            <w:vAlign w:val="center"/>
          </w:tcPr>
          <w:p w14:paraId="6337F3BF">
            <w:pPr>
              <w:widowControl/>
              <w:jc w:val="left"/>
              <w:rPr>
                <w:rFonts w:ascii="宋体" w:hAnsi="宋体" w:cs="宋体"/>
                <w:color w:val="auto"/>
                <w:kern w:val="0"/>
                <w:sz w:val="20"/>
                <w:szCs w:val="20"/>
                <w:highlight w:val="none"/>
              </w:rPr>
            </w:pPr>
          </w:p>
        </w:tc>
        <w:tc>
          <w:tcPr>
            <w:tcW w:w="1518" w:type="dxa"/>
            <w:tcBorders>
              <w:tl2br w:val="nil"/>
              <w:tr2bl w:val="nil"/>
            </w:tcBorders>
            <w:noWrap w:val="0"/>
            <w:vAlign w:val="center"/>
          </w:tcPr>
          <w:p w14:paraId="70C8104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20" w:type="dxa"/>
            <w:tcBorders>
              <w:tl2br w:val="nil"/>
              <w:tr2bl w:val="nil"/>
            </w:tcBorders>
            <w:noWrap w:val="0"/>
            <w:vAlign w:val="center"/>
          </w:tcPr>
          <w:p w14:paraId="769351C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10BF62A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6139A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7538C59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116" w:type="dxa"/>
            <w:tcBorders>
              <w:tl2br w:val="nil"/>
              <w:tr2bl w:val="nil"/>
            </w:tcBorders>
            <w:noWrap w:val="0"/>
            <w:vAlign w:val="center"/>
          </w:tcPr>
          <w:p w14:paraId="4A5F9B1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518" w:type="dxa"/>
            <w:tcBorders>
              <w:tl2br w:val="nil"/>
              <w:tr2bl w:val="nil"/>
            </w:tcBorders>
            <w:noWrap w:val="0"/>
            <w:vAlign w:val="center"/>
          </w:tcPr>
          <w:p w14:paraId="5826998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l2br w:val="nil"/>
              <w:tr2bl w:val="nil"/>
            </w:tcBorders>
            <w:noWrap w:val="0"/>
            <w:vAlign w:val="center"/>
          </w:tcPr>
          <w:p w14:paraId="5F29C93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3367E79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72ED4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58B3A17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116" w:type="dxa"/>
            <w:tcBorders>
              <w:tl2br w:val="nil"/>
              <w:tr2bl w:val="nil"/>
            </w:tcBorders>
            <w:noWrap w:val="0"/>
            <w:vAlign w:val="center"/>
          </w:tcPr>
          <w:p w14:paraId="2EA510F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518" w:type="dxa"/>
            <w:tcBorders>
              <w:tl2br w:val="nil"/>
              <w:tr2bl w:val="nil"/>
            </w:tcBorders>
            <w:noWrap w:val="0"/>
            <w:vAlign w:val="center"/>
          </w:tcPr>
          <w:p w14:paraId="4C1073F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l2br w:val="nil"/>
              <w:tr2bl w:val="nil"/>
            </w:tcBorders>
            <w:noWrap w:val="0"/>
            <w:vAlign w:val="center"/>
          </w:tcPr>
          <w:p w14:paraId="1F5A834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172214B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0F758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5" w:hRule="atLeast"/>
        </w:trPr>
        <w:tc>
          <w:tcPr>
            <w:tcW w:w="641" w:type="dxa"/>
            <w:tcBorders>
              <w:tl2br w:val="nil"/>
              <w:tr2bl w:val="nil"/>
            </w:tcBorders>
            <w:noWrap w:val="0"/>
            <w:vAlign w:val="center"/>
          </w:tcPr>
          <w:p w14:paraId="71045BC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116" w:type="dxa"/>
            <w:tcBorders>
              <w:tl2br w:val="nil"/>
              <w:tr2bl w:val="nil"/>
            </w:tcBorders>
            <w:noWrap w:val="0"/>
            <w:vAlign w:val="center"/>
          </w:tcPr>
          <w:p w14:paraId="609EB7B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518" w:type="dxa"/>
            <w:tcBorders>
              <w:tl2br w:val="nil"/>
              <w:tr2bl w:val="nil"/>
            </w:tcBorders>
            <w:noWrap w:val="0"/>
            <w:vAlign w:val="center"/>
          </w:tcPr>
          <w:p w14:paraId="35C4A5A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l2br w:val="nil"/>
              <w:tr2bl w:val="nil"/>
            </w:tcBorders>
            <w:noWrap w:val="0"/>
            <w:vAlign w:val="center"/>
          </w:tcPr>
          <w:p w14:paraId="02ABF7D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45" w:type="dxa"/>
            <w:tcBorders>
              <w:tl2br w:val="nil"/>
              <w:tr2bl w:val="nil"/>
            </w:tcBorders>
            <w:noWrap w:val="0"/>
            <w:vAlign w:val="center"/>
          </w:tcPr>
          <w:p w14:paraId="36F77EB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39E79066">
      <w:pPr>
        <w:pStyle w:val="3"/>
        <w:spacing w:line="360" w:lineRule="auto"/>
        <w:rPr>
          <w:rFonts w:hint="eastAsia" w:ascii="宋体" w:hAnsi="宋体"/>
          <w:color w:val="auto"/>
          <w:szCs w:val="21"/>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p>
    <w:p w14:paraId="7157E142">
      <w:pPr>
        <w:pStyle w:val="14"/>
        <w:jc w:val="left"/>
        <w:rPr>
          <w:rFonts w:hint="eastAsia" w:hAnsi="宋体" w:cs="宋体"/>
          <w:color w:val="auto"/>
          <w:sz w:val="32"/>
          <w:szCs w:val="32"/>
          <w:highlight w:val="none"/>
        </w:rPr>
      </w:pPr>
      <w:r>
        <w:rPr>
          <w:rFonts w:hint="eastAsia" w:hAnsi="宋体"/>
          <w:color w:val="auto"/>
          <w:highlight w:val="none"/>
        </w:rPr>
        <w:t xml:space="preserve">    </w:t>
      </w:r>
      <w:r>
        <w:rPr>
          <w:rFonts w:hint="eastAsia"/>
          <w:color w:val="auto"/>
          <w:highlight w:val="none"/>
        </w:rPr>
        <w:t>2.以</w:t>
      </w:r>
      <w:r>
        <w:rPr>
          <w:color w:val="auto"/>
          <w:highlight w:val="none"/>
        </w:rPr>
        <w:t>“</w:t>
      </w:r>
      <w:r>
        <w:rPr>
          <w:rFonts w:hint="eastAsia"/>
          <w:color w:val="auto"/>
          <w:highlight w:val="none"/>
        </w:rPr>
        <w:t>★</w:t>
      </w:r>
      <w:r>
        <w:rPr>
          <w:color w:val="auto"/>
          <w:highlight w:val="none"/>
        </w:rPr>
        <w:t>”</w:t>
      </w:r>
      <w:r>
        <w:rPr>
          <w:rFonts w:hint="eastAsia"/>
          <w:color w:val="auto"/>
          <w:highlight w:val="none"/>
        </w:rPr>
        <w:t>标注的为政府强制采购产品。</w:t>
      </w:r>
      <w:r>
        <w:rPr>
          <w:rFonts w:hint="eastAsia"/>
          <w:color w:val="auto"/>
          <w:highlight w:val="none"/>
        </w:rPr>
        <w:br w:type="page"/>
      </w:r>
      <w:r>
        <w:rPr>
          <w:rFonts w:hint="eastAsia" w:hAnsi="宋体" w:cs="宋体"/>
          <w:color w:val="auto"/>
          <w:sz w:val="32"/>
          <w:szCs w:val="32"/>
          <w:highlight w:val="none"/>
        </w:rPr>
        <w:t>附件</w:t>
      </w:r>
      <w:r>
        <w:rPr>
          <w:rFonts w:hint="eastAsia" w:hAnsi="宋体" w:cs="宋体"/>
          <w:color w:val="auto"/>
          <w:sz w:val="32"/>
          <w:szCs w:val="32"/>
          <w:highlight w:val="none"/>
          <w:lang w:val="en-US" w:eastAsia="zh-CN"/>
        </w:rPr>
        <w:t>3</w:t>
      </w:r>
      <w:r>
        <w:rPr>
          <w:rFonts w:hint="eastAsia" w:hAnsi="宋体" w:cs="宋体"/>
          <w:color w:val="auto"/>
          <w:sz w:val="32"/>
          <w:szCs w:val="32"/>
          <w:highlight w:val="none"/>
        </w:rPr>
        <w:t>：</w:t>
      </w:r>
    </w:p>
    <w:p w14:paraId="383556C0">
      <w:pPr>
        <w:spacing w:line="528" w:lineRule="exact"/>
        <w:jc w:val="center"/>
        <w:rPr>
          <w:rFonts w:hint="eastAsia"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21"/>
        <w:tblW w:w="9500" w:type="dxa"/>
        <w:jc w:val="center"/>
        <w:tblLayout w:type="fixed"/>
        <w:tblCellMar>
          <w:top w:w="0" w:type="dxa"/>
          <w:left w:w="108" w:type="dxa"/>
          <w:bottom w:w="0" w:type="dxa"/>
          <w:right w:w="108" w:type="dxa"/>
        </w:tblCellMar>
      </w:tblPr>
      <w:tblGrid>
        <w:gridCol w:w="1985"/>
        <w:gridCol w:w="1770"/>
        <w:gridCol w:w="1066"/>
        <w:gridCol w:w="1843"/>
        <w:gridCol w:w="1702"/>
        <w:gridCol w:w="1134"/>
      </w:tblGrid>
      <w:tr w14:paraId="080E5CD0">
        <w:tblPrEx>
          <w:tblCellMar>
            <w:top w:w="0" w:type="dxa"/>
            <w:left w:w="108" w:type="dxa"/>
            <w:bottom w:w="0" w:type="dxa"/>
            <w:right w:w="108" w:type="dxa"/>
          </w:tblCellMar>
        </w:tblPrEx>
        <w:trPr>
          <w:trHeight w:val="285" w:hRule="atLeast"/>
          <w:jc w:val="center"/>
        </w:trPr>
        <w:tc>
          <w:tcPr>
            <w:tcW w:w="1985" w:type="dxa"/>
            <w:tcBorders>
              <w:top w:val="single" w:color="auto" w:sz="4" w:space="0"/>
              <w:left w:val="single" w:color="auto" w:sz="4" w:space="0"/>
              <w:bottom w:val="single" w:color="auto" w:sz="4" w:space="0"/>
              <w:right w:val="single" w:color="auto" w:sz="4" w:space="0"/>
            </w:tcBorders>
            <w:noWrap w:val="0"/>
            <w:vAlign w:val="center"/>
          </w:tcPr>
          <w:p w14:paraId="36862000">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770" w:type="dxa"/>
            <w:tcBorders>
              <w:top w:val="single" w:color="auto" w:sz="4" w:space="0"/>
              <w:left w:val="nil"/>
              <w:bottom w:val="single" w:color="auto" w:sz="4" w:space="0"/>
              <w:right w:val="single" w:color="auto" w:sz="4" w:space="0"/>
            </w:tcBorders>
            <w:noWrap w:val="0"/>
            <w:vAlign w:val="center"/>
          </w:tcPr>
          <w:p w14:paraId="50D84B42">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1066" w:type="dxa"/>
            <w:tcBorders>
              <w:top w:val="single" w:color="auto" w:sz="4" w:space="0"/>
              <w:left w:val="nil"/>
              <w:bottom w:val="single" w:color="auto" w:sz="4" w:space="0"/>
              <w:right w:val="single" w:color="auto" w:sz="4" w:space="0"/>
            </w:tcBorders>
            <w:noWrap w:val="0"/>
            <w:vAlign w:val="center"/>
          </w:tcPr>
          <w:p w14:paraId="0A87F50D">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843" w:type="dxa"/>
            <w:tcBorders>
              <w:top w:val="single" w:color="auto" w:sz="4" w:space="0"/>
              <w:left w:val="nil"/>
              <w:bottom w:val="single" w:color="auto" w:sz="4" w:space="0"/>
              <w:right w:val="single" w:color="auto" w:sz="4" w:space="0"/>
            </w:tcBorders>
            <w:noWrap w:val="0"/>
            <w:vAlign w:val="center"/>
          </w:tcPr>
          <w:p w14:paraId="5D34DA6F">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702" w:type="dxa"/>
            <w:tcBorders>
              <w:top w:val="single" w:color="auto" w:sz="4" w:space="0"/>
              <w:left w:val="nil"/>
              <w:bottom w:val="single" w:color="auto" w:sz="4" w:space="0"/>
              <w:right w:val="single" w:color="auto" w:sz="4" w:space="0"/>
            </w:tcBorders>
            <w:noWrap w:val="0"/>
            <w:vAlign w:val="center"/>
          </w:tcPr>
          <w:p w14:paraId="5046DA45">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50B20338">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6AB05713">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noWrap w:val="0"/>
            <w:vAlign w:val="bottom"/>
          </w:tcPr>
          <w:p w14:paraId="2D26B5F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770" w:type="dxa"/>
            <w:tcBorders>
              <w:top w:val="nil"/>
              <w:left w:val="nil"/>
              <w:bottom w:val="single" w:color="auto" w:sz="4" w:space="0"/>
              <w:right w:val="single" w:color="auto" w:sz="4" w:space="0"/>
            </w:tcBorders>
            <w:noWrap w:val="0"/>
            <w:vAlign w:val="center"/>
          </w:tcPr>
          <w:p w14:paraId="2479EE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3298E6A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2532A1F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noWrap w:val="0"/>
            <w:vAlign w:val="center"/>
          </w:tcPr>
          <w:p w14:paraId="23B605A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0042075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1541564F">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3E1F392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770" w:type="dxa"/>
            <w:tcBorders>
              <w:top w:val="nil"/>
              <w:left w:val="nil"/>
              <w:bottom w:val="single" w:color="auto" w:sz="4" w:space="0"/>
              <w:right w:val="single" w:color="auto" w:sz="4" w:space="0"/>
            </w:tcBorders>
            <w:noWrap w:val="0"/>
            <w:vAlign w:val="center"/>
          </w:tcPr>
          <w:p w14:paraId="20B9547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3CFF8AA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3EA2B8C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0C094C5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7B1BF06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9FEE071">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6883D3C3">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30C4EE0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39AC2FE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2FA0F9B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702" w:type="dxa"/>
            <w:tcBorders>
              <w:top w:val="nil"/>
              <w:left w:val="nil"/>
              <w:bottom w:val="single" w:color="auto" w:sz="4" w:space="0"/>
              <w:right w:val="single" w:color="auto" w:sz="4" w:space="0"/>
            </w:tcBorders>
            <w:noWrap w:val="0"/>
            <w:vAlign w:val="center"/>
          </w:tcPr>
          <w:p w14:paraId="44E76A0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21C362C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18B1994F">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12EFEE4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770" w:type="dxa"/>
            <w:tcBorders>
              <w:top w:val="nil"/>
              <w:left w:val="nil"/>
              <w:bottom w:val="single" w:color="auto" w:sz="4" w:space="0"/>
              <w:right w:val="single" w:color="auto" w:sz="4" w:space="0"/>
            </w:tcBorders>
            <w:noWrap w:val="0"/>
            <w:vAlign w:val="center"/>
          </w:tcPr>
          <w:p w14:paraId="09DD84E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58A4ACC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1C7CA84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702" w:type="dxa"/>
            <w:tcBorders>
              <w:top w:val="nil"/>
              <w:left w:val="nil"/>
              <w:bottom w:val="single" w:color="auto" w:sz="4" w:space="0"/>
              <w:right w:val="single" w:color="auto" w:sz="4" w:space="0"/>
            </w:tcBorders>
            <w:noWrap w:val="0"/>
            <w:vAlign w:val="center"/>
          </w:tcPr>
          <w:p w14:paraId="07C6BD3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506F449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0674FCD9">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3BFDF1BF">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3F48732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66" w:type="dxa"/>
            <w:tcBorders>
              <w:top w:val="nil"/>
              <w:left w:val="nil"/>
              <w:bottom w:val="single" w:color="auto" w:sz="4" w:space="0"/>
              <w:right w:val="single" w:color="auto" w:sz="4" w:space="0"/>
            </w:tcBorders>
            <w:noWrap w:val="0"/>
            <w:vAlign w:val="center"/>
          </w:tcPr>
          <w:p w14:paraId="72986BE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046CFBB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702" w:type="dxa"/>
            <w:tcBorders>
              <w:top w:val="nil"/>
              <w:left w:val="nil"/>
              <w:bottom w:val="single" w:color="auto" w:sz="4" w:space="0"/>
              <w:right w:val="single" w:color="auto" w:sz="4" w:space="0"/>
            </w:tcBorders>
            <w:noWrap w:val="0"/>
            <w:vAlign w:val="center"/>
          </w:tcPr>
          <w:p w14:paraId="159C5B7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006956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14270708">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437C3003">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770" w:type="dxa"/>
            <w:tcBorders>
              <w:top w:val="nil"/>
              <w:left w:val="nil"/>
              <w:bottom w:val="single" w:color="auto" w:sz="4" w:space="0"/>
              <w:right w:val="single" w:color="auto" w:sz="4" w:space="0"/>
            </w:tcBorders>
            <w:noWrap w:val="0"/>
            <w:vAlign w:val="center"/>
          </w:tcPr>
          <w:p w14:paraId="1B634F6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0BA70EF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02FFBDE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702" w:type="dxa"/>
            <w:tcBorders>
              <w:top w:val="nil"/>
              <w:left w:val="nil"/>
              <w:bottom w:val="single" w:color="auto" w:sz="4" w:space="0"/>
              <w:right w:val="single" w:color="auto" w:sz="4" w:space="0"/>
            </w:tcBorders>
            <w:noWrap w:val="0"/>
            <w:vAlign w:val="center"/>
          </w:tcPr>
          <w:p w14:paraId="515DF9E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5184AFC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35AD0100">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5BC45781">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38FAEED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238BE1F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066C418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702" w:type="dxa"/>
            <w:tcBorders>
              <w:top w:val="nil"/>
              <w:left w:val="nil"/>
              <w:bottom w:val="single" w:color="auto" w:sz="4" w:space="0"/>
              <w:right w:val="single" w:color="auto" w:sz="4" w:space="0"/>
            </w:tcBorders>
            <w:noWrap w:val="0"/>
            <w:vAlign w:val="center"/>
          </w:tcPr>
          <w:p w14:paraId="5DBF8B7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46AB9D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49727182">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6D807191">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770" w:type="dxa"/>
            <w:tcBorders>
              <w:top w:val="nil"/>
              <w:left w:val="nil"/>
              <w:bottom w:val="single" w:color="auto" w:sz="4" w:space="0"/>
              <w:right w:val="single" w:color="auto" w:sz="4" w:space="0"/>
            </w:tcBorders>
            <w:noWrap w:val="0"/>
            <w:vAlign w:val="center"/>
          </w:tcPr>
          <w:p w14:paraId="55BEAD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717D3BB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5185632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702" w:type="dxa"/>
            <w:tcBorders>
              <w:top w:val="nil"/>
              <w:left w:val="nil"/>
              <w:bottom w:val="single" w:color="auto" w:sz="4" w:space="0"/>
              <w:right w:val="single" w:color="auto" w:sz="4" w:space="0"/>
            </w:tcBorders>
            <w:noWrap w:val="0"/>
            <w:vAlign w:val="center"/>
          </w:tcPr>
          <w:p w14:paraId="0AC007A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24EC14A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61A4B91">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6365F567">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4F0571C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63CE0F5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3014B48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noWrap w:val="0"/>
            <w:vAlign w:val="center"/>
          </w:tcPr>
          <w:p w14:paraId="0A987D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392D128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6992322">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37B58FA3">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770" w:type="dxa"/>
            <w:tcBorders>
              <w:top w:val="nil"/>
              <w:left w:val="nil"/>
              <w:bottom w:val="single" w:color="auto" w:sz="4" w:space="0"/>
              <w:right w:val="single" w:color="auto" w:sz="4" w:space="0"/>
            </w:tcBorders>
            <w:noWrap w:val="0"/>
            <w:vAlign w:val="center"/>
          </w:tcPr>
          <w:p w14:paraId="139282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6153725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3E195CC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6FE34E2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38C5CFB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B264F74">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2FED4181">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5F68CEB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1F6E23B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2BECBD6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702" w:type="dxa"/>
            <w:tcBorders>
              <w:top w:val="nil"/>
              <w:left w:val="nil"/>
              <w:bottom w:val="single" w:color="auto" w:sz="4" w:space="0"/>
              <w:right w:val="single" w:color="auto" w:sz="4" w:space="0"/>
            </w:tcBorders>
            <w:noWrap w:val="0"/>
            <w:vAlign w:val="center"/>
          </w:tcPr>
          <w:p w14:paraId="5A34C9B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38A9C68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60DF9030">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2B476D0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770" w:type="dxa"/>
            <w:tcBorders>
              <w:top w:val="nil"/>
              <w:left w:val="nil"/>
              <w:bottom w:val="single" w:color="auto" w:sz="4" w:space="0"/>
              <w:right w:val="single" w:color="auto" w:sz="4" w:space="0"/>
            </w:tcBorders>
            <w:noWrap w:val="0"/>
            <w:vAlign w:val="center"/>
          </w:tcPr>
          <w:p w14:paraId="10FFDA3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08F232E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480A400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702" w:type="dxa"/>
            <w:tcBorders>
              <w:top w:val="nil"/>
              <w:left w:val="nil"/>
              <w:bottom w:val="single" w:color="auto" w:sz="4" w:space="0"/>
              <w:right w:val="single" w:color="auto" w:sz="4" w:space="0"/>
            </w:tcBorders>
            <w:noWrap w:val="0"/>
            <w:vAlign w:val="center"/>
          </w:tcPr>
          <w:p w14:paraId="648CBA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4D6E07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9BE06EA">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30E721A6">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6694940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70983B0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271DBA5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702" w:type="dxa"/>
            <w:tcBorders>
              <w:top w:val="nil"/>
              <w:left w:val="nil"/>
              <w:bottom w:val="single" w:color="auto" w:sz="4" w:space="0"/>
              <w:right w:val="single" w:color="auto" w:sz="4" w:space="0"/>
            </w:tcBorders>
            <w:noWrap w:val="0"/>
            <w:vAlign w:val="center"/>
          </w:tcPr>
          <w:p w14:paraId="517A80C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05A3F42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DFCD0F3">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3B28AA3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770" w:type="dxa"/>
            <w:tcBorders>
              <w:top w:val="nil"/>
              <w:left w:val="nil"/>
              <w:bottom w:val="single" w:color="auto" w:sz="4" w:space="0"/>
              <w:right w:val="single" w:color="auto" w:sz="4" w:space="0"/>
            </w:tcBorders>
            <w:noWrap w:val="0"/>
            <w:vAlign w:val="center"/>
          </w:tcPr>
          <w:p w14:paraId="442E63E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321A255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733E77B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1E0AA7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34B863E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1CF1E5F">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1DD8B967">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6BBD5C9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2545F7E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1B3722C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702" w:type="dxa"/>
            <w:tcBorders>
              <w:top w:val="nil"/>
              <w:left w:val="nil"/>
              <w:bottom w:val="single" w:color="auto" w:sz="4" w:space="0"/>
              <w:right w:val="single" w:color="auto" w:sz="4" w:space="0"/>
            </w:tcBorders>
            <w:noWrap w:val="0"/>
            <w:vAlign w:val="center"/>
          </w:tcPr>
          <w:p w14:paraId="6A67B80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6D82D4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9BD953D">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7A16269F">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770" w:type="dxa"/>
            <w:tcBorders>
              <w:top w:val="nil"/>
              <w:left w:val="nil"/>
              <w:bottom w:val="single" w:color="auto" w:sz="4" w:space="0"/>
              <w:right w:val="single" w:color="auto" w:sz="4" w:space="0"/>
            </w:tcBorders>
            <w:noWrap w:val="0"/>
            <w:vAlign w:val="center"/>
          </w:tcPr>
          <w:p w14:paraId="25E0235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396A6BB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60CD9A9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331BFE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FA82DB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0C67F31">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6C0B43F5">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11DB064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19C9FEB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7432998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noWrap w:val="0"/>
            <w:vAlign w:val="center"/>
          </w:tcPr>
          <w:p w14:paraId="6DE27F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3262D6C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0720799">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02C7B5E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770" w:type="dxa"/>
            <w:tcBorders>
              <w:top w:val="nil"/>
              <w:left w:val="nil"/>
              <w:bottom w:val="single" w:color="auto" w:sz="4" w:space="0"/>
              <w:right w:val="single" w:color="auto" w:sz="4" w:space="0"/>
            </w:tcBorders>
            <w:noWrap w:val="0"/>
            <w:vAlign w:val="center"/>
          </w:tcPr>
          <w:p w14:paraId="1F5944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2441DE0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10C5D11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032F3B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28E6C1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184DFEB">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5E937CB8">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3C05907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2476EDB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32AB895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noWrap w:val="0"/>
            <w:vAlign w:val="center"/>
          </w:tcPr>
          <w:p w14:paraId="16DB9E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609345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F1C43D8">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34A47728">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770" w:type="dxa"/>
            <w:tcBorders>
              <w:top w:val="nil"/>
              <w:left w:val="nil"/>
              <w:bottom w:val="single" w:color="auto" w:sz="4" w:space="0"/>
              <w:right w:val="single" w:color="auto" w:sz="4" w:space="0"/>
            </w:tcBorders>
            <w:noWrap w:val="0"/>
            <w:vAlign w:val="center"/>
          </w:tcPr>
          <w:p w14:paraId="61F19B4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39C9985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5128928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702" w:type="dxa"/>
            <w:tcBorders>
              <w:top w:val="nil"/>
              <w:left w:val="nil"/>
              <w:bottom w:val="single" w:color="auto" w:sz="4" w:space="0"/>
              <w:right w:val="single" w:color="auto" w:sz="4" w:space="0"/>
            </w:tcBorders>
            <w:noWrap w:val="0"/>
            <w:vAlign w:val="center"/>
          </w:tcPr>
          <w:p w14:paraId="4956B92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1D9651F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EE722FE">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2E414841">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7F88CFF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37338A6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3AF1655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702" w:type="dxa"/>
            <w:tcBorders>
              <w:top w:val="nil"/>
              <w:left w:val="nil"/>
              <w:bottom w:val="single" w:color="auto" w:sz="4" w:space="0"/>
              <w:right w:val="single" w:color="auto" w:sz="4" w:space="0"/>
            </w:tcBorders>
            <w:noWrap w:val="0"/>
            <w:vAlign w:val="center"/>
          </w:tcPr>
          <w:p w14:paraId="4EDE289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28D51D8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84753D4">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28675260">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770" w:type="dxa"/>
            <w:tcBorders>
              <w:top w:val="nil"/>
              <w:left w:val="nil"/>
              <w:bottom w:val="single" w:color="auto" w:sz="4" w:space="0"/>
              <w:right w:val="single" w:color="auto" w:sz="4" w:space="0"/>
            </w:tcBorders>
            <w:noWrap w:val="0"/>
            <w:vAlign w:val="center"/>
          </w:tcPr>
          <w:p w14:paraId="3E3A11D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612745D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59AC361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7D13319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F672AF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65F3F21">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6378F232">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4B4B5E5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60046C9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7E7218E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702" w:type="dxa"/>
            <w:tcBorders>
              <w:top w:val="nil"/>
              <w:left w:val="nil"/>
              <w:bottom w:val="single" w:color="auto" w:sz="4" w:space="0"/>
              <w:right w:val="single" w:color="auto" w:sz="4" w:space="0"/>
            </w:tcBorders>
            <w:noWrap w:val="0"/>
            <w:vAlign w:val="center"/>
          </w:tcPr>
          <w:p w14:paraId="6262E1C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000DED4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4B6DA46C">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1E16FE83">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770" w:type="dxa"/>
            <w:tcBorders>
              <w:top w:val="nil"/>
              <w:left w:val="nil"/>
              <w:bottom w:val="single" w:color="auto" w:sz="4" w:space="0"/>
              <w:right w:val="single" w:color="auto" w:sz="4" w:space="0"/>
            </w:tcBorders>
            <w:noWrap w:val="0"/>
            <w:vAlign w:val="center"/>
          </w:tcPr>
          <w:p w14:paraId="7EC7FB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3BB4E56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6E7075C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702" w:type="dxa"/>
            <w:tcBorders>
              <w:top w:val="nil"/>
              <w:left w:val="nil"/>
              <w:bottom w:val="single" w:color="auto" w:sz="4" w:space="0"/>
              <w:right w:val="single" w:color="auto" w:sz="4" w:space="0"/>
            </w:tcBorders>
            <w:noWrap w:val="0"/>
            <w:vAlign w:val="center"/>
          </w:tcPr>
          <w:p w14:paraId="3A6C05C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32A83A9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7DC61CF7">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1E8F49A2">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294DC80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66" w:type="dxa"/>
            <w:tcBorders>
              <w:top w:val="nil"/>
              <w:left w:val="nil"/>
              <w:bottom w:val="single" w:color="auto" w:sz="4" w:space="0"/>
              <w:right w:val="single" w:color="auto" w:sz="4" w:space="0"/>
            </w:tcBorders>
            <w:noWrap w:val="0"/>
            <w:vAlign w:val="center"/>
          </w:tcPr>
          <w:p w14:paraId="3497A1D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34F6E49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702" w:type="dxa"/>
            <w:tcBorders>
              <w:top w:val="nil"/>
              <w:left w:val="nil"/>
              <w:bottom w:val="single" w:color="auto" w:sz="4" w:space="0"/>
              <w:right w:val="single" w:color="auto" w:sz="4" w:space="0"/>
            </w:tcBorders>
            <w:noWrap w:val="0"/>
            <w:vAlign w:val="center"/>
          </w:tcPr>
          <w:p w14:paraId="3A752D9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150FDC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33A9469F">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4A24F34D">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770" w:type="dxa"/>
            <w:tcBorders>
              <w:top w:val="nil"/>
              <w:left w:val="nil"/>
              <w:bottom w:val="single" w:color="auto" w:sz="4" w:space="0"/>
              <w:right w:val="single" w:color="auto" w:sz="4" w:space="0"/>
            </w:tcBorders>
            <w:noWrap w:val="0"/>
            <w:vAlign w:val="center"/>
          </w:tcPr>
          <w:p w14:paraId="26FD42B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1424FB5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158B8BD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0989ECB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601BF2A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07BD6083">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5E0078B1">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4AC5EA4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66" w:type="dxa"/>
            <w:tcBorders>
              <w:top w:val="nil"/>
              <w:left w:val="nil"/>
              <w:bottom w:val="single" w:color="auto" w:sz="4" w:space="0"/>
              <w:right w:val="single" w:color="auto" w:sz="4" w:space="0"/>
            </w:tcBorders>
            <w:noWrap w:val="0"/>
            <w:vAlign w:val="center"/>
          </w:tcPr>
          <w:p w14:paraId="6FDE9C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47BFE49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702" w:type="dxa"/>
            <w:tcBorders>
              <w:top w:val="nil"/>
              <w:left w:val="nil"/>
              <w:bottom w:val="single" w:color="auto" w:sz="4" w:space="0"/>
              <w:right w:val="single" w:color="auto" w:sz="4" w:space="0"/>
            </w:tcBorders>
            <w:noWrap w:val="0"/>
            <w:vAlign w:val="center"/>
          </w:tcPr>
          <w:p w14:paraId="30A6269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0613470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47EF1F48">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3A7FE22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770" w:type="dxa"/>
            <w:tcBorders>
              <w:top w:val="nil"/>
              <w:left w:val="nil"/>
              <w:bottom w:val="single" w:color="auto" w:sz="4" w:space="0"/>
              <w:right w:val="single" w:color="auto" w:sz="4" w:space="0"/>
            </w:tcBorders>
            <w:noWrap w:val="0"/>
            <w:vAlign w:val="center"/>
          </w:tcPr>
          <w:p w14:paraId="5F60824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7469E61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07C7ADB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256A983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F052D6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3E293FC">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39803C13">
            <w:pPr>
              <w:widowControl/>
              <w:jc w:val="left"/>
              <w:rPr>
                <w:rFonts w:hint="eastAsia" w:ascii="宋体" w:hAnsi="宋体" w:cs="宋体"/>
                <w:b/>
                <w:bCs/>
                <w:color w:val="auto"/>
                <w:kern w:val="0"/>
                <w:sz w:val="18"/>
                <w:szCs w:val="18"/>
                <w:highlight w:val="none"/>
              </w:rPr>
            </w:pPr>
          </w:p>
        </w:tc>
        <w:tc>
          <w:tcPr>
            <w:tcW w:w="1770" w:type="dxa"/>
            <w:tcBorders>
              <w:top w:val="nil"/>
              <w:left w:val="nil"/>
              <w:bottom w:val="single" w:color="auto" w:sz="4" w:space="0"/>
              <w:right w:val="single" w:color="auto" w:sz="4" w:space="0"/>
            </w:tcBorders>
            <w:noWrap w:val="0"/>
            <w:vAlign w:val="center"/>
          </w:tcPr>
          <w:p w14:paraId="10AC797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66" w:type="dxa"/>
            <w:tcBorders>
              <w:top w:val="nil"/>
              <w:left w:val="nil"/>
              <w:bottom w:val="single" w:color="auto" w:sz="4" w:space="0"/>
              <w:right w:val="single" w:color="auto" w:sz="4" w:space="0"/>
            </w:tcBorders>
            <w:noWrap w:val="0"/>
            <w:vAlign w:val="center"/>
          </w:tcPr>
          <w:p w14:paraId="26C4B18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49B7D1F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702" w:type="dxa"/>
            <w:tcBorders>
              <w:top w:val="nil"/>
              <w:left w:val="nil"/>
              <w:bottom w:val="single" w:color="auto" w:sz="4" w:space="0"/>
              <w:right w:val="single" w:color="auto" w:sz="4" w:space="0"/>
            </w:tcBorders>
            <w:noWrap w:val="0"/>
            <w:vAlign w:val="center"/>
          </w:tcPr>
          <w:p w14:paraId="4B68CA4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74BB2E0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A62AB05">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noWrap w:val="0"/>
            <w:vAlign w:val="bottom"/>
          </w:tcPr>
          <w:p w14:paraId="2FAFCF2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770" w:type="dxa"/>
            <w:tcBorders>
              <w:top w:val="nil"/>
              <w:left w:val="nil"/>
              <w:bottom w:val="single" w:color="auto" w:sz="4" w:space="0"/>
              <w:right w:val="single" w:color="auto" w:sz="4" w:space="0"/>
            </w:tcBorders>
            <w:noWrap w:val="0"/>
            <w:vAlign w:val="center"/>
          </w:tcPr>
          <w:p w14:paraId="5CCAAA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66" w:type="dxa"/>
            <w:tcBorders>
              <w:top w:val="nil"/>
              <w:left w:val="nil"/>
              <w:bottom w:val="single" w:color="auto" w:sz="4" w:space="0"/>
              <w:right w:val="single" w:color="auto" w:sz="4" w:space="0"/>
            </w:tcBorders>
            <w:noWrap w:val="0"/>
            <w:vAlign w:val="center"/>
          </w:tcPr>
          <w:p w14:paraId="557E70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45F16AA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29EEE74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20E6B0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5A7950D2">
      <w:pPr>
        <w:ind w:firstLine="525" w:firstLineChars="250"/>
        <w:rPr>
          <w:rFonts w:hint="eastAsia" w:ascii="宋体" w:hAnsi="宋体" w:cs="宋体"/>
          <w:color w:val="auto"/>
          <w:szCs w:val="21"/>
          <w:highlight w:val="none"/>
        </w:rPr>
      </w:pPr>
      <w:r>
        <w:rPr>
          <w:rFonts w:hint="eastAsia" w:ascii="宋体" w:hAnsi="宋体" w:cs="宋体"/>
          <w:color w:val="auto"/>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B8033F7">
      <w:pPr>
        <w:widowControl/>
        <w:jc w:val="left"/>
        <w:rPr>
          <w:rFonts w:hint="eastAsia" w:ascii="宋体" w:hAnsi="宋体" w:cs="宋体"/>
          <w:color w:val="auto"/>
          <w:kern w:val="0"/>
          <w:sz w:val="20"/>
          <w:szCs w:val="20"/>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docGrid w:type="lines" w:linePitch="331" w:charSpace="0"/>
        </w:sectPr>
      </w:pPr>
    </w:p>
    <w:p w14:paraId="1E416FF2">
      <w:pPr>
        <w:pStyle w:val="4"/>
        <w:spacing w:before="0" w:after="0" w:line="360" w:lineRule="auto"/>
        <w:jc w:val="center"/>
        <w:rPr>
          <w:rFonts w:hint="eastAsia" w:ascii="宋体" w:hAnsi="宋体" w:cs="宋体"/>
          <w:color w:val="auto"/>
          <w:highlight w:val="none"/>
        </w:rPr>
      </w:pPr>
      <w:bookmarkStart w:id="48" w:name="_Toc11561"/>
      <w:bookmarkEnd w:id="48"/>
      <w:bookmarkStart w:id="49" w:name="_Toc12883"/>
      <w:r>
        <w:rPr>
          <w:rFonts w:hint="eastAsia" w:ascii="宋体" w:hAnsi="宋体" w:cs="宋体"/>
          <w:color w:val="auto"/>
          <w:highlight w:val="none"/>
        </w:rPr>
        <w:t>第三章 供应商须知</w:t>
      </w:r>
      <w:bookmarkEnd w:id="49"/>
    </w:p>
    <w:p w14:paraId="30E83BC5">
      <w:pPr>
        <w:pStyle w:val="5"/>
        <w:spacing w:before="0" w:after="0" w:line="360" w:lineRule="auto"/>
        <w:jc w:val="center"/>
        <w:rPr>
          <w:rFonts w:hint="eastAsia" w:ascii="宋体" w:hAnsi="宋体" w:cs="宋体"/>
          <w:b w:val="0"/>
          <w:color w:val="auto"/>
          <w:highlight w:val="none"/>
        </w:rPr>
      </w:pPr>
      <w:bookmarkStart w:id="50" w:name="_Toc25061"/>
      <w:bookmarkEnd w:id="50"/>
      <w:bookmarkStart w:id="51" w:name="_Toc15099"/>
      <w:r>
        <w:rPr>
          <w:rFonts w:hint="eastAsia" w:ascii="宋体" w:hAnsi="宋体" w:cs="宋体"/>
          <w:b w:val="0"/>
          <w:color w:val="auto"/>
          <w:sz w:val="32"/>
          <w:szCs w:val="32"/>
          <w:highlight w:val="none"/>
        </w:rPr>
        <w:t>第一节 供应商须知前附表</w:t>
      </w:r>
      <w:bookmarkEnd w:id="51"/>
    </w:p>
    <w:p w14:paraId="259BA605">
      <w:pPr>
        <w:spacing w:line="4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 </w:t>
      </w:r>
    </w:p>
    <w:tbl>
      <w:tblPr>
        <w:tblStyle w:val="21"/>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
        <w:gridCol w:w="1682"/>
        <w:gridCol w:w="6629"/>
      </w:tblGrid>
      <w:tr w14:paraId="6BCE7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15F76567">
            <w:pPr>
              <w:spacing w:line="400" w:lineRule="exact"/>
              <w:jc w:val="center"/>
              <w:rPr>
                <w:rFonts w:hint="eastAsia" w:ascii="宋体" w:hAnsi="宋体" w:cs="宋体"/>
                <w:b/>
                <w:color w:val="auto"/>
                <w:szCs w:val="21"/>
                <w:highlight w:val="none"/>
              </w:rPr>
            </w:pPr>
            <w:r>
              <w:rPr>
                <w:rFonts w:hint="eastAsia" w:ascii="宋体" w:hAnsi="宋体" w:cs="宋体"/>
                <w:b/>
                <w:color w:val="auto"/>
                <w:highlight w:val="none"/>
              </w:rPr>
              <w:t>条款号</w:t>
            </w:r>
          </w:p>
        </w:tc>
        <w:tc>
          <w:tcPr>
            <w:tcW w:w="910" w:type="pct"/>
            <w:tcBorders>
              <w:top w:val="single" w:color="000000" w:sz="4" w:space="0"/>
              <w:left w:val="nil"/>
              <w:bottom w:val="single" w:color="000000" w:sz="4" w:space="0"/>
              <w:right w:val="single" w:color="000000" w:sz="4" w:space="0"/>
            </w:tcBorders>
            <w:noWrap w:val="0"/>
            <w:vAlign w:val="center"/>
          </w:tcPr>
          <w:p w14:paraId="4B4E1AF8">
            <w:pPr>
              <w:spacing w:line="400" w:lineRule="exact"/>
              <w:jc w:val="center"/>
              <w:rPr>
                <w:rFonts w:hint="eastAsia" w:ascii="宋体" w:hAnsi="宋体" w:cs="宋体"/>
                <w:b/>
                <w:color w:val="auto"/>
                <w:szCs w:val="21"/>
                <w:highlight w:val="none"/>
              </w:rPr>
            </w:pPr>
            <w:r>
              <w:rPr>
                <w:rFonts w:hint="eastAsia" w:ascii="宋体" w:hAnsi="宋体" w:cs="宋体"/>
                <w:b/>
                <w:color w:val="auto"/>
                <w:highlight w:val="none"/>
              </w:rPr>
              <w:t>条款内容</w:t>
            </w:r>
          </w:p>
        </w:tc>
        <w:tc>
          <w:tcPr>
            <w:tcW w:w="3586" w:type="pct"/>
            <w:tcBorders>
              <w:top w:val="single" w:color="000000" w:sz="4" w:space="0"/>
              <w:left w:val="nil"/>
              <w:bottom w:val="single" w:color="000000" w:sz="4" w:space="0"/>
              <w:right w:val="single" w:color="000000" w:sz="4" w:space="0"/>
            </w:tcBorders>
            <w:noWrap w:val="0"/>
            <w:vAlign w:val="center"/>
          </w:tcPr>
          <w:p w14:paraId="658B082A">
            <w:pPr>
              <w:spacing w:line="400" w:lineRule="exact"/>
              <w:jc w:val="center"/>
              <w:rPr>
                <w:rFonts w:hint="eastAsia" w:ascii="宋体" w:hAnsi="宋体" w:cs="宋体"/>
                <w:b/>
                <w:color w:val="auto"/>
                <w:szCs w:val="21"/>
                <w:highlight w:val="none"/>
              </w:rPr>
            </w:pPr>
            <w:r>
              <w:rPr>
                <w:rFonts w:hint="eastAsia" w:ascii="宋体" w:hAnsi="宋体" w:cs="宋体"/>
                <w:b/>
                <w:color w:val="auto"/>
                <w:highlight w:val="none"/>
              </w:rPr>
              <w:t>具体要求</w:t>
            </w:r>
          </w:p>
        </w:tc>
      </w:tr>
      <w:tr w14:paraId="4B9A5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191789B2">
            <w:pPr>
              <w:spacing w:line="400" w:lineRule="exact"/>
              <w:jc w:val="center"/>
              <w:rPr>
                <w:rFonts w:hint="eastAsia" w:ascii="宋体" w:hAnsi="宋体" w:cs="宋体"/>
                <w:b/>
                <w:color w:val="auto"/>
                <w:highlight w:val="none"/>
              </w:rPr>
            </w:pPr>
          </w:p>
        </w:tc>
        <w:tc>
          <w:tcPr>
            <w:tcW w:w="910" w:type="pct"/>
            <w:tcBorders>
              <w:top w:val="single" w:color="000000" w:sz="4" w:space="0"/>
              <w:left w:val="nil"/>
              <w:bottom w:val="single" w:color="000000" w:sz="4" w:space="0"/>
              <w:right w:val="single" w:color="000000" w:sz="4" w:space="0"/>
            </w:tcBorders>
            <w:noWrap w:val="0"/>
            <w:vAlign w:val="center"/>
          </w:tcPr>
          <w:p w14:paraId="52278013">
            <w:pPr>
              <w:snapToGrid w:val="0"/>
              <w:spacing w:line="420" w:lineRule="exact"/>
              <w:jc w:val="center"/>
              <w:rPr>
                <w:rFonts w:hint="eastAsia" w:ascii="宋体" w:hAnsi="宋体" w:cs="宋体"/>
                <w:b/>
                <w:color w:val="auto"/>
                <w:highlight w:val="none"/>
              </w:rPr>
            </w:pPr>
            <w:r>
              <w:rPr>
                <w:rFonts w:hint="eastAsia" w:ascii="宋体" w:hAnsi="宋体" w:cs="宋体"/>
                <w:color w:val="auto"/>
                <w:szCs w:val="21"/>
                <w:highlight w:val="none"/>
              </w:rPr>
              <w:t>项目名称及项目编号</w:t>
            </w:r>
          </w:p>
        </w:tc>
        <w:tc>
          <w:tcPr>
            <w:tcW w:w="3586" w:type="pct"/>
            <w:tcBorders>
              <w:top w:val="single" w:color="000000" w:sz="4" w:space="0"/>
              <w:left w:val="nil"/>
              <w:bottom w:val="single" w:color="000000" w:sz="4" w:space="0"/>
              <w:right w:val="single" w:color="000000" w:sz="4" w:space="0"/>
            </w:tcBorders>
            <w:noWrap w:val="0"/>
            <w:vAlign w:val="center"/>
          </w:tcPr>
          <w:p w14:paraId="22ED93FD">
            <w:pPr>
              <w:snapToGrid w:val="0"/>
              <w:spacing w:line="420" w:lineRule="exact"/>
              <w:rPr>
                <w:rFonts w:hint="eastAsia" w:ascii="宋体" w:hAnsi="宋体" w:cs="宋体"/>
                <w:color w:val="auto"/>
                <w:szCs w:val="21"/>
                <w:highlight w:val="none"/>
              </w:rPr>
            </w:pPr>
            <w:r>
              <w:rPr>
                <w:rFonts w:hint="eastAsia" w:ascii="宋体" w:hAnsi="宋体" w:cs="宋体"/>
                <w:color w:val="auto"/>
                <w:szCs w:val="21"/>
                <w:highlight w:val="none"/>
              </w:rPr>
              <w:t>项目名称：阳光城大唐檀境项目部分安置房源第三方检测服务</w:t>
            </w:r>
          </w:p>
          <w:p w14:paraId="2CD818D3">
            <w:pPr>
              <w:pStyle w:val="23"/>
              <w:rPr>
                <w:rFonts w:hint="eastAsia" w:ascii="宋体" w:hAnsi="宋体" w:cs="宋体"/>
                <w:b/>
                <w:color w:val="auto"/>
                <w:highlight w:val="none"/>
              </w:rPr>
            </w:pPr>
            <w:r>
              <w:rPr>
                <w:rFonts w:hint="eastAsia" w:ascii="宋体" w:hAnsi="宋体" w:cs="宋体"/>
                <w:color w:val="auto"/>
                <w:szCs w:val="21"/>
                <w:highlight w:val="none"/>
              </w:rPr>
              <w:t>项目编号：NNZC2026-C3-080079-GXSY</w:t>
            </w:r>
          </w:p>
        </w:tc>
      </w:tr>
      <w:tr w14:paraId="320F7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5BD29316">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3.1</w:t>
            </w:r>
          </w:p>
        </w:tc>
        <w:tc>
          <w:tcPr>
            <w:tcW w:w="910" w:type="pct"/>
            <w:tcBorders>
              <w:top w:val="single" w:color="000000" w:sz="4" w:space="0"/>
              <w:left w:val="nil"/>
              <w:bottom w:val="single" w:color="000000" w:sz="4" w:space="0"/>
              <w:right w:val="single" w:color="000000" w:sz="4" w:space="0"/>
            </w:tcBorders>
            <w:noWrap w:val="0"/>
            <w:vAlign w:val="center"/>
          </w:tcPr>
          <w:p w14:paraId="71F0AA78">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供应商资格条件</w:t>
            </w:r>
          </w:p>
        </w:tc>
        <w:tc>
          <w:tcPr>
            <w:tcW w:w="3586" w:type="pct"/>
            <w:tcBorders>
              <w:top w:val="single" w:color="000000" w:sz="4" w:space="0"/>
              <w:left w:val="nil"/>
              <w:bottom w:val="single" w:color="000000" w:sz="4" w:space="0"/>
              <w:right w:val="single" w:color="000000" w:sz="4" w:space="0"/>
            </w:tcBorders>
            <w:noWrap w:val="0"/>
            <w:vAlign w:val="center"/>
          </w:tcPr>
          <w:p w14:paraId="73BFC448">
            <w:pPr>
              <w:spacing w:line="400" w:lineRule="exact"/>
              <w:jc w:val="left"/>
              <w:rPr>
                <w:rFonts w:hint="eastAsia" w:ascii="宋体" w:hAnsi="宋体" w:cs="宋体"/>
                <w:color w:val="auto"/>
                <w:szCs w:val="21"/>
                <w:highlight w:val="none"/>
              </w:rPr>
            </w:pPr>
            <w:r>
              <w:rPr>
                <w:rFonts w:hint="eastAsia" w:ascii="宋体" w:hAnsi="宋体" w:cs="宋体"/>
                <w:color w:val="auto"/>
                <w:highlight w:val="none"/>
              </w:rPr>
              <w:t>供应商资格条件要求详见</w:t>
            </w:r>
            <w:r>
              <w:rPr>
                <w:rFonts w:hint="eastAsia" w:ascii="宋体" w:hAnsi="宋体" w:cs="宋体"/>
                <w:color w:val="auto"/>
                <w:highlight w:val="none"/>
                <w:lang w:val="en-US" w:eastAsia="zh-CN"/>
              </w:rPr>
              <w:t>竞争性磋商</w:t>
            </w:r>
            <w:r>
              <w:rPr>
                <w:rFonts w:hint="eastAsia" w:ascii="宋体" w:hAnsi="宋体" w:cs="宋体"/>
                <w:color w:val="auto"/>
                <w:highlight w:val="none"/>
              </w:rPr>
              <w:t>公告。</w:t>
            </w:r>
          </w:p>
        </w:tc>
      </w:tr>
      <w:tr w14:paraId="7B635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67D19DA4">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5.1</w:t>
            </w:r>
          </w:p>
        </w:tc>
        <w:tc>
          <w:tcPr>
            <w:tcW w:w="910" w:type="pct"/>
            <w:tcBorders>
              <w:top w:val="single" w:color="000000" w:sz="4" w:space="0"/>
              <w:left w:val="nil"/>
              <w:bottom w:val="single" w:color="000000" w:sz="4" w:space="0"/>
              <w:right w:val="single" w:color="000000" w:sz="4" w:space="0"/>
            </w:tcBorders>
            <w:noWrap w:val="0"/>
            <w:vAlign w:val="center"/>
          </w:tcPr>
          <w:p w14:paraId="198AD155">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是否接受联合体竞标</w:t>
            </w:r>
          </w:p>
        </w:tc>
        <w:tc>
          <w:tcPr>
            <w:tcW w:w="3586" w:type="pct"/>
            <w:tcBorders>
              <w:top w:val="single" w:color="000000" w:sz="4" w:space="0"/>
              <w:left w:val="nil"/>
              <w:bottom w:val="single" w:color="000000" w:sz="4" w:space="0"/>
              <w:right w:val="single" w:color="000000" w:sz="4" w:space="0"/>
            </w:tcBorders>
            <w:noWrap w:val="0"/>
            <w:vAlign w:val="center"/>
          </w:tcPr>
          <w:p w14:paraId="773BB235">
            <w:pPr>
              <w:pStyle w:val="10"/>
              <w:spacing w:line="400" w:lineRule="exact"/>
              <w:rPr>
                <w:rFonts w:ascii="宋体" w:hAnsi="宋体" w:cs="宋体"/>
                <w:b w:val="0"/>
                <w:bCs w:val="0"/>
                <w:color w:val="auto"/>
                <w:szCs w:val="21"/>
                <w:highlight w:val="none"/>
              </w:rPr>
            </w:pPr>
            <w:r>
              <w:rPr>
                <w:rFonts w:hint="eastAsia" w:ascii="宋体" w:hAnsi="宋体" w:cs="宋体"/>
                <w:b w:val="0"/>
                <w:bCs w:val="0"/>
                <w:color w:val="auto"/>
                <w:highlight w:val="none"/>
              </w:rPr>
              <w:t>□不允许联合体竞标</w:t>
            </w:r>
          </w:p>
          <w:p w14:paraId="6BC16BCC">
            <w:pPr>
              <w:spacing w:line="400" w:lineRule="exact"/>
              <w:jc w:val="left"/>
              <w:rPr>
                <w:rFonts w:hint="eastAsia" w:ascii="宋体" w:hAnsi="宋体" w:cs="宋体"/>
                <w:color w:val="auto"/>
                <w:szCs w:val="21"/>
                <w:highlight w:val="none"/>
              </w:rPr>
            </w:pPr>
            <w:r>
              <w:rPr>
                <w:rFonts w:hint="eastAsia" w:ascii="宋体" w:hAnsi="宋体" w:cs="宋体"/>
                <w:b w:val="0"/>
                <w:bCs w:val="0"/>
                <w:color w:val="auto"/>
                <w:highlight w:val="none"/>
              </w:rPr>
              <w:t>☑允许联合体竞标</w:t>
            </w:r>
          </w:p>
        </w:tc>
      </w:tr>
      <w:tr w14:paraId="5042A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4411D9B4">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5.2</w:t>
            </w:r>
          </w:p>
        </w:tc>
        <w:tc>
          <w:tcPr>
            <w:tcW w:w="910" w:type="pct"/>
            <w:tcBorders>
              <w:top w:val="single" w:color="000000" w:sz="4" w:space="0"/>
              <w:left w:val="nil"/>
              <w:bottom w:val="single" w:color="000000" w:sz="4" w:space="0"/>
              <w:right w:val="single" w:color="000000" w:sz="4" w:space="0"/>
            </w:tcBorders>
            <w:noWrap w:val="0"/>
            <w:vAlign w:val="center"/>
          </w:tcPr>
          <w:p w14:paraId="640A38B8">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联合体竞标要求</w:t>
            </w:r>
          </w:p>
        </w:tc>
        <w:tc>
          <w:tcPr>
            <w:tcW w:w="3586" w:type="pct"/>
            <w:tcBorders>
              <w:top w:val="single" w:color="000000" w:sz="4" w:space="0"/>
              <w:left w:val="nil"/>
              <w:bottom w:val="single" w:color="000000" w:sz="4" w:space="0"/>
              <w:right w:val="single" w:color="000000" w:sz="4" w:space="0"/>
            </w:tcBorders>
            <w:noWrap w:val="0"/>
            <w:vAlign w:val="center"/>
          </w:tcPr>
          <w:p w14:paraId="640697D7">
            <w:pPr>
              <w:pStyle w:val="10"/>
              <w:spacing w:line="360" w:lineRule="auto"/>
              <w:rPr>
                <w:rFonts w:hint="eastAsia" w:ascii="宋体" w:hAnsi="宋体" w:cs="宋体"/>
                <w:b/>
                <w:bCs/>
                <w:color w:val="auto"/>
                <w:szCs w:val="21"/>
                <w:highlight w:val="none"/>
              </w:rPr>
            </w:pPr>
            <w:r>
              <w:rPr>
                <w:rFonts w:hint="eastAsia" w:ascii="宋体" w:hAnsi="宋体" w:cs="宋体"/>
                <w:b/>
                <w:bCs/>
                <w:color w:val="auto"/>
                <w:highlight w:val="none"/>
              </w:rPr>
              <w:t>允许联合体竞标，</w:t>
            </w:r>
            <w:r>
              <w:rPr>
                <w:rFonts w:hint="eastAsia" w:ascii="宋体" w:hAnsi="宋体" w:cs="宋体"/>
                <w:b/>
                <w:bCs/>
                <w:color w:val="auto"/>
                <w:szCs w:val="21"/>
                <w:highlight w:val="none"/>
              </w:rPr>
              <w:t>联合体竞标要求如下：</w:t>
            </w:r>
          </w:p>
          <w:p w14:paraId="507F492D">
            <w:pPr>
              <w:widowControl/>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1.联合体竞标时，本项目仅接受两家供应商组成一个联合体参加竞标；联合体各方均必须具备《中华人民共和国政府采购法》第二十二条第一款规定的基本条件。</w:t>
            </w:r>
          </w:p>
          <w:p w14:paraId="60832DFA">
            <w:pPr>
              <w:widowControl/>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2.联合体竞标时，联合体各方之间必须签订《联合体协议书》，《联合体协议书》原件（全流程电子标的放入原件的清晰扫描件）放入响应文件中；否则联合体竞标无效。</w:t>
            </w:r>
          </w:p>
          <w:p w14:paraId="4E1995A0">
            <w:pPr>
              <w:widowControl/>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3.联合体协议必须明确主体方（或者牵头方）并明确约定联合体各方承担的具体工作分工内容和相应的责任；对应工作分工内容采购文件有特定资质要求的，联合体对应分工的成员必须满足资质要求，否则联合体竞标无效。</w:t>
            </w:r>
          </w:p>
          <w:p w14:paraId="61120743">
            <w:pPr>
              <w:widowControl/>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4.以联合体形式参加政府采购活动的，联合体各方不得再单独参加或者与其他投标人另外组成联合体参加同一合同项下的政府采购活动。</w:t>
            </w:r>
          </w:p>
          <w:p w14:paraId="6D9F86B3">
            <w:pPr>
              <w:pStyle w:val="10"/>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5.联合体中有同类资质的供应商按照联合体分工承担相同工作的，应当按照资质等级较低的供应商确定资质等级。</w:t>
            </w:r>
          </w:p>
          <w:p w14:paraId="2DA8DA0E">
            <w:pPr>
              <w:pStyle w:val="1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6.联合体竞标的联合体任何一方提供满足要求的业绩均为有效竞标业绩（采购文件另有规定的除外）。</w:t>
            </w:r>
          </w:p>
          <w:p w14:paraId="4C4FDAE4">
            <w:pPr>
              <w:pStyle w:val="1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7.供应商为联合体的，可以由联合体中的一方或者多方共同交纳竞标保证金，其交纳的保证金对联合体各方均具有约束力。</w:t>
            </w:r>
          </w:p>
          <w:p w14:paraId="36BA4014">
            <w:pPr>
              <w:pStyle w:val="1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8.联合体各方均应按照采购文件的规定提交资格证明文件。</w:t>
            </w:r>
          </w:p>
          <w:p w14:paraId="1CFADD95">
            <w:pPr>
              <w:pStyle w:val="1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9.联合体各方必须共同与采购人签订采购合同，就采购合同约定的事项对采购人承担连带责任。</w:t>
            </w:r>
          </w:p>
          <w:p w14:paraId="092BE8CD">
            <w:pPr>
              <w:rPr>
                <w:rFonts w:hint="eastAsia"/>
                <w:color w:val="auto"/>
                <w:highlight w:val="none"/>
              </w:rPr>
            </w:pPr>
          </w:p>
        </w:tc>
      </w:tr>
      <w:tr w14:paraId="55BC0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1DCC8274">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6.1</w:t>
            </w:r>
          </w:p>
        </w:tc>
        <w:tc>
          <w:tcPr>
            <w:tcW w:w="910" w:type="pct"/>
            <w:tcBorders>
              <w:top w:val="single" w:color="000000" w:sz="4" w:space="0"/>
              <w:left w:val="nil"/>
              <w:bottom w:val="single" w:color="000000" w:sz="4" w:space="0"/>
              <w:right w:val="single" w:color="000000" w:sz="4" w:space="0"/>
            </w:tcBorders>
            <w:noWrap w:val="0"/>
            <w:vAlign w:val="center"/>
          </w:tcPr>
          <w:p w14:paraId="03F353E0">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是否允许分包</w:t>
            </w:r>
          </w:p>
        </w:tc>
        <w:tc>
          <w:tcPr>
            <w:tcW w:w="3586" w:type="pct"/>
            <w:tcBorders>
              <w:top w:val="single" w:color="000000" w:sz="4" w:space="0"/>
              <w:left w:val="nil"/>
              <w:bottom w:val="single" w:color="000000" w:sz="4" w:space="0"/>
              <w:right w:val="single" w:color="000000" w:sz="4" w:space="0"/>
            </w:tcBorders>
            <w:noWrap w:val="0"/>
            <w:vAlign w:val="center"/>
          </w:tcPr>
          <w:p w14:paraId="57B7190E">
            <w:pPr>
              <w:pStyle w:val="10"/>
              <w:spacing w:line="400" w:lineRule="exact"/>
              <w:rPr>
                <w:rFonts w:hint="eastAsia" w:ascii="宋体" w:hAnsi="宋体" w:cs="宋体"/>
                <w:color w:val="auto"/>
                <w:szCs w:val="21"/>
                <w:highlight w:val="none"/>
              </w:rPr>
            </w:pPr>
            <w:r>
              <w:rPr>
                <w:rFonts w:hint="eastAsia" w:ascii="宋体" w:hAnsi="宋体" w:cs="宋体"/>
                <w:color w:val="auto"/>
                <w:highlight w:val="none"/>
              </w:rPr>
              <w:t>☑不允许分包</w:t>
            </w:r>
          </w:p>
          <w:p w14:paraId="2E05BF49">
            <w:pPr>
              <w:pStyle w:val="10"/>
              <w:spacing w:line="400" w:lineRule="exact"/>
              <w:rPr>
                <w:rFonts w:hint="eastAsia" w:ascii="宋体" w:hAnsi="宋体" w:cs="宋体"/>
                <w:color w:val="auto"/>
                <w:highlight w:val="none"/>
              </w:rPr>
            </w:pPr>
            <w:r>
              <w:rPr>
                <w:rFonts w:hint="eastAsia" w:ascii="宋体" w:hAnsi="宋体" w:cs="宋体"/>
                <w:color w:val="auto"/>
                <w:highlight w:val="none"/>
              </w:rPr>
              <w:t>□允许分包</w:t>
            </w:r>
          </w:p>
          <w:p w14:paraId="67F673F6">
            <w:pPr>
              <w:pStyle w:val="10"/>
              <w:spacing w:line="400" w:lineRule="exact"/>
              <w:rPr>
                <w:rFonts w:hint="eastAsia" w:ascii="宋体" w:hAnsi="宋体" w:cs="宋体"/>
                <w:color w:val="auto"/>
                <w:highlight w:val="none"/>
                <w:u w:val="single"/>
              </w:rPr>
            </w:pPr>
            <w:r>
              <w:rPr>
                <w:rFonts w:hint="eastAsia" w:ascii="宋体" w:hAnsi="宋体" w:cs="宋体"/>
                <w:color w:val="auto"/>
                <w:highlight w:val="none"/>
              </w:rPr>
              <w:t>分包内容：</w:t>
            </w:r>
            <w:r>
              <w:rPr>
                <w:rFonts w:hint="eastAsia" w:ascii="宋体" w:hAnsi="宋体" w:cs="宋体"/>
                <w:color w:val="auto"/>
                <w:highlight w:val="none"/>
                <w:u w:val="single"/>
              </w:rPr>
              <w:t xml:space="preserve">             </w:t>
            </w:r>
          </w:p>
          <w:p w14:paraId="5514A8BE">
            <w:pPr>
              <w:pStyle w:val="10"/>
              <w:spacing w:line="400" w:lineRule="exact"/>
              <w:rPr>
                <w:rFonts w:hint="eastAsia" w:ascii="宋体" w:hAnsi="宋体" w:cs="宋体"/>
                <w:color w:val="auto"/>
                <w:highlight w:val="none"/>
              </w:rPr>
            </w:pPr>
            <w:r>
              <w:rPr>
                <w:rFonts w:hint="eastAsia" w:ascii="宋体" w:hAnsi="宋体" w:cs="宋体"/>
                <w:color w:val="auto"/>
                <w:highlight w:val="none"/>
              </w:rPr>
              <w:t>分包金额或者比例：</w:t>
            </w:r>
            <w:r>
              <w:rPr>
                <w:rFonts w:hint="eastAsia" w:ascii="宋体" w:hAnsi="宋体" w:cs="宋体"/>
                <w:color w:val="auto"/>
                <w:highlight w:val="none"/>
                <w:u w:val="single"/>
              </w:rPr>
              <w:t xml:space="preserve">                </w:t>
            </w:r>
          </w:p>
        </w:tc>
      </w:tr>
      <w:tr w14:paraId="623FA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45" w:hRule="atLeast"/>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0C0B7A3B">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12.1.1</w:t>
            </w:r>
          </w:p>
        </w:tc>
        <w:tc>
          <w:tcPr>
            <w:tcW w:w="910" w:type="pct"/>
            <w:tcBorders>
              <w:top w:val="single" w:color="000000" w:sz="4" w:space="0"/>
              <w:left w:val="nil"/>
              <w:bottom w:val="single" w:color="000000" w:sz="4" w:space="0"/>
              <w:right w:val="single" w:color="000000" w:sz="4" w:space="0"/>
            </w:tcBorders>
            <w:noWrap w:val="0"/>
            <w:vAlign w:val="center"/>
          </w:tcPr>
          <w:p w14:paraId="34C0EC04">
            <w:pPr>
              <w:snapToGrid w:val="0"/>
              <w:spacing w:line="400" w:lineRule="exact"/>
              <w:jc w:val="center"/>
              <w:rPr>
                <w:rFonts w:hint="eastAsia" w:ascii="宋体" w:hAnsi="宋体" w:cs="宋体"/>
                <w:b/>
                <w:color w:val="auto"/>
                <w:szCs w:val="21"/>
                <w:highlight w:val="none"/>
              </w:rPr>
            </w:pPr>
            <w:r>
              <w:rPr>
                <w:rFonts w:hint="eastAsia" w:ascii="宋体" w:hAnsi="宋体" w:cs="宋体"/>
                <w:b/>
                <w:color w:val="auto"/>
                <w:highlight w:val="none"/>
              </w:rPr>
              <w:t>资格证明文件组成</w:t>
            </w:r>
          </w:p>
          <w:p w14:paraId="2C788156">
            <w:pPr>
              <w:spacing w:line="400" w:lineRule="exact"/>
              <w:jc w:val="center"/>
              <w:rPr>
                <w:rFonts w:hint="eastAsia" w:ascii="宋体" w:hAnsi="宋体" w:cs="宋体"/>
                <w:color w:val="auto"/>
                <w:szCs w:val="21"/>
                <w:highlight w:val="none"/>
              </w:rPr>
            </w:pPr>
          </w:p>
        </w:tc>
        <w:tc>
          <w:tcPr>
            <w:tcW w:w="3586" w:type="pct"/>
            <w:tcBorders>
              <w:top w:val="single" w:color="000000" w:sz="4" w:space="0"/>
              <w:left w:val="nil"/>
              <w:bottom w:val="single" w:color="000000" w:sz="4" w:space="0"/>
              <w:right w:val="single" w:color="000000" w:sz="4" w:space="0"/>
            </w:tcBorders>
            <w:noWrap w:val="0"/>
            <w:vAlign w:val="center"/>
          </w:tcPr>
          <w:p w14:paraId="7EF20C81">
            <w:pPr>
              <w:snapToGrid w:val="0"/>
              <w:ind w:firstLine="420" w:firstLineChars="200"/>
              <w:rPr>
                <w:rFonts w:hint="eastAsia" w:ascii="宋体" w:hAnsi="宋体" w:cs="宋体"/>
                <w:color w:val="auto"/>
                <w:highlight w:val="none"/>
              </w:rPr>
            </w:pPr>
            <w:r>
              <w:rPr>
                <w:rFonts w:hint="eastAsia" w:ascii="宋体" w:hAnsi="宋体" w:cs="宋体"/>
                <w:color w:val="auto"/>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6B81E1FC">
            <w:pPr>
              <w:snapToGrid w:val="0"/>
              <w:spacing w:line="40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.供应商依法缴纳税收的相关材料：</w:t>
            </w:r>
            <w:r>
              <w:rPr>
                <w:rFonts w:hint="eastAsia" w:ascii="宋体" w:hAnsi="宋体" w:cs="宋体"/>
                <w:color w:val="auto"/>
                <w:highlight w:val="none"/>
                <w:lang w:eastAsia="zh-CN"/>
              </w:rPr>
              <w:t>[2026年3月至2026年9月]期间任意连续 3 个月</w:t>
            </w:r>
            <w:r>
              <w:rPr>
                <w:rFonts w:hint="eastAsia" w:ascii="宋体" w:hAnsi="宋体" w:cs="宋体"/>
                <w:color w:val="auto"/>
                <w:highlight w:val="none"/>
              </w:rPr>
              <w:t>的依法缴纳税收的凭据复印件；依法免税的供应商，必须提供相应文件证明其依法免税。从取得营业执照时间起到</w:t>
            </w:r>
            <w:r>
              <w:rPr>
                <w:rFonts w:hint="eastAsia" w:ascii="宋体" w:hAnsi="宋体" w:cs="宋体"/>
                <w:color w:val="auto"/>
                <w:highlight w:val="none"/>
                <w:lang w:eastAsia="zh-CN"/>
              </w:rPr>
              <w:t>响应文件</w:t>
            </w:r>
            <w:r>
              <w:rPr>
                <w:rFonts w:hint="eastAsia" w:ascii="宋体" w:hAnsi="宋体" w:cs="宋体"/>
                <w:color w:val="auto"/>
                <w:highlight w:val="none"/>
              </w:rPr>
              <w:t>提交截止时间为止不足要求月数的，只需提供从取得营业执照起的依法缴纳税收相应证明文件；（</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70D4DF6E">
            <w:pPr>
              <w:snapToGrid w:val="0"/>
              <w:spacing w:line="40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lang w:val="en-US" w:eastAsia="zh-CN"/>
              </w:rPr>
              <w:t>3</w:t>
            </w:r>
            <w:r>
              <w:rPr>
                <w:rFonts w:hint="eastAsia" w:ascii="宋体" w:hAnsi="宋体" w:cs="宋体"/>
                <w:color w:val="auto"/>
                <w:highlight w:val="none"/>
              </w:rPr>
              <w:t>.供应商依法缴纳社会保障资金的相关材料：</w:t>
            </w:r>
            <w:r>
              <w:rPr>
                <w:rFonts w:hint="eastAsia" w:ascii="宋体" w:hAnsi="宋体" w:cs="宋体"/>
                <w:color w:val="auto"/>
                <w:highlight w:val="none"/>
                <w:lang w:eastAsia="zh-CN"/>
              </w:rPr>
              <w:t>[2026年3月至2026年9月]期间任意连续 3 个月</w:t>
            </w:r>
            <w:r>
              <w:rPr>
                <w:rFonts w:hint="eastAsia" w:ascii="宋体" w:hAnsi="宋体" w:cs="宋体"/>
                <w:color w:val="auto"/>
                <w:highlight w:val="none"/>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57833112">
            <w:pPr>
              <w:snapToGrid w:val="0"/>
              <w:spacing w:line="40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.供应商财务状况报告：提供</w:t>
            </w:r>
            <w:r>
              <w:rPr>
                <w:rFonts w:hint="eastAsia" w:ascii="宋体" w:hAnsi="宋体" w:cs="宋体"/>
                <w:color w:val="auto"/>
                <w:highlight w:val="none"/>
                <w:u w:val="single"/>
              </w:rPr>
              <w:t>2025年度</w:t>
            </w:r>
            <w:r>
              <w:rPr>
                <w:rFonts w:hint="eastAsia" w:ascii="宋体" w:hAnsi="宋体" w:cs="宋体"/>
                <w:color w:val="auto"/>
                <w:highlight w:val="none"/>
              </w:rPr>
              <w:t>财务状况报告复印件；供应商成立不满一年的应按提供首次响应文件提交截止时间上一个月的财务状况报告复印件。【上述财务状况报告包括：①供应商执行《企业会计准则》的，提供资产负债表、利润表、现金流量表、所有者权益变动表（如有）、附注，以下称“四/三表一注”；②供应商执行《小企业会计准则》的，提供资产负债表、利润表、现金流量表、附注，以下称“三表一注”；③供应商执行《政府会计制度》的，提供资产负债表、收入费用表和净资产变动表、附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5F1DC4F8">
            <w:pPr>
              <w:snapToGrid w:val="0"/>
              <w:spacing w:line="40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lang w:val="en-US" w:eastAsia="zh-CN"/>
              </w:rPr>
              <w:t>5</w:t>
            </w:r>
            <w:r>
              <w:rPr>
                <w:rFonts w:hint="eastAsia" w:ascii="宋体" w:hAnsi="宋体" w:cs="宋体"/>
                <w:color w:val="auto"/>
                <w:highlight w:val="none"/>
              </w:rPr>
              <w:t>.供应商直接控股、管理关系信息表；（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193FEC4D">
            <w:pPr>
              <w:snapToGrid w:val="0"/>
              <w:spacing w:line="40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.资格声明；（</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744082E9">
            <w:pPr>
              <w:snapToGrid w:val="0"/>
              <w:spacing w:line="400" w:lineRule="exact"/>
              <w:ind w:firstLine="420" w:firstLineChars="200"/>
              <w:jc w:val="left"/>
              <w:rPr>
                <w:rFonts w:hint="eastAsia" w:ascii="宋体" w:hAnsi="宋体" w:cs="宋体"/>
                <w:color w:val="auto"/>
                <w:highlight w:val="none"/>
                <w:lang w:val="en-US" w:eastAsia="zh-CN"/>
              </w:rPr>
            </w:pPr>
            <w:r>
              <w:rPr>
                <w:rFonts w:hint="eastAsia" w:ascii="宋体" w:hAnsi="宋体" w:cs="宋体"/>
                <w:b w:val="0"/>
                <w:bCs w:val="0"/>
                <w:color w:val="auto"/>
                <w:highlight w:val="none"/>
                <w:lang w:val="en-US" w:eastAsia="zh-CN"/>
              </w:rPr>
              <w:t>7</w:t>
            </w:r>
            <w:r>
              <w:rPr>
                <w:rFonts w:hint="eastAsia" w:ascii="宋体" w:hAnsi="宋体" w:cs="宋体"/>
                <w:b w:val="0"/>
                <w:bCs w:val="0"/>
                <w:color w:val="auto"/>
                <w:highlight w:val="none"/>
              </w:rPr>
              <w:t>.本项目的特定资格要求</w:t>
            </w:r>
            <w:r>
              <w:rPr>
                <w:rFonts w:hint="eastAsia" w:ascii="宋体" w:hAnsi="宋体" w:cs="宋体"/>
                <w:b w:val="0"/>
                <w:bCs w:val="0"/>
                <w:color w:val="auto"/>
                <w:highlight w:val="none"/>
                <w:lang w:eastAsia="zh-CN"/>
              </w:rPr>
              <w:t>：</w:t>
            </w:r>
            <w:r>
              <w:rPr>
                <w:rFonts w:hint="eastAsia" w:ascii="宋体" w:hAnsi="宋体"/>
                <w:b w:val="0"/>
                <w:bCs w:val="0"/>
                <w:color w:val="auto"/>
                <w:sz w:val="21"/>
                <w:szCs w:val="21"/>
                <w:highlight w:val="none"/>
              </w:rPr>
              <w:t>根据</w:t>
            </w:r>
            <w:r>
              <w:rPr>
                <w:rFonts w:hint="eastAsia" w:ascii="宋体" w:hAnsi="宋体"/>
                <w:b w:val="0"/>
                <w:bCs w:val="0"/>
                <w:color w:val="auto"/>
                <w:sz w:val="21"/>
                <w:szCs w:val="21"/>
                <w:highlight w:val="none"/>
                <w:lang w:eastAsia="zh-CN"/>
              </w:rPr>
              <w:t>《建设工程质量检测机构资质标准》（建质规〔2023〕1号）、</w:t>
            </w:r>
            <w:r>
              <w:rPr>
                <w:rFonts w:hint="eastAsia" w:ascii="宋体" w:hAnsi="宋体"/>
                <w:b w:val="0"/>
                <w:bCs w:val="0"/>
                <w:color w:val="auto"/>
                <w:sz w:val="21"/>
                <w:szCs w:val="21"/>
                <w:highlight w:val="none"/>
              </w:rPr>
              <w:t>《自治区住房城乡建设厅关于规范我区房屋安全鉴定管理有关工作的通知》（桂建发〔2022〕8号）文件，</w:t>
            </w:r>
            <w:r>
              <w:rPr>
                <w:rFonts w:hint="eastAsia" w:ascii="宋体" w:hAnsi="宋体" w:cs="宋体"/>
                <w:b w:val="0"/>
                <w:bCs w:val="0"/>
                <w:color w:val="auto"/>
                <w:sz w:val="21"/>
                <w:szCs w:val="21"/>
                <w:highlight w:val="none"/>
              </w:rPr>
              <w:t>供应商（联合体）</w:t>
            </w:r>
            <w:r>
              <w:rPr>
                <w:rFonts w:hint="eastAsia" w:ascii="宋体" w:hAnsi="宋体"/>
                <w:b w:val="0"/>
                <w:bCs w:val="0"/>
                <w:color w:val="auto"/>
                <w:sz w:val="21"/>
                <w:szCs w:val="21"/>
                <w:highlight w:val="none"/>
              </w:rPr>
              <w:t>应满足以下要求之一：（1）同时具有</w:t>
            </w:r>
            <w:r>
              <w:rPr>
                <w:rFonts w:hint="eastAsia" w:ascii="宋体" w:hAnsi="宋体"/>
                <w:b w:val="0"/>
                <w:bCs w:val="0"/>
                <w:color w:val="auto"/>
                <w:sz w:val="21"/>
                <w:szCs w:val="21"/>
                <w:highlight w:val="none"/>
                <w:lang w:eastAsia="zh-CN"/>
              </w:rPr>
              <w:t>工程设计建筑行业（或建筑工程专业）</w:t>
            </w:r>
            <w:r>
              <w:rPr>
                <w:rFonts w:hint="eastAsia" w:ascii="宋体" w:hAnsi="宋体"/>
                <w:b w:val="0"/>
                <w:bCs w:val="0"/>
                <w:color w:val="auto"/>
                <w:sz w:val="21"/>
                <w:szCs w:val="21"/>
                <w:highlight w:val="none"/>
              </w:rPr>
              <w:t>甲级资质（或工程设计综合资质）和检测</w:t>
            </w:r>
            <w:r>
              <w:rPr>
                <w:rFonts w:hint="eastAsia" w:ascii="宋体" w:hAnsi="宋体"/>
                <w:b w:val="0"/>
                <w:bCs w:val="0"/>
                <w:color w:val="auto"/>
                <w:sz w:val="21"/>
                <w:szCs w:val="21"/>
                <w:highlight w:val="none"/>
                <w:lang w:val="en-US" w:eastAsia="zh-CN"/>
              </w:rPr>
              <w:t>机构</w:t>
            </w:r>
            <w:r>
              <w:rPr>
                <w:rFonts w:hint="eastAsia" w:ascii="宋体" w:hAnsi="宋体"/>
                <w:b w:val="0"/>
                <w:bCs w:val="0"/>
                <w:color w:val="auto"/>
                <w:sz w:val="21"/>
                <w:szCs w:val="21"/>
                <w:highlight w:val="none"/>
              </w:rPr>
              <w:t>资质</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综合资质或者</w:t>
            </w:r>
            <w:r>
              <w:rPr>
                <w:rFonts w:hint="eastAsia" w:ascii="宋体" w:hAnsi="宋体" w:eastAsia="宋体" w:cs="Times New Roman"/>
                <w:b w:val="0"/>
                <w:bCs w:val="0"/>
                <w:color w:val="auto"/>
                <w:sz w:val="21"/>
                <w:szCs w:val="21"/>
                <w:highlight w:val="none"/>
                <w:lang w:val="en-US" w:eastAsia="zh-CN"/>
              </w:rPr>
              <w:t>专项资质（专项内容包括建筑材料及构配件、主体结构及装饰装修、地基基础、建筑节能）</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rPr>
              <w:t>。（2）单独具有</w:t>
            </w:r>
            <w:r>
              <w:rPr>
                <w:rFonts w:hint="eastAsia" w:ascii="宋体" w:hAnsi="宋体"/>
                <w:b w:val="0"/>
                <w:bCs w:val="0"/>
                <w:color w:val="auto"/>
                <w:sz w:val="21"/>
                <w:szCs w:val="21"/>
                <w:highlight w:val="none"/>
                <w:lang w:eastAsia="zh-CN"/>
              </w:rPr>
              <w:t>工程设计建筑行业（或建筑工程专业）</w:t>
            </w:r>
            <w:r>
              <w:rPr>
                <w:rFonts w:hint="eastAsia" w:ascii="宋体" w:hAnsi="宋体"/>
                <w:b w:val="0"/>
                <w:bCs w:val="0"/>
                <w:color w:val="auto"/>
                <w:sz w:val="21"/>
                <w:szCs w:val="21"/>
                <w:highlight w:val="none"/>
              </w:rPr>
              <w:t>甲级资质（或工程设计综合资质）或单独具有检测</w:t>
            </w:r>
            <w:r>
              <w:rPr>
                <w:rFonts w:hint="eastAsia" w:ascii="宋体" w:hAnsi="宋体"/>
                <w:b w:val="0"/>
                <w:bCs w:val="0"/>
                <w:color w:val="auto"/>
                <w:sz w:val="21"/>
                <w:szCs w:val="21"/>
                <w:highlight w:val="none"/>
                <w:lang w:val="en-US" w:eastAsia="zh-CN"/>
              </w:rPr>
              <w:t>机构</w:t>
            </w:r>
            <w:r>
              <w:rPr>
                <w:rFonts w:hint="eastAsia" w:ascii="宋体" w:hAnsi="宋体"/>
                <w:b w:val="0"/>
                <w:bCs w:val="0"/>
                <w:color w:val="auto"/>
                <w:sz w:val="21"/>
                <w:szCs w:val="21"/>
                <w:highlight w:val="none"/>
              </w:rPr>
              <w:t>资质</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综合资质或者</w:t>
            </w:r>
            <w:r>
              <w:rPr>
                <w:rFonts w:hint="eastAsia" w:ascii="宋体" w:hAnsi="宋体" w:eastAsia="宋体" w:cs="Times New Roman"/>
                <w:b w:val="0"/>
                <w:bCs w:val="0"/>
                <w:color w:val="auto"/>
                <w:sz w:val="21"/>
                <w:szCs w:val="21"/>
                <w:highlight w:val="none"/>
                <w:lang w:val="en-US" w:eastAsia="zh-CN"/>
              </w:rPr>
              <w:t>专项资质（专项内容包括建筑材料及构配件、主体结构及装饰装修、地基基础、建筑节能）</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rPr>
              <w:t>的房屋安全鉴定机构，可组成联合体开展房屋安全鉴定业务，并签订联合体协议，明确联合体牵头单位和双方责任。提供</w:t>
            </w:r>
            <w:r>
              <w:rPr>
                <w:rFonts w:hint="eastAsia" w:ascii="宋体" w:hAnsi="宋体" w:cs="宋体"/>
                <w:b w:val="0"/>
                <w:bCs w:val="0"/>
                <w:color w:val="auto"/>
                <w:sz w:val="21"/>
                <w:szCs w:val="21"/>
                <w:highlight w:val="none"/>
              </w:rPr>
              <w:t>供应商（联合体）的省级及以上建设行政主管部门颁发的工程设计资质证书（复印件）、省级及以上</w:t>
            </w:r>
            <w:r>
              <w:rPr>
                <w:rFonts w:hint="eastAsia" w:ascii="宋体" w:hAnsi="宋体" w:cs="宋体"/>
                <w:b w:val="0"/>
                <w:bCs w:val="0"/>
                <w:color w:val="auto"/>
                <w:sz w:val="21"/>
                <w:szCs w:val="21"/>
                <w:highlight w:val="none"/>
                <w:lang w:val="en-US" w:eastAsia="zh-CN"/>
              </w:rPr>
              <w:t>建设行政主管</w:t>
            </w:r>
            <w:r>
              <w:rPr>
                <w:rFonts w:hint="eastAsia" w:ascii="宋体" w:hAnsi="宋体" w:cs="宋体"/>
                <w:b w:val="0"/>
                <w:bCs w:val="0"/>
                <w:color w:val="auto"/>
                <w:sz w:val="21"/>
                <w:szCs w:val="21"/>
                <w:highlight w:val="none"/>
              </w:rPr>
              <w:t>部门颁发的</w:t>
            </w:r>
            <w:r>
              <w:rPr>
                <w:rFonts w:hint="eastAsia" w:ascii="宋体" w:hAnsi="宋体" w:eastAsia="宋体" w:cs="宋体"/>
                <w:b w:val="0"/>
                <w:bCs w:val="0"/>
                <w:color w:val="auto"/>
                <w:sz w:val="21"/>
                <w:szCs w:val="21"/>
                <w:highlight w:val="none"/>
                <w:lang w:val="en-US" w:eastAsia="zh-CN"/>
              </w:rPr>
              <w:t>建设工程质量检测机构资质证书</w:t>
            </w:r>
            <w:r>
              <w:rPr>
                <w:rFonts w:hint="eastAsia" w:ascii="宋体" w:hAnsi="宋体" w:cs="宋体"/>
                <w:b w:val="0"/>
                <w:bCs w:val="0"/>
                <w:color w:val="auto"/>
                <w:sz w:val="21"/>
                <w:szCs w:val="21"/>
                <w:highlight w:val="none"/>
              </w:rPr>
              <w:t>（复印件）</w:t>
            </w:r>
            <w:r>
              <w:rPr>
                <w:rFonts w:hint="eastAsia" w:ascii="宋体" w:hAnsi="宋体" w:cs="宋体"/>
                <w:b w:val="0"/>
                <w:bCs w:val="0"/>
                <w:color w:val="auto"/>
                <w:highlight w:val="none"/>
                <w:lang w:eastAsia="zh-CN"/>
              </w:rPr>
              <w:t>；</w:t>
            </w:r>
            <w:r>
              <w:rPr>
                <w:rFonts w:hint="eastAsia" w:ascii="宋体" w:hAnsi="宋体" w:cs="宋体"/>
                <w:color w:val="auto"/>
                <w:highlight w:val="none"/>
              </w:rPr>
              <w:t>（</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5BF2BB27">
            <w:pPr>
              <w:snapToGrid w:val="0"/>
              <w:spacing w:line="400" w:lineRule="exact"/>
              <w:ind w:firstLine="420" w:firstLineChars="200"/>
              <w:jc w:val="left"/>
              <w:rPr>
                <w:rFonts w:hint="eastAsia" w:ascii="宋体" w:hAnsi="宋体" w:cs="宋体"/>
                <w:b/>
                <w:bCs/>
                <w:color w:val="auto"/>
                <w:highlight w:val="none"/>
              </w:rPr>
            </w:pPr>
            <w:r>
              <w:rPr>
                <w:rFonts w:hint="eastAsia" w:ascii="宋体" w:hAnsi="宋体" w:cs="宋体"/>
                <w:color w:val="auto"/>
                <w:highlight w:val="none"/>
                <w:lang w:val="en-US" w:eastAsia="zh-CN"/>
              </w:rPr>
              <w:t>8</w:t>
            </w:r>
            <w:r>
              <w:rPr>
                <w:rFonts w:hint="eastAsia" w:ascii="宋体" w:hAnsi="宋体" w:cs="宋体"/>
                <w:color w:val="auto"/>
                <w:highlight w:val="none"/>
              </w:rPr>
              <w:t>.联合体协议书（格式后附）（以联合体形式参与竞标的，联合体协议书的要求必须符合本须知前附表的“5.2</w:t>
            </w:r>
            <w:r>
              <w:rPr>
                <w:rFonts w:hint="eastAsia" w:ascii="宋体" w:hAnsi="宋体" w:cs="宋体"/>
                <w:color w:val="auto"/>
                <w:highlight w:val="none"/>
              </w:rPr>
              <w:tab/>
            </w:r>
            <w:r>
              <w:rPr>
                <w:rFonts w:hint="eastAsia" w:ascii="宋体" w:hAnsi="宋体" w:cs="宋体"/>
                <w:color w:val="auto"/>
                <w:highlight w:val="none"/>
              </w:rPr>
              <w:t>联合体竞标要求”）；</w:t>
            </w:r>
            <w:r>
              <w:rPr>
                <w:rFonts w:hint="eastAsia" w:ascii="宋体" w:hAnsi="宋体" w:cs="宋体"/>
                <w:b/>
                <w:bCs/>
                <w:color w:val="auto"/>
                <w:highlight w:val="none"/>
              </w:rPr>
              <w:t>（以联合体竞标时，必须提供，否则响应文件按无效响应处理）</w:t>
            </w:r>
          </w:p>
          <w:p w14:paraId="0ADFB4C9">
            <w:pPr>
              <w:snapToGrid w:val="0"/>
              <w:spacing w:line="40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9.除磋商文件规定必须提供以外，供应商认为需要提供的其他证明材料；</w:t>
            </w:r>
          </w:p>
          <w:p w14:paraId="48C7CED9">
            <w:pPr>
              <w:snapToGrid w:val="0"/>
              <w:spacing w:line="400" w:lineRule="exact"/>
              <w:ind w:firstLine="422" w:firstLineChars="200"/>
              <w:jc w:val="left"/>
              <w:rPr>
                <w:rFonts w:hint="eastAsia" w:ascii="宋体" w:hAnsi="宋体" w:cs="宋体"/>
                <w:b/>
                <w:color w:val="auto"/>
                <w:highlight w:val="none"/>
              </w:rPr>
            </w:pPr>
            <w:r>
              <w:rPr>
                <w:rFonts w:hint="eastAsia" w:ascii="宋体" w:hAnsi="宋体" w:cs="宋体"/>
                <w:b/>
                <w:color w:val="auto"/>
                <w:highlight w:val="none"/>
              </w:rPr>
              <w:t>注：</w:t>
            </w:r>
            <w:r>
              <w:rPr>
                <w:rFonts w:hint="eastAsia" w:ascii="宋体" w:hAnsi="宋体" w:cs="宋体"/>
                <w:b/>
                <w:color w:val="auto"/>
                <w:highlight w:val="none"/>
                <w:lang w:val="en-US" w:eastAsia="zh-CN"/>
              </w:rPr>
              <w:t>1.</w:t>
            </w:r>
            <w:r>
              <w:rPr>
                <w:rFonts w:hint="eastAsia" w:ascii="宋体" w:hAnsi="宋体" w:cs="宋体"/>
                <w:b/>
                <w:color w:val="auto"/>
                <w:highlight w:val="none"/>
              </w:rPr>
              <w:t>以上标明“必须提供”的材料属于复印件</w:t>
            </w:r>
            <w:r>
              <w:rPr>
                <w:rFonts w:hint="eastAsia" w:ascii="宋体" w:hAnsi="宋体" w:cs="宋体"/>
                <w:b/>
                <w:color w:val="auto"/>
                <w:highlight w:val="none"/>
                <w:lang w:val="en-US" w:eastAsia="zh-CN"/>
              </w:rPr>
              <w:t>或</w:t>
            </w:r>
            <w:r>
              <w:rPr>
                <w:rFonts w:hint="eastAsia" w:ascii="宋体" w:hAnsi="宋体" w:cs="宋体"/>
                <w:b/>
                <w:color w:val="auto"/>
                <w:highlight w:val="none"/>
              </w:rPr>
              <w:t>扫描件的，必须加盖供应商电子公章，否则</w:t>
            </w:r>
            <w:r>
              <w:rPr>
                <w:rFonts w:hint="eastAsia" w:ascii="宋体" w:hAnsi="宋体" w:cs="宋体"/>
                <w:b/>
                <w:color w:val="auto"/>
                <w:highlight w:val="none"/>
                <w:lang w:val="en-US" w:eastAsia="zh-CN"/>
              </w:rPr>
              <w:t>不予认可，</w:t>
            </w:r>
            <w:r>
              <w:rPr>
                <w:rFonts w:hint="eastAsia" w:ascii="宋体" w:hAnsi="宋体" w:cs="宋体"/>
                <w:b/>
                <w:color w:val="auto"/>
                <w:highlight w:val="none"/>
              </w:rPr>
              <w:t>按无效响应处理。</w:t>
            </w:r>
          </w:p>
          <w:p w14:paraId="2C32C0A8">
            <w:pPr>
              <w:snapToGrid w:val="0"/>
              <w:ind w:firstLine="422" w:firstLineChars="200"/>
              <w:rPr>
                <w:rFonts w:hint="eastAsia" w:ascii="宋体" w:hAnsi="宋体" w:cs="宋体"/>
                <w:b/>
                <w:color w:val="auto"/>
                <w:highlight w:val="none"/>
              </w:rPr>
            </w:pPr>
            <w:r>
              <w:rPr>
                <w:rFonts w:hint="eastAsia" w:ascii="宋体" w:hAnsi="宋体" w:cs="宋体"/>
                <w:b/>
                <w:color w:val="auto"/>
                <w:highlight w:val="none"/>
                <w:lang w:val="en-US" w:eastAsia="zh-CN"/>
              </w:rPr>
              <w:t>2.供应商为联合体竞标的，</w:t>
            </w:r>
            <w:r>
              <w:rPr>
                <w:rFonts w:hint="eastAsia" w:ascii="宋体" w:hAnsi="宋体" w:cs="宋体"/>
                <w:b/>
                <w:color w:val="auto"/>
                <w:highlight w:val="none"/>
              </w:rPr>
              <w:t>供应商电子公章</w:t>
            </w:r>
            <w:r>
              <w:rPr>
                <w:rFonts w:hint="eastAsia" w:ascii="宋体" w:hAnsi="宋体" w:cs="宋体"/>
                <w:b/>
                <w:color w:val="auto"/>
                <w:highlight w:val="none"/>
                <w:lang w:val="en-US" w:eastAsia="zh-CN"/>
              </w:rPr>
              <w:t>可按牵头人电子章为准。</w:t>
            </w:r>
          </w:p>
        </w:tc>
      </w:tr>
      <w:tr w14:paraId="531CA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vMerge w:val="restart"/>
            <w:tcBorders>
              <w:top w:val="nil"/>
              <w:left w:val="single" w:color="000000" w:sz="4" w:space="0"/>
              <w:bottom w:val="single" w:color="000000" w:sz="4" w:space="0"/>
              <w:right w:val="single" w:color="000000" w:sz="4" w:space="0"/>
            </w:tcBorders>
            <w:noWrap w:val="0"/>
            <w:vAlign w:val="center"/>
          </w:tcPr>
          <w:p w14:paraId="0C12E695">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12.1.2</w:t>
            </w:r>
          </w:p>
        </w:tc>
        <w:tc>
          <w:tcPr>
            <w:tcW w:w="910" w:type="pct"/>
            <w:tcBorders>
              <w:top w:val="single" w:color="000000" w:sz="4" w:space="0"/>
              <w:left w:val="nil"/>
              <w:bottom w:val="single" w:color="000000" w:sz="4" w:space="0"/>
              <w:right w:val="single" w:color="000000" w:sz="4" w:space="0"/>
            </w:tcBorders>
            <w:noWrap w:val="0"/>
            <w:vAlign w:val="center"/>
          </w:tcPr>
          <w:p w14:paraId="13244525">
            <w:pPr>
              <w:spacing w:line="400" w:lineRule="exact"/>
              <w:jc w:val="center"/>
              <w:rPr>
                <w:rFonts w:hint="eastAsia" w:ascii="宋体" w:hAnsi="宋体" w:cs="宋体"/>
                <w:b/>
                <w:bCs/>
                <w:color w:val="auto"/>
                <w:szCs w:val="21"/>
                <w:highlight w:val="none"/>
              </w:rPr>
            </w:pPr>
            <w:r>
              <w:rPr>
                <w:rFonts w:hint="eastAsia" w:ascii="宋体" w:hAnsi="宋体" w:cs="宋体"/>
                <w:b/>
                <w:bCs/>
                <w:color w:val="auto"/>
                <w:highlight w:val="none"/>
              </w:rPr>
              <w:t>商务文件组成</w:t>
            </w:r>
          </w:p>
        </w:tc>
        <w:tc>
          <w:tcPr>
            <w:tcW w:w="3586" w:type="pct"/>
            <w:tcBorders>
              <w:top w:val="single" w:color="000000" w:sz="4" w:space="0"/>
              <w:left w:val="nil"/>
              <w:bottom w:val="single" w:color="000000" w:sz="4" w:space="0"/>
              <w:right w:val="single" w:color="000000" w:sz="4" w:space="0"/>
            </w:tcBorders>
            <w:noWrap w:val="0"/>
            <w:vAlign w:val="center"/>
          </w:tcPr>
          <w:p w14:paraId="06B31FE3">
            <w:pPr>
              <w:spacing w:line="400" w:lineRule="exact"/>
              <w:jc w:val="left"/>
              <w:rPr>
                <w:rFonts w:hint="eastAsia" w:ascii="宋体" w:hAnsi="宋体" w:cs="宋体"/>
                <w:color w:val="auto"/>
                <w:szCs w:val="21"/>
                <w:highlight w:val="none"/>
              </w:rPr>
            </w:pPr>
            <w:r>
              <w:rPr>
                <w:rFonts w:hint="eastAsia" w:ascii="宋体" w:hAnsi="宋体" w:cs="宋体"/>
                <w:color w:val="auto"/>
                <w:highlight w:val="none"/>
              </w:rPr>
              <w:t>1.无串通竞标行为的承诺函；（</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1F888837">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rPr>
              <w:t>2.法定代表人身份证明书及法定代表人有效身份证正反面复印件；（</w:t>
            </w:r>
            <w:r>
              <w:rPr>
                <w:rFonts w:hint="eastAsia" w:ascii="宋体" w:hAnsi="宋体" w:cs="宋体"/>
                <w:b/>
                <w:bCs/>
                <w:color w:val="auto"/>
                <w:highlight w:val="none"/>
              </w:rPr>
              <w:t>除自然人竞标外</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51BF02A9">
            <w:pPr>
              <w:spacing w:line="400" w:lineRule="exact"/>
              <w:jc w:val="left"/>
              <w:rPr>
                <w:rFonts w:hint="eastAsia" w:ascii="宋体" w:hAnsi="宋体" w:cs="宋体"/>
                <w:b/>
                <w:color w:val="auto"/>
                <w:highlight w:val="none"/>
              </w:rPr>
            </w:pPr>
            <w:r>
              <w:rPr>
                <w:rFonts w:hint="eastAsia" w:ascii="宋体" w:hAnsi="宋体" w:cs="宋体"/>
                <w:color w:val="auto"/>
                <w:highlight w:val="none"/>
              </w:rPr>
              <w:t>3.法定代表人授权委托书及委托代理人有效身份证正反面复印件；（</w:t>
            </w:r>
            <w:r>
              <w:rPr>
                <w:rFonts w:hint="eastAsia" w:ascii="宋体" w:hAnsi="宋体" w:cs="宋体"/>
                <w:b/>
                <w:color w:val="auto"/>
                <w:highlight w:val="none"/>
              </w:rPr>
              <w:t>委托时必须提供，否则响应文件按无效响应处理</w:t>
            </w:r>
            <w:r>
              <w:rPr>
                <w:rFonts w:hint="eastAsia" w:ascii="宋体" w:hAnsi="宋体" w:cs="宋体"/>
                <w:color w:val="auto"/>
                <w:highlight w:val="none"/>
              </w:rPr>
              <w:t>）</w:t>
            </w:r>
          </w:p>
          <w:p w14:paraId="0481A8A5">
            <w:pPr>
              <w:spacing w:line="400" w:lineRule="exact"/>
              <w:jc w:val="left"/>
              <w:rPr>
                <w:rFonts w:hint="eastAsia" w:ascii="宋体" w:hAnsi="宋体" w:cs="宋体"/>
                <w:color w:val="auto"/>
                <w:highlight w:val="none"/>
              </w:rPr>
            </w:pPr>
            <w:r>
              <w:rPr>
                <w:rFonts w:hint="eastAsia" w:ascii="宋体" w:hAnsi="宋体" w:cs="宋体"/>
                <w:color w:val="auto"/>
                <w:highlight w:val="none"/>
              </w:rPr>
              <w:t>4.商务条款偏离表；（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043488C3">
            <w:pPr>
              <w:spacing w:line="400" w:lineRule="exact"/>
              <w:jc w:val="left"/>
              <w:rPr>
                <w:rFonts w:hint="eastAsia" w:ascii="宋体" w:hAnsi="宋体" w:cs="宋体"/>
                <w:color w:val="auto"/>
                <w:highlight w:val="none"/>
              </w:rPr>
            </w:pPr>
            <w:r>
              <w:rPr>
                <w:rFonts w:hint="eastAsia" w:ascii="宋体" w:hAnsi="宋体" w:cs="宋体"/>
                <w:color w:val="auto"/>
                <w:highlight w:val="none"/>
              </w:rPr>
              <w:t>5.供应商情况介绍；</w:t>
            </w:r>
          </w:p>
          <w:p w14:paraId="6281EB92">
            <w:pPr>
              <w:spacing w:line="400" w:lineRule="exact"/>
              <w:jc w:val="left"/>
              <w:rPr>
                <w:rFonts w:hint="eastAsia" w:ascii="宋体" w:hAnsi="宋体" w:cs="宋体"/>
                <w:color w:val="auto"/>
                <w:highlight w:val="none"/>
              </w:rPr>
            </w:pPr>
            <w:r>
              <w:rPr>
                <w:rFonts w:hint="eastAsia" w:ascii="宋体" w:hAnsi="宋体" w:cs="宋体"/>
                <w:color w:val="auto"/>
                <w:highlight w:val="none"/>
              </w:rPr>
              <w:t>6.供应商认为需要提供的其他有关资料。</w:t>
            </w:r>
          </w:p>
          <w:p w14:paraId="3665FB44">
            <w:pPr>
              <w:snapToGrid w:val="0"/>
              <w:spacing w:line="400" w:lineRule="exact"/>
              <w:jc w:val="left"/>
              <w:rPr>
                <w:rFonts w:hint="eastAsia" w:ascii="宋体" w:hAnsi="宋体" w:cs="宋体"/>
                <w:b/>
                <w:color w:val="auto"/>
                <w:highlight w:val="none"/>
              </w:rPr>
            </w:pPr>
            <w:r>
              <w:rPr>
                <w:rFonts w:hint="eastAsia" w:ascii="宋体" w:hAnsi="宋体" w:cs="宋体"/>
                <w:b/>
                <w:color w:val="auto"/>
                <w:highlight w:val="none"/>
              </w:rPr>
              <w:t>注：</w:t>
            </w:r>
          </w:p>
          <w:p w14:paraId="1914B969">
            <w:pPr>
              <w:snapToGrid w:val="0"/>
              <w:spacing w:line="400" w:lineRule="exact"/>
              <w:ind w:firstLine="413" w:firstLineChars="196"/>
              <w:jc w:val="left"/>
              <w:rPr>
                <w:rFonts w:hint="eastAsia" w:ascii="宋体" w:hAnsi="宋体" w:cs="宋体"/>
                <w:b/>
                <w:color w:val="auto"/>
                <w:highlight w:val="none"/>
              </w:rPr>
            </w:pPr>
            <w:r>
              <w:rPr>
                <w:rFonts w:hint="eastAsia" w:ascii="宋体" w:hAnsi="宋体" w:cs="宋体"/>
                <w:b/>
                <w:color w:val="auto"/>
                <w:highlight w:val="none"/>
              </w:rPr>
              <w:t>1.法定代表人授权委托书必须由法定代表人及委托代理人签字，并加盖供应商公章，否则响应文件按无效响应处理。</w:t>
            </w:r>
          </w:p>
          <w:p w14:paraId="3DDB660B">
            <w:pPr>
              <w:spacing w:line="400" w:lineRule="exact"/>
              <w:ind w:firstLine="413" w:firstLineChars="196"/>
              <w:jc w:val="left"/>
              <w:rPr>
                <w:rFonts w:hint="eastAsia" w:ascii="宋体" w:hAnsi="宋体" w:cs="宋体"/>
                <w:b/>
                <w:color w:val="auto"/>
                <w:szCs w:val="21"/>
                <w:highlight w:val="none"/>
              </w:rPr>
            </w:pPr>
            <w:r>
              <w:rPr>
                <w:rFonts w:hint="eastAsia" w:ascii="宋体" w:hAnsi="宋体" w:cs="宋体"/>
                <w:b/>
                <w:color w:val="auto"/>
                <w:highlight w:val="none"/>
              </w:rPr>
              <w:t>2.以上标明“必须提供”的材料属于复印件</w:t>
            </w:r>
            <w:r>
              <w:rPr>
                <w:rFonts w:hint="eastAsia" w:ascii="宋体" w:hAnsi="宋体" w:cs="宋体"/>
                <w:b/>
                <w:color w:val="auto"/>
                <w:highlight w:val="none"/>
                <w:lang w:val="en-US" w:eastAsia="zh-CN"/>
              </w:rPr>
              <w:t>或</w:t>
            </w:r>
            <w:r>
              <w:rPr>
                <w:rFonts w:hint="eastAsia" w:ascii="宋体" w:hAnsi="宋体" w:cs="宋体"/>
                <w:b/>
                <w:color w:val="auto"/>
                <w:highlight w:val="none"/>
              </w:rPr>
              <w:t>扫描件的，必须加盖供应商电子公章，否则</w:t>
            </w:r>
            <w:r>
              <w:rPr>
                <w:rFonts w:hint="eastAsia" w:ascii="宋体" w:hAnsi="宋体" w:cs="宋体"/>
                <w:b/>
                <w:color w:val="auto"/>
                <w:highlight w:val="none"/>
                <w:lang w:val="en-US" w:eastAsia="zh-CN"/>
              </w:rPr>
              <w:t>不予认可，</w:t>
            </w:r>
            <w:r>
              <w:rPr>
                <w:rFonts w:hint="eastAsia" w:ascii="宋体" w:hAnsi="宋体" w:cs="宋体"/>
                <w:b/>
                <w:color w:val="auto"/>
                <w:highlight w:val="none"/>
              </w:rPr>
              <w:t>按无效响应处理。</w:t>
            </w:r>
            <w:r>
              <w:rPr>
                <w:rFonts w:hint="eastAsia" w:ascii="宋体" w:hAnsi="宋体" w:cs="宋体"/>
                <w:b/>
                <w:color w:val="auto"/>
                <w:highlight w:val="none"/>
                <w:lang w:val="en-US" w:eastAsia="zh-CN"/>
              </w:rPr>
              <w:t>2.供应商为联合体竞标的，</w:t>
            </w:r>
            <w:r>
              <w:rPr>
                <w:rFonts w:hint="eastAsia" w:ascii="宋体" w:hAnsi="宋体" w:cs="宋体"/>
                <w:b/>
                <w:color w:val="auto"/>
                <w:highlight w:val="none"/>
              </w:rPr>
              <w:t>供应商电子公章</w:t>
            </w:r>
            <w:r>
              <w:rPr>
                <w:rFonts w:hint="eastAsia" w:ascii="宋体" w:hAnsi="宋体" w:cs="宋体"/>
                <w:b/>
                <w:color w:val="auto"/>
                <w:highlight w:val="none"/>
                <w:lang w:val="en-US" w:eastAsia="zh-CN"/>
              </w:rPr>
              <w:t>可按牵头人电子章为准。</w:t>
            </w:r>
          </w:p>
        </w:tc>
      </w:tr>
      <w:tr w14:paraId="4C7CD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vMerge w:val="continue"/>
            <w:tcBorders>
              <w:top w:val="nil"/>
              <w:left w:val="single" w:color="000000" w:sz="4" w:space="0"/>
              <w:bottom w:val="single" w:color="000000" w:sz="4" w:space="0"/>
              <w:right w:val="single" w:color="000000" w:sz="4" w:space="0"/>
            </w:tcBorders>
            <w:noWrap w:val="0"/>
            <w:vAlign w:val="center"/>
          </w:tcPr>
          <w:p w14:paraId="5D138C5D">
            <w:pPr>
              <w:widowControl/>
              <w:jc w:val="left"/>
              <w:rPr>
                <w:rFonts w:hint="eastAsia" w:ascii="宋体" w:hAnsi="宋体" w:cs="宋体"/>
                <w:color w:val="auto"/>
                <w:szCs w:val="21"/>
                <w:highlight w:val="none"/>
              </w:rPr>
            </w:pPr>
          </w:p>
        </w:tc>
        <w:tc>
          <w:tcPr>
            <w:tcW w:w="910" w:type="pct"/>
            <w:tcBorders>
              <w:top w:val="single" w:color="000000" w:sz="4" w:space="0"/>
              <w:left w:val="nil"/>
              <w:bottom w:val="single" w:color="000000" w:sz="4" w:space="0"/>
              <w:right w:val="single" w:color="000000" w:sz="4" w:space="0"/>
            </w:tcBorders>
            <w:noWrap w:val="0"/>
            <w:vAlign w:val="center"/>
          </w:tcPr>
          <w:p w14:paraId="5E3B8072">
            <w:pPr>
              <w:spacing w:line="400" w:lineRule="exact"/>
              <w:jc w:val="center"/>
              <w:rPr>
                <w:rFonts w:hint="eastAsia" w:ascii="宋体" w:hAnsi="宋体" w:cs="宋体"/>
                <w:b/>
                <w:bCs/>
                <w:color w:val="auto"/>
                <w:szCs w:val="21"/>
                <w:highlight w:val="none"/>
              </w:rPr>
            </w:pPr>
            <w:r>
              <w:rPr>
                <w:rFonts w:hint="eastAsia" w:ascii="宋体" w:hAnsi="宋体" w:cs="宋体"/>
                <w:b/>
                <w:bCs/>
                <w:color w:val="auto"/>
                <w:highlight w:val="none"/>
              </w:rPr>
              <w:t>技术文件组成</w:t>
            </w:r>
          </w:p>
        </w:tc>
        <w:tc>
          <w:tcPr>
            <w:tcW w:w="3586" w:type="pct"/>
            <w:tcBorders>
              <w:top w:val="single" w:color="000000" w:sz="4" w:space="0"/>
              <w:left w:val="nil"/>
              <w:bottom w:val="single" w:color="000000" w:sz="4" w:space="0"/>
              <w:right w:val="single" w:color="000000" w:sz="4" w:space="0"/>
            </w:tcBorders>
            <w:noWrap w:val="0"/>
            <w:vAlign w:val="center"/>
          </w:tcPr>
          <w:p w14:paraId="4674EA9C">
            <w:pPr>
              <w:spacing w:line="400" w:lineRule="exact"/>
              <w:jc w:val="left"/>
              <w:rPr>
                <w:rFonts w:hint="eastAsia" w:ascii="宋体" w:hAnsi="宋体" w:cs="宋体"/>
                <w:color w:val="auto"/>
                <w:szCs w:val="21"/>
                <w:highlight w:val="none"/>
              </w:rPr>
            </w:pPr>
            <w:r>
              <w:rPr>
                <w:rFonts w:hint="eastAsia" w:ascii="宋体" w:hAnsi="宋体" w:cs="宋体"/>
                <w:color w:val="auto"/>
                <w:highlight w:val="none"/>
              </w:rPr>
              <w:t>1.服务需求偏离表；（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733DF717">
            <w:pPr>
              <w:spacing w:line="400" w:lineRule="exact"/>
              <w:jc w:val="left"/>
              <w:rPr>
                <w:rFonts w:hint="eastAsia" w:ascii="宋体" w:hAnsi="宋体" w:cs="宋体"/>
                <w:color w:val="auto"/>
                <w:highlight w:val="none"/>
              </w:rPr>
            </w:pPr>
            <w:r>
              <w:rPr>
                <w:rFonts w:hint="eastAsia" w:ascii="宋体" w:hAnsi="宋体" w:cs="宋体"/>
                <w:color w:val="auto"/>
                <w:highlight w:val="none"/>
              </w:rPr>
              <w:t>2.组织服务方案；</w:t>
            </w:r>
          </w:p>
          <w:p w14:paraId="5526B6A7">
            <w:pPr>
              <w:spacing w:line="400" w:lineRule="exact"/>
              <w:jc w:val="left"/>
              <w:rPr>
                <w:rFonts w:hint="eastAsia" w:ascii="宋体" w:hAnsi="宋体" w:cs="宋体"/>
                <w:color w:val="auto"/>
                <w:highlight w:val="none"/>
              </w:rPr>
            </w:pPr>
            <w:r>
              <w:rPr>
                <w:rFonts w:hint="eastAsia" w:ascii="宋体" w:hAnsi="宋体" w:cs="宋体"/>
                <w:color w:val="auto"/>
                <w:highlight w:val="none"/>
              </w:rPr>
              <w:t>3.售后服务承诺；（</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0C6239AB">
            <w:pPr>
              <w:spacing w:line="400" w:lineRule="exact"/>
              <w:jc w:val="left"/>
              <w:rPr>
                <w:rFonts w:hint="eastAsia" w:ascii="宋体" w:hAnsi="宋体" w:cs="宋体"/>
                <w:color w:val="auto"/>
                <w:highlight w:val="none"/>
              </w:rPr>
            </w:pPr>
            <w:r>
              <w:rPr>
                <w:rFonts w:hint="eastAsia" w:ascii="宋体" w:hAnsi="宋体" w:cs="宋体"/>
                <w:color w:val="auto"/>
                <w:highlight w:val="none"/>
              </w:rPr>
              <w:t>4.项目实施人员一览表；（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6F66683A">
            <w:pPr>
              <w:spacing w:line="400" w:lineRule="exact"/>
              <w:jc w:val="left"/>
              <w:rPr>
                <w:rFonts w:hint="eastAsia" w:ascii="宋体" w:hAnsi="宋体" w:cs="宋体"/>
                <w:color w:val="auto"/>
                <w:highlight w:val="none"/>
              </w:rPr>
            </w:pPr>
            <w:r>
              <w:rPr>
                <w:rFonts w:hint="eastAsia" w:ascii="宋体" w:hAnsi="宋体" w:cs="宋体"/>
                <w:color w:val="auto"/>
                <w:szCs w:val="21"/>
                <w:highlight w:val="none"/>
              </w:rPr>
              <w:t>5.人员、物资配置方案；</w:t>
            </w:r>
          </w:p>
          <w:p w14:paraId="7CA3512B">
            <w:pPr>
              <w:spacing w:line="400" w:lineRule="exact"/>
              <w:jc w:val="left"/>
              <w:rPr>
                <w:rFonts w:hint="eastAsia" w:ascii="宋体" w:hAnsi="宋体" w:cs="宋体"/>
                <w:color w:val="auto"/>
                <w:highlight w:val="none"/>
              </w:rPr>
            </w:pPr>
            <w:r>
              <w:rPr>
                <w:rFonts w:hint="eastAsia" w:ascii="宋体" w:hAnsi="宋体" w:cs="宋体"/>
                <w:color w:val="auto"/>
                <w:highlight w:val="none"/>
              </w:rPr>
              <w:t>6.对应采购需求的服务需求、商务条款提供的其他文件资料；</w:t>
            </w:r>
          </w:p>
          <w:p w14:paraId="187CF104">
            <w:pPr>
              <w:spacing w:line="400" w:lineRule="exact"/>
              <w:jc w:val="left"/>
              <w:rPr>
                <w:rFonts w:hint="eastAsia" w:ascii="宋体" w:hAnsi="宋体" w:cs="宋体"/>
                <w:color w:val="auto"/>
                <w:highlight w:val="none"/>
              </w:rPr>
            </w:pPr>
            <w:r>
              <w:rPr>
                <w:rFonts w:hint="eastAsia" w:ascii="宋体" w:hAnsi="宋体" w:cs="宋体"/>
                <w:color w:val="auto"/>
                <w:highlight w:val="none"/>
              </w:rPr>
              <w:t>7.供应商认为需要提供的其他有关资料。</w:t>
            </w:r>
          </w:p>
          <w:p w14:paraId="7131573F">
            <w:pPr>
              <w:spacing w:line="400" w:lineRule="exact"/>
              <w:jc w:val="left"/>
              <w:rPr>
                <w:rFonts w:hint="eastAsia" w:ascii="宋体" w:hAnsi="宋体" w:cs="宋体"/>
                <w:b/>
                <w:color w:val="auto"/>
                <w:highlight w:val="none"/>
              </w:rPr>
            </w:pPr>
            <w:r>
              <w:rPr>
                <w:rFonts w:hint="eastAsia" w:ascii="宋体" w:hAnsi="宋体" w:cs="宋体"/>
                <w:b/>
                <w:color w:val="auto"/>
                <w:highlight w:val="none"/>
              </w:rPr>
              <w:t>注：1.以上标明“必须提供”的材料属于复印件</w:t>
            </w:r>
            <w:r>
              <w:rPr>
                <w:rFonts w:hint="eastAsia" w:ascii="宋体" w:hAnsi="宋体" w:cs="宋体"/>
                <w:b/>
                <w:color w:val="auto"/>
                <w:highlight w:val="none"/>
                <w:lang w:val="en-US" w:eastAsia="zh-CN"/>
              </w:rPr>
              <w:t>或</w:t>
            </w:r>
            <w:r>
              <w:rPr>
                <w:rFonts w:hint="eastAsia" w:ascii="宋体" w:hAnsi="宋体" w:cs="宋体"/>
                <w:b/>
                <w:color w:val="auto"/>
                <w:highlight w:val="none"/>
              </w:rPr>
              <w:t>扫描件的，必须加盖供应商电子公章，否则</w:t>
            </w:r>
            <w:r>
              <w:rPr>
                <w:rFonts w:hint="eastAsia" w:ascii="宋体" w:hAnsi="宋体" w:cs="宋体"/>
                <w:b/>
                <w:color w:val="auto"/>
                <w:highlight w:val="none"/>
                <w:lang w:val="en-US" w:eastAsia="zh-CN"/>
              </w:rPr>
              <w:t>不予认可，</w:t>
            </w:r>
            <w:r>
              <w:rPr>
                <w:rFonts w:hint="eastAsia" w:ascii="宋体" w:hAnsi="宋体" w:cs="宋体"/>
                <w:b/>
                <w:color w:val="auto"/>
                <w:highlight w:val="none"/>
              </w:rPr>
              <w:t>按无效响应处理。</w:t>
            </w:r>
          </w:p>
          <w:p w14:paraId="2F425DDB">
            <w:pPr>
              <w:spacing w:line="400" w:lineRule="exact"/>
              <w:ind w:firstLine="422" w:firstLineChars="200"/>
              <w:jc w:val="left"/>
              <w:rPr>
                <w:rFonts w:hint="default" w:ascii="宋体" w:hAnsi="宋体" w:eastAsia="宋体" w:cs="宋体"/>
                <w:color w:val="auto"/>
                <w:szCs w:val="21"/>
                <w:highlight w:val="none"/>
                <w:lang w:val="en-US" w:eastAsia="zh-CN"/>
              </w:rPr>
            </w:pPr>
            <w:r>
              <w:rPr>
                <w:rFonts w:hint="eastAsia" w:ascii="宋体" w:hAnsi="宋体" w:cs="宋体"/>
                <w:b/>
                <w:color w:val="auto"/>
                <w:highlight w:val="none"/>
                <w:lang w:val="en-US" w:eastAsia="zh-CN"/>
              </w:rPr>
              <w:t>2.供应商为联合体竞标的，</w:t>
            </w:r>
            <w:r>
              <w:rPr>
                <w:rFonts w:hint="eastAsia" w:ascii="宋体" w:hAnsi="宋体" w:cs="宋体"/>
                <w:b/>
                <w:color w:val="auto"/>
                <w:highlight w:val="none"/>
              </w:rPr>
              <w:t>供应商电子公章</w:t>
            </w:r>
            <w:r>
              <w:rPr>
                <w:rFonts w:hint="eastAsia" w:ascii="宋体" w:hAnsi="宋体" w:cs="宋体"/>
                <w:b/>
                <w:color w:val="auto"/>
                <w:highlight w:val="none"/>
                <w:lang w:val="en-US" w:eastAsia="zh-CN"/>
              </w:rPr>
              <w:t>可按牵头人电子章为准。</w:t>
            </w:r>
          </w:p>
        </w:tc>
      </w:tr>
      <w:tr w14:paraId="230C1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798A1C6B">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12.1.2</w:t>
            </w:r>
          </w:p>
        </w:tc>
        <w:tc>
          <w:tcPr>
            <w:tcW w:w="910" w:type="pct"/>
            <w:tcBorders>
              <w:top w:val="single" w:color="000000" w:sz="4" w:space="0"/>
              <w:left w:val="nil"/>
              <w:bottom w:val="single" w:color="000000" w:sz="4" w:space="0"/>
              <w:right w:val="single" w:color="000000" w:sz="4" w:space="0"/>
            </w:tcBorders>
            <w:noWrap w:val="0"/>
            <w:vAlign w:val="center"/>
          </w:tcPr>
          <w:p w14:paraId="02F5810A">
            <w:pPr>
              <w:spacing w:line="400" w:lineRule="exact"/>
              <w:jc w:val="center"/>
              <w:rPr>
                <w:rFonts w:hint="eastAsia" w:ascii="宋体" w:hAnsi="宋体" w:cs="宋体"/>
                <w:color w:val="auto"/>
                <w:szCs w:val="21"/>
                <w:highlight w:val="none"/>
              </w:rPr>
            </w:pPr>
            <w:r>
              <w:rPr>
                <w:rFonts w:hint="eastAsia" w:ascii="宋体" w:hAnsi="宋体" w:cs="宋体"/>
                <w:b/>
                <w:bCs/>
                <w:color w:val="auto"/>
                <w:highlight w:val="none"/>
              </w:rPr>
              <w:t>报价文件组成</w:t>
            </w:r>
          </w:p>
        </w:tc>
        <w:tc>
          <w:tcPr>
            <w:tcW w:w="3586" w:type="pct"/>
            <w:tcBorders>
              <w:top w:val="single" w:color="000000" w:sz="4" w:space="0"/>
              <w:left w:val="nil"/>
              <w:bottom w:val="single" w:color="000000" w:sz="4" w:space="0"/>
              <w:right w:val="single" w:color="000000" w:sz="4" w:space="0"/>
            </w:tcBorders>
            <w:noWrap w:val="0"/>
            <w:vAlign w:val="center"/>
          </w:tcPr>
          <w:p w14:paraId="538E98E4">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1.响应函；</w:t>
            </w:r>
            <w:r>
              <w:rPr>
                <w:rFonts w:hint="eastAsia" w:ascii="宋体" w:hAnsi="宋体" w:cs="宋体"/>
                <w:b/>
                <w:color w:val="auto"/>
                <w:highlight w:val="none"/>
              </w:rPr>
              <w:t>（必须提供，否则作无效响应处理）</w:t>
            </w:r>
          </w:p>
          <w:p w14:paraId="6D295996">
            <w:pPr>
              <w:spacing w:line="400" w:lineRule="exact"/>
              <w:jc w:val="left"/>
              <w:rPr>
                <w:rFonts w:hint="eastAsia" w:ascii="宋体" w:hAnsi="宋体" w:cs="宋体"/>
                <w:color w:val="auto"/>
                <w:highlight w:val="none"/>
              </w:rPr>
            </w:pPr>
            <w:r>
              <w:rPr>
                <w:rFonts w:hint="eastAsia" w:ascii="宋体" w:hAnsi="宋体" w:cs="宋体"/>
                <w:color w:val="auto"/>
                <w:highlight w:val="none"/>
              </w:rPr>
              <w:t>2.响应报价表；（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372BD158">
            <w:pPr>
              <w:snapToGrid w:val="0"/>
              <w:spacing w:line="400" w:lineRule="exact"/>
              <w:jc w:val="left"/>
              <w:rPr>
                <w:rFonts w:hint="eastAsia"/>
                <w:color w:val="auto"/>
                <w:highlight w:val="none"/>
              </w:rPr>
            </w:pPr>
            <w:r>
              <w:rPr>
                <w:rFonts w:hint="eastAsia" w:ascii="宋体" w:hAnsi="宋体" w:cs="宋体"/>
                <w:color w:val="auto"/>
                <w:highlight w:val="none"/>
              </w:rPr>
              <w:t>3.中小企业声明函或残疾人福利性单位声明函或属于监狱企业的证明文件。</w:t>
            </w:r>
            <w:r>
              <w:rPr>
                <w:rFonts w:hint="eastAsia" w:ascii="宋体" w:hAnsi="宋体" w:cs="宋体"/>
                <w:b/>
                <w:color w:val="auto"/>
                <w:highlight w:val="none"/>
              </w:rPr>
              <w:t>（如有则提供）</w:t>
            </w:r>
          </w:p>
        </w:tc>
      </w:tr>
      <w:tr w14:paraId="12473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568123AE">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12.2</w:t>
            </w:r>
          </w:p>
        </w:tc>
        <w:tc>
          <w:tcPr>
            <w:tcW w:w="910" w:type="pct"/>
            <w:tcBorders>
              <w:top w:val="single" w:color="000000" w:sz="4" w:space="0"/>
              <w:left w:val="nil"/>
              <w:bottom w:val="single" w:color="000000" w:sz="4" w:space="0"/>
              <w:right w:val="single" w:color="000000" w:sz="4" w:space="0"/>
            </w:tcBorders>
            <w:noWrap w:val="0"/>
            <w:vAlign w:val="center"/>
          </w:tcPr>
          <w:p w14:paraId="001B82D5">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响应文件电子版要求</w:t>
            </w:r>
          </w:p>
        </w:tc>
        <w:tc>
          <w:tcPr>
            <w:tcW w:w="3586" w:type="pct"/>
            <w:tcBorders>
              <w:top w:val="single" w:color="000000" w:sz="4" w:space="0"/>
              <w:left w:val="nil"/>
              <w:bottom w:val="single" w:color="000000" w:sz="4" w:space="0"/>
              <w:right w:val="single" w:color="000000" w:sz="4" w:space="0"/>
            </w:tcBorders>
            <w:noWrap w:val="0"/>
            <w:vAlign w:val="center"/>
          </w:tcPr>
          <w:p w14:paraId="58C81F29">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1.响应文件电子版要求：按照本采购文件“第五章 响应文件格式”编写（第五章未附格式的，由供应商自行拟定），不可涂改并在规定加盖公章处加盖电子公章，</w:t>
            </w:r>
            <w:r>
              <w:rPr>
                <w:rFonts w:hint="eastAsia" w:ascii="宋体" w:hAnsi="宋体" w:cs="宋体"/>
                <w:b/>
                <w:color w:val="auto"/>
                <w:highlight w:val="none"/>
              </w:rPr>
              <w:t>否则响应文件按无效响应处理</w:t>
            </w:r>
            <w:r>
              <w:rPr>
                <w:rFonts w:hint="eastAsia" w:ascii="宋体" w:hAnsi="宋体" w:cs="宋体"/>
                <w:color w:val="auto"/>
                <w:highlight w:val="none"/>
              </w:rPr>
              <w:t>。</w:t>
            </w:r>
          </w:p>
          <w:p w14:paraId="1F1FE419">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2.响应文件电子版密封方式：电子响应文件通过平台有效CA加密后在“广西政府采购云平台”投送。（操作方式见公告附件“电子响应文件制作与投送教程” ）</w:t>
            </w:r>
          </w:p>
        </w:tc>
      </w:tr>
      <w:tr w14:paraId="2E77D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7A292B60">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15.2</w:t>
            </w:r>
          </w:p>
        </w:tc>
        <w:tc>
          <w:tcPr>
            <w:tcW w:w="910" w:type="pct"/>
            <w:tcBorders>
              <w:top w:val="single" w:color="000000" w:sz="4" w:space="0"/>
              <w:left w:val="nil"/>
              <w:bottom w:val="single" w:color="000000" w:sz="4" w:space="0"/>
              <w:right w:val="single" w:color="000000" w:sz="4" w:space="0"/>
            </w:tcBorders>
            <w:noWrap w:val="0"/>
            <w:vAlign w:val="center"/>
          </w:tcPr>
          <w:p w14:paraId="6C357E76">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响应报价要求</w:t>
            </w:r>
          </w:p>
        </w:tc>
        <w:tc>
          <w:tcPr>
            <w:tcW w:w="3586" w:type="pct"/>
            <w:tcBorders>
              <w:top w:val="single" w:color="000000" w:sz="4" w:space="0"/>
              <w:left w:val="nil"/>
              <w:bottom w:val="single" w:color="000000" w:sz="4" w:space="0"/>
              <w:right w:val="single" w:color="000000" w:sz="4" w:space="0"/>
            </w:tcBorders>
            <w:noWrap w:val="0"/>
            <w:vAlign w:val="center"/>
          </w:tcPr>
          <w:p w14:paraId="2FD60C27">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s="宋体"/>
                <w:b/>
                <w:color w:val="auto"/>
                <w:highlight w:val="none"/>
              </w:rPr>
              <w:t>（采购需求另有约定的，从其约定。）</w:t>
            </w:r>
          </w:p>
        </w:tc>
      </w:tr>
      <w:tr w14:paraId="1E3EA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7851A13E">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16.2</w:t>
            </w:r>
          </w:p>
        </w:tc>
        <w:tc>
          <w:tcPr>
            <w:tcW w:w="910" w:type="pct"/>
            <w:tcBorders>
              <w:top w:val="single" w:color="000000" w:sz="4" w:space="0"/>
              <w:left w:val="nil"/>
              <w:bottom w:val="single" w:color="000000" w:sz="4" w:space="0"/>
              <w:right w:val="single" w:color="000000" w:sz="4" w:space="0"/>
            </w:tcBorders>
            <w:noWrap w:val="0"/>
            <w:vAlign w:val="center"/>
          </w:tcPr>
          <w:p w14:paraId="78F0727E">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竞标有效期</w:t>
            </w:r>
          </w:p>
        </w:tc>
        <w:tc>
          <w:tcPr>
            <w:tcW w:w="3586" w:type="pct"/>
            <w:tcBorders>
              <w:top w:val="single" w:color="000000" w:sz="4" w:space="0"/>
              <w:left w:val="nil"/>
              <w:bottom w:val="single" w:color="000000" w:sz="4" w:space="0"/>
              <w:right w:val="single" w:color="000000" w:sz="4" w:space="0"/>
            </w:tcBorders>
            <w:noWrap w:val="0"/>
            <w:vAlign w:val="center"/>
          </w:tcPr>
          <w:p w14:paraId="77D79024">
            <w:pPr>
              <w:pStyle w:val="8"/>
              <w:widowControl w:val="0"/>
              <w:numPr>
                <w:ilvl w:val="0"/>
                <w:numId w:val="0"/>
              </w:numPr>
              <w:snapToGrid w:val="0"/>
              <w:spacing w:before="100" w:beforeAutospacing="1" w:after="0" w:afterLines="0" w:line="400" w:lineRule="exact"/>
              <w:ind w:leftChars="0"/>
              <w:jc w:val="both"/>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自首次响应文件提交截止之日起90日。</w:t>
            </w:r>
          </w:p>
        </w:tc>
      </w:tr>
      <w:tr w14:paraId="4495A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0FFD5F32">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17.1</w:t>
            </w:r>
          </w:p>
        </w:tc>
        <w:tc>
          <w:tcPr>
            <w:tcW w:w="910" w:type="pct"/>
            <w:tcBorders>
              <w:top w:val="single" w:color="000000" w:sz="4" w:space="0"/>
              <w:left w:val="nil"/>
              <w:bottom w:val="single" w:color="000000" w:sz="4" w:space="0"/>
              <w:right w:val="single" w:color="000000" w:sz="4" w:space="0"/>
            </w:tcBorders>
            <w:noWrap w:val="0"/>
            <w:vAlign w:val="center"/>
          </w:tcPr>
          <w:p w14:paraId="3257FFB8">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磋商保证金</w:t>
            </w:r>
          </w:p>
        </w:tc>
        <w:tc>
          <w:tcPr>
            <w:tcW w:w="3586" w:type="pct"/>
            <w:tcBorders>
              <w:top w:val="single" w:color="000000" w:sz="4" w:space="0"/>
              <w:left w:val="nil"/>
              <w:bottom w:val="single" w:color="000000" w:sz="4" w:space="0"/>
              <w:right w:val="single" w:color="000000" w:sz="4" w:space="0"/>
            </w:tcBorders>
            <w:noWrap w:val="0"/>
            <w:vAlign w:val="center"/>
          </w:tcPr>
          <w:p w14:paraId="25446598">
            <w:pPr>
              <w:autoSpaceDE w:val="0"/>
              <w:autoSpaceDN w:val="0"/>
              <w:snapToGrid w:val="0"/>
              <w:spacing w:line="400" w:lineRule="exact"/>
              <w:jc w:val="left"/>
              <w:textAlignment w:val="bottom"/>
              <w:rPr>
                <w:rFonts w:hint="eastAsia" w:ascii="宋体" w:hAnsi="宋体" w:cs="宋体"/>
                <w:color w:val="auto"/>
                <w:szCs w:val="21"/>
                <w:highlight w:val="none"/>
              </w:rPr>
            </w:pPr>
            <w:r>
              <w:rPr>
                <w:rFonts w:hint="eastAsia" w:ascii="宋体" w:hAnsi="宋体" w:cs="宋体"/>
                <w:color w:val="auto"/>
                <w:highlight w:val="none"/>
              </w:rPr>
              <w:t>本项目不收取磋商保证金。</w:t>
            </w:r>
          </w:p>
        </w:tc>
      </w:tr>
      <w:tr w14:paraId="3D84B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502" w:type="pct"/>
            <w:vMerge w:val="restart"/>
            <w:tcBorders>
              <w:top w:val="nil"/>
              <w:left w:val="single" w:color="000000" w:sz="4" w:space="0"/>
              <w:bottom w:val="single" w:color="000000" w:sz="4" w:space="0"/>
              <w:right w:val="single" w:color="000000" w:sz="4" w:space="0"/>
            </w:tcBorders>
            <w:noWrap w:val="0"/>
            <w:vAlign w:val="center"/>
          </w:tcPr>
          <w:p w14:paraId="023C41A3">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20.1</w:t>
            </w:r>
          </w:p>
        </w:tc>
        <w:tc>
          <w:tcPr>
            <w:tcW w:w="910" w:type="pct"/>
            <w:tcBorders>
              <w:top w:val="single" w:color="000000" w:sz="4" w:space="0"/>
              <w:left w:val="nil"/>
              <w:bottom w:val="single" w:color="000000" w:sz="4" w:space="0"/>
              <w:right w:val="single" w:color="000000" w:sz="4" w:space="0"/>
            </w:tcBorders>
            <w:noWrap w:val="0"/>
            <w:vAlign w:val="center"/>
          </w:tcPr>
          <w:p w14:paraId="6012A840">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首次响应文件提交起止时间</w:t>
            </w:r>
          </w:p>
        </w:tc>
        <w:tc>
          <w:tcPr>
            <w:tcW w:w="3586" w:type="pct"/>
            <w:tcBorders>
              <w:top w:val="single" w:color="000000" w:sz="4" w:space="0"/>
              <w:left w:val="nil"/>
              <w:bottom w:val="single" w:color="000000" w:sz="4" w:space="0"/>
              <w:right w:val="single" w:color="000000" w:sz="4" w:space="0"/>
            </w:tcBorders>
            <w:noWrap w:val="0"/>
            <w:vAlign w:val="center"/>
          </w:tcPr>
          <w:p w14:paraId="64D9F1AF">
            <w:pPr>
              <w:snapToGrid w:val="0"/>
              <w:spacing w:line="400" w:lineRule="exact"/>
              <w:jc w:val="left"/>
              <w:rPr>
                <w:rFonts w:hint="eastAsia" w:ascii="宋体" w:hAnsi="宋体" w:cs="宋体"/>
                <w:color w:val="auto"/>
                <w:szCs w:val="21"/>
                <w:highlight w:val="none"/>
                <w:u w:val="single"/>
              </w:rPr>
            </w:pPr>
            <w:r>
              <w:rPr>
                <w:rFonts w:hint="eastAsia" w:ascii="宋体" w:hAnsi="宋体" w:cs="宋体"/>
                <w:color w:val="auto"/>
                <w:highlight w:val="none"/>
              </w:rPr>
              <w:t>详见竞争性磋商公告。</w:t>
            </w:r>
          </w:p>
        </w:tc>
      </w:tr>
      <w:tr w14:paraId="3DACF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02" w:type="pct"/>
            <w:vMerge w:val="continue"/>
            <w:tcBorders>
              <w:top w:val="nil"/>
              <w:left w:val="single" w:color="000000" w:sz="4" w:space="0"/>
              <w:bottom w:val="single" w:color="000000" w:sz="4" w:space="0"/>
              <w:right w:val="single" w:color="000000" w:sz="4" w:space="0"/>
            </w:tcBorders>
            <w:noWrap w:val="0"/>
            <w:vAlign w:val="center"/>
          </w:tcPr>
          <w:p w14:paraId="44C94F7C">
            <w:pPr>
              <w:widowControl/>
              <w:jc w:val="left"/>
              <w:rPr>
                <w:rFonts w:hint="eastAsia" w:ascii="宋体" w:hAnsi="宋体" w:cs="宋体"/>
                <w:color w:val="auto"/>
                <w:szCs w:val="21"/>
                <w:highlight w:val="none"/>
              </w:rPr>
            </w:pPr>
          </w:p>
        </w:tc>
        <w:tc>
          <w:tcPr>
            <w:tcW w:w="910" w:type="pct"/>
            <w:tcBorders>
              <w:top w:val="single" w:color="000000" w:sz="4" w:space="0"/>
              <w:left w:val="nil"/>
              <w:bottom w:val="single" w:color="000000" w:sz="4" w:space="0"/>
              <w:right w:val="single" w:color="000000" w:sz="4" w:space="0"/>
            </w:tcBorders>
            <w:noWrap w:val="0"/>
            <w:vAlign w:val="center"/>
          </w:tcPr>
          <w:p w14:paraId="3D2C06A3">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首次响应文件提交地点</w:t>
            </w:r>
          </w:p>
        </w:tc>
        <w:tc>
          <w:tcPr>
            <w:tcW w:w="3586" w:type="pct"/>
            <w:tcBorders>
              <w:top w:val="single" w:color="000000" w:sz="4" w:space="0"/>
              <w:left w:val="nil"/>
              <w:bottom w:val="single" w:color="000000" w:sz="4" w:space="0"/>
              <w:right w:val="single" w:color="000000" w:sz="4" w:space="0"/>
            </w:tcBorders>
            <w:noWrap w:val="0"/>
            <w:vAlign w:val="center"/>
          </w:tcPr>
          <w:p w14:paraId="3CFF649F">
            <w:pPr>
              <w:snapToGrid w:val="0"/>
              <w:spacing w:line="400" w:lineRule="exact"/>
              <w:jc w:val="left"/>
              <w:rPr>
                <w:rFonts w:hint="eastAsia" w:ascii="宋体" w:hAnsi="宋体" w:cs="宋体"/>
                <w:color w:val="auto"/>
                <w:szCs w:val="21"/>
                <w:highlight w:val="none"/>
                <w:u w:val="single"/>
              </w:rPr>
            </w:pPr>
            <w:r>
              <w:rPr>
                <w:rFonts w:hint="eastAsia" w:ascii="宋体" w:hAnsi="宋体" w:cs="宋体"/>
                <w:color w:val="auto"/>
                <w:highlight w:val="none"/>
              </w:rPr>
              <w:t>详见竞争性磋商公告。</w:t>
            </w:r>
          </w:p>
        </w:tc>
      </w:tr>
      <w:tr w14:paraId="70EE2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3840939B">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20.6</w:t>
            </w:r>
          </w:p>
        </w:tc>
        <w:tc>
          <w:tcPr>
            <w:tcW w:w="910" w:type="pct"/>
            <w:tcBorders>
              <w:top w:val="single" w:color="000000" w:sz="4" w:space="0"/>
              <w:left w:val="nil"/>
              <w:bottom w:val="single" w:color="000000" w:sz="4" w:space="0"/>
              <w:right w:val="single" w:color="000000" w:sz="4" w:space="0"/>
            </w:tcBorders>
            <w:noWrap w:val="0"/>
            <w:vAlign w:val="center"/>
          </w:tcPr>
          <w:p w14:paraId="1F40E72A">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备份响应文件</w:t>
            </w:r>
          </w:p>
        </w:tc>
        <w:tc>
          <w:tcPr>
            <w:tcW w:w="3586" w:type="pct"/>
            <w:tcBorders>
              <w:top w:val="single" w:color="000000" w:sz="4" w:space="0"/>
              <w:left w:val="nil"/>
              <w:bottom w:val="single" w:color="000000" w:sz="4" w:space="0"/>
              <w:right w:val="single" w:color="000000" w:sz="4" w:space="0"/>
            </w:tcBorders>
            <w:noWrap w:val="0"/>
            <w:vAlign w:val="center"/>
          </w:tcPr>
          <w:p w14:paraId="03096CB7">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本项目不接受备份响应文件。</w:t>
            </w:r>
          </w:p>
        </w:tc>
      </w:tr>
      <w:tr w14:paraId="46465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71951F87">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21</w:t>
            </w:r>
          </w:p>
        </w:tc>
        <w:tc>
          <w:tcPr>
            <w:tcW w:w="910" w:type="pct"/>
            <w:tcBorders>
              <w:top w:val="single" w:color="000000" w:sz="4" w:space="0"/>
              <w:left w:val="nil"/>
              <w:bottom w:val="single" w:color="000000" w:sz="4" w:space="0"/>
              <w:right w:val="single" w:color="000000" w:sz="4" w:space="0"/>
            </w:tcBorders>
            <w:noWrap w:val="0"/>
            <w:vAlign w:val="center"/>
          </w:tcPr>
          <w:p w14:paraId="6400D7E7">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首次响应文件的退回</w:t>
            </w:r>
          </w:p>
        </w:tc>
        <w:tc>
          <w:tcPr>
            <w:tcW w:w="3586" w:type="pct"/>
            <w:tcBorders>
              <w:top w:val="single" w:color="000000" w:sz="4" w:space="0"/>
              <w:left w:val="nil"/>
              <w:bottom w:val="single" w:color="000000" w:sz="4" w:space="0"/>
              <w:right w:val="single" w:color="000000" w:sz="4" w:space="0"/>
            </w:tcBorders>
            <w:noWrap w:val="0"/>
            <w:vAlign w:val="center"/>
          </w:tcPr>
          <w:p w14:paraId="488D107E">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详见竞争性磋商公告。</w:t>
            </w:r>
          </w:p>
        </w:tc>
      </w:tr>
      <w:tr w14:paraId="040E9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502" w:type="pct"/>
            <w:vMerge w:val="restart"/>
            <w:tcBorders>
              <w:top w:val="nil"/>
              <w:left w:val="single" w:color="000000" w:sz="4" w:space="0"/>
              <w:bottom w:val="single" w:color="000000" w:sz="4" w:space="0"/>
              <w:right w:val="single" w:color="000000" w:sz="4" w:space="0"/>
            </w:tcBorders>
            <w:noWrap w:val="0"/>
            <w:vAlign w:val="center"/>
          </w:tcPr>
          <w:p w14:paraId="4CE1CFFE">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26.2</w:t>
            </w:r>
          </w:p>
        </w:tc>
        <w:tc>
          <w:tcPr>
            <w:tcW w:w="910" w:type="pct"/>
            <w:tcBorders>
              <w:top w:val="single" w:color="000000" w:sz="4" w:space="0"/>
              <w:left w:val="nil"/>
              <w:bottom w:val="single" w:color="000000" w:sz="4" w:space="0"/>
              <w:right w:val="single" w:color="000000" w:sz="4" w:space="0"/>
            </w:tcBorders>
            <w:noWrap w:val="0"/>
            <w:vAlign w:val="center"/>
          </w:tcPr>
          <w:p w14:paraId="4574EC3C">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负偏离要求</w:t>
            </w:r>
          </w:p>
        </w:tc>
        <w:tc>
          <w:tcPr>
            <w:tcW w:w="3586" w:type="pct"/>
            <w:tcBorders>
              <w:top w:val="single" w:color="000000" w:sz="4" w:space="0"/>
              <w:left w:val="nil"/>
              <w:bottom w:val="single" w:color="000000" w:sz="4" w:space="0"/>
              <w:right w:val="single" w:color="000000" w:sz="4" w:space="0"/>
            </w:tcBorders>
            <w:noWrap w:val="0"/>
            <w:vAlign w:val="center"/>
          </w:tcPr>
          <w:p w14:paraId="0A7D942B">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商务条款评审中允许负偏离的条款数为</w:t>
            </w:r>
            <w:r>
              <w:rPr>
                <w:rFonts w:hint="eastAsia" w:ascii="宋体" w:hAnsi="宋体" w:cs="宋体"/>
                <w:color w:val="auto"/>
                <w:highlight w:val="none"/>
                <w:u w:val="single"/>
              </w:rPr>
              <w:t xml:space="preserve"> 0 </w:t>
            </w:r>
            <w:r>
              <w:rPr>
                <w:rFonts w:hint="eastAsia" w:ascii="宋体" w:hAnsi="宋体" w:cs="宋体"/>
                <w:color w:val="auto"/>
                <w:highlight w:val="none"/>
              </w:rPr>
              <w:t>项。</w:t>
            </w:r>
          </w:p>
          <w:p w14:paraId="65825902">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采购需求评审中允许负偏离的条款数为</w:t>
            </w:r>
            <w:r>
              <w:rPr>
                <w:rFonts w:hint="eastAsia" w:ascii="宋体" w:hAnsi="宋体" w:cs="宋体"/>
                <w:color w:val="auto"/>
                <w:highlight w:val="none"/>
                <w:u w:val="single"/>
              </w:rPr>
              <w:t xml:space="preserve"> 0</w:t>
            </w:r>
            <w:r>
              <w:rPr>
                <w:rFonts w:hint="eastAsia" w:ascii="宋体" w:hAnsi="宋体" w:cs="宋体"/>
                <w:color w:val="auto"/>
                <w:highlight w:val="none"/>
              </w:rPr>
              <w:t>项。</w:t>
            </w:r>
          </w:p>
        </w:tc>
      </w:tr>
      <w:tr w14:paraId="3771A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vMerge w:val="continue"/>
            <w:tcBorders>
              <w:top w:val="nil"/>
              <w:left w:val="single" w:color="000000" w:sz="4" w:space="0"/>
              <w:bottom w:val="single" w:color="000000" w:sz="4" w:space="0"/>
              <w:right w:val="single" w:color="000000" w:sz="4" w:space="0"/>
            </w:tcBorders>
            <w:noWrap w:val="0"/>
            <w:vAlign w:val="center"/>
          </w:tcPr>
          <w:p w14:paraId="50168DAD">
            <w:pPr>
              <w:widowControl/>
              <w:jc w:val="left"/>
              <w:rPr>
                <w:rFonts w:hint="eastAsia" w:ascii="宋体" w:hAnsi="宋体" w:cs="宋体"/>
                <w:color w:val="auto"/>
                <w:szCs w:val="21"/>
                <w:highlight w:val="none"/>
              </w:rPr>
            </w:pPr>
          </w:p>
        </w:tc>
        <w:tc>
          <w:tcPr>
            <w:tcW w:w="910" w:type="pct"/>
            <w:tcBorders>
              <w:top w:val="single" w:color="000000" w:sz="4" w:space="0"/>
              <w:left w:val="nil"/>
              <w:bottom w:val="single" w:color="000000" w:sz="4" w:space="0"/>
              <w:right w:val="single" w:color="000000" w:sz="4" w:space="0"/>
            </w:tcBorders>
            <w:noWrap w:val="0"/>
            <w:vAlign w:val="center"/>
          </w:tcPr>
          <w:p w14:paraId="79E13651">
            <w:pPr>
              <w:snapToGrid w:val="0"/>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磋商的顺序</w:t>
            </w:r>
          </w:p>
          <w:p w14:paraId="44A6D0DC">
            <w:pPr>
              <w:spacing w:line="400" w:lineRule="exact"/>
              <w:jc w:val="center"/>
              <w:rPr>
                <w:rFonts w:hint="eastAsia" w:ascii="宋体" w:hAnsi="宋体" w:cs="宋体"/>
                <w:color w:val="auto"/>
                <w:szCs w:val="21"/>
                <w:highlight w:val="none"/>
              </w:rPr>
            </w:pPr>
          </w:p>
        </w:tc>
        <w:tc>
          <w:tcPr>
            <w:tcW w:w="3586" w:type="pct"/>
            <w:tcBorders>
              <w:top w:val="single" w:color="000000" w:sz="4" w:space="0"/>
              <w:left w:val="nil"/>
              <w:bottom w:val="single" w:color="000000" w:sz="4" w:space="0"/>
              <w:right w:val="single" w:color="000000" w:sz="4" w:space="0"/>
            </w:tcBorders>
            <w:noWrap w:val="0"/>
            <w:vAlign w:val="center"/>
          </w:tcPr>
          <w:p w14:paraId="1AC2D0E3">
            <w:pPr>
              <w:pStyle w:val="10"/>
              <w:spacing w:line="400" w:lineRule="exact"/>
              <w:rPr>
                <w:rFonts w:hint="eastAsia" w:ascii="宋体" w:hAnsi="宋体" w:cs="宋体"/>
                <w:color w:val="auto"/>
                <w:szCs w:val="21"/>
                <w:highlight w:val="none"/>
              </w:rPr>
            </w:pPr>
            <w:r>
              <w:rPr>
                <w:rFonts w:hint="eastAsia" w:ascii="宋体" w:hAnsi="宋体" w:cs="宋体"/>
                <w:color w:val="auto"/>
                <w:highlight w:val="none"/>
              </w:rPr>
              <w:t>☑按照提交首次响应文件的顺序，通知磋商时，若某供应商不在通知现场时，该供应商排序到最后磋商，按照签到的顺序由其下一位供应商先参与磋商。</w:t>
            </w:r>
          </w:p>
          <w:p w14:paraId="23AF0700">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rPr>
              <w:t>□随机排序。</w:t>
            </w:r>
          </w:p>
          <w:p w14:paraId="58305C27">
            <w:pPr>
              <w:pStyle w:val="10"/>
              <w:spacing w:line="400" w:lineRule="exact"/>
              <w:rPr>
                <w:rFonts w:hint="eastAsia" w:ascii="宋体" w:hAnsi="宋体" w:cs="宋体"/>
                <w:b/>
                <w:color w:val="auto"/>
                <w:highlight w:val="none"/>
              </w:rPr>
            </w:pPr>
            <w:r>
              <w:rPr>
                <w:rFonts w:hint="eastAsia" w:ascii="宋体" w:hAnsi="宋体" w:cs="宋体"/>
                <w:b/>
                <w:color w:val="auto"/>
                <w:highlight w:val="none"/>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4AEC5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7A7DACD9">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28</w:t>
            </w:r>
          </w:p>
        </w:tc>
        <w:tc>
          <w:tcPr>
            <w:tcW w:w="910" w:type="pct"/>
            <w:tcBorders>
              <w:top w:val="single" w:color="000000" w:sz="4" w:space="0"/>
              <w:left w:val="nil"/>
              <w:bottom w:val="single" w:color="000000" w:sz="4" w:space="0"/>
              <w:right w:val="single" w:color="000000" w:sz="4" w:space="0"/>
            </w:tcBorders>
            <w:noWrap w:val="0"/>
            <w:vAlign w:val="center"/>
          </w:tcPr>
          <w:p w14:paraId="7E03133E">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履约保证金</w:t>
            </w:r>
          </w:p>
        </w:tc>
        <w:tc>
          <w:tcPr>
            <w:tcW w:w="3586" w:type="pct"/>
            <w:tcBorders>
              <w:top w:val="single" w:color="000000" w:sz="4" w:space="0"/>
              <w:left w:val="nil"/>
              <w:bottom w:val="single" w:color="000000" w:sz="4" w:space="0"/>
              <w:right w:val="single" w:color="000000" w:sz="4" w:space="0"/>
            </w:tcBorders>
            <w:noWrap w:val="0"/>
            <w:vAlign w:val="center"/>
          </w:tcPr>
          <w:p w14:paraId="0DA4AFF5">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本项目不收取履约保证金。</w:t>
            </w:r>
          </w:p>
        </w:tc>
      </w:tr>
      <w:tr w14:paraId="1BA8D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7EFFA1E0">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29.5</w:t>
            </w:r>
          </w:p>
        </w:tc>
        <w:tc>
          <w:tcPr>
            <w:tcW w:w="910" w:type="pct"/>
            <w:tcBorders>
              <w:top w:val="single" w:color="000000" w:sz="4" w:space="0"/>
              <w:left w:val="nil"/>
              <w:bottom w:val="single" w:color="000000" w:sz="4" w:space="0"/>
              <w:right w:val="single" w:color="000000" w:sz="4" w:space="0"/>
            </w:tcBorders>
            <w:noWrap w:val="0"/>
            <w:vAlign w:val="center"/>
          </w:tcPr>
          <w:p w14:paraId="18A2455C">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签订合同携带的材料</w:t>
            </w:r>
          </w:p>
        </w:tc>
        <w:tc>
          <w:tcPr>
            <w:tcW w:w="3586" w:type="pct"/>
            <w:tcBorders>
              <w:top w:val="single" w:color="000000" w:sz="4" w:space="0"/>
              <w:left w:val="nil"/>
              <w:bottom w:val="single" w:color="000000" w:sz="4" w:space="0"/>
              <w:right w:val="single" w:color="000000" w:sz="4" w:space="0"/>
            </w:tcBorders>
            <w:noWrap w:val="0"/>
            <w:vAlign w:val="center"/>
          </w:tcPr>
          <w:p w14:paraId="7B189C7B">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使用的有效CA证书加盖单位电子公章</w:t>
            </w:r>
          </w:p>
        </w:tc>
      </w:tr>
      <w:tr w14:paraId="4D157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vMerge w:val="restart"/>
            <w:tcBorders>
              <w:top w:val="nil"/>
              <w:left w:val="single" w:color="000000" w:sz="4" w:space="0"/>
              <w:bottom w:val="single" w:color="000000" w:sz="4" w:space="0"/>
              <w:right w:val="single" w:color="000000" w:sz="4" w:space="0"/>
            </w:tcBorders>
            <w:noWrap w:val="0"/>
            <w:vAlign w:val="center"/>
          </w:tcPr>
          <w:p w14:paraId="5D04FE35">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31.2</w:t>
            </w:r>
          </w:p>
        </w:tc>
        <w:tc>
          <w:tcPr>
            <w:tcW w:w="910" w:type="pct"/>
            <w:tcBorders>
              <w:top w:val="single" w:color="000000" w:sz="4" w:space="0"/>
              <w:left w:val="nil"/>
              <w:bottom w:val="single" w:color="000000" w:sz="4" w:space="0"/>
              <w:right w:val="single" w:color="000000" w:sz="4" w:space="0"/>
            </w:tcBorders>
            <w:noWrap w:val="0"/>
            <w:vAlign w:val="center"/>
          </w:tcPr>
          <w:p w14:paraId="4B0B304A">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接收质疑函方式</w:t>
            </w:r>
          </w:p>
        </w:tc>
        <w:tc>
          <w:tcPr>
            <w:tcW w:w="3586" w:type="pct"/>
            <w:tcBorders>
              <w:top w:val="single" w:color="000000" w:sz="4" w:space="0"/>
              <w:left w:val="nil"/>
              <w:bottom w:val="single" w:color="000000" w:sz="4" w:space="0"/>
              <w:right w:val="single" w:color="000000" w:sz="4" w:space="0"/>
            </w:tcBorders>
            <w:noWrap w:val="0"/>
            <w:vAlign w:val="center"/>
          </w:tcPr>
          <w:p w14:paraId="4B4CC49E">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以书面形式</w:t>
            </w:r>
          </w:p>
        </w:tc>
      </w:tr>
      <w:tr w14:paraId="60F80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vMerge w:val="continue"/>
            <w:tcBorders>
              <w:top w:val="nil"/>
              <w:left w:val="single" w:color="000000" w:sz="4" w:space="0"/>
              <w:bottom w:val="single" w:color="000000" w:sz="4" w:space="0"/>
              <w:right w:val="single" w:color="000000" w:sz="4" w:space="0"/>
            </w:tcBorders>
            <w:noWrap w:val="0"/>
            <w:vAlign w:val="center"/>
          </w:tcPr>
          <w:p w14:paraId="182DE4FE">
            <w:pPr>
              <w:widowControl/>
              <w:jc w:val="left"/>
              <w:rPr>
                <w:rFonts w:hint="eastAsia" w:ascii="宋体" w:hAnsi="宋体" w:cs="宋体"/>
                <w:color w:val="auto"/>
                <w:szCs w:val="21"/>
                <w:highlight w:val="none"/>
              </w:rPr>
            </w:pPr>
          </w:p>
        </w:tc>
        <w:tc>
          <w:tcPr>
            <w:tcW w:w="910" w:type="pct"/>
            <w:tcBorders>
              <w:top w:val="single" w:color="000000" w:sz="4" w:space="0"/>
              <w:left w:val="nil"/>
              <w:bottom w:val="single" w:color="000000" w:sz="4" w:space="0"/>
              <w:right w:val="single" w:color="000000" w:sz="4" w:space="0"/>
            </w:tcBorders>
            <w:noWrap w:val="0"/>
            <w:vAlign w:val="center"/>
          </w:tcPr>
          <w:p w14:paraId="75C2355B">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质疑联系部门及联系方式</w:t>
            </w:r>
          </w:p>
        </w:tc>
        <w:tc>
          <w:tcPr>
            <w:tcW w:w="3586" w:type="pct"/>
            <w:tcBorders>
              <w:top w:val="single" w:color="000000" w:sz="4" w:space="0"/>
              <w:left w:val="nil"/>
              <w:bottom w:val="single" w:color="000000" w:sz="4" w:space="0"/>
              <w:right w:val="single" w:color="000000" w:sz="4" w:space="0"/>
            </w:tcBorders>
            <w:noWrap w:val="0"/>
            <w:vAlign w:val="center"/>
          </w:tcPr>
          <w:p w14:paraId="09EEB226">
            <w:pPr>
              <w:snapToGrid w:val="0"/>
              <w:spacing w:line="400" w:lineRule="exact"/>
              <w:jc w:val="left"/>
              <w:rPr>
                <w:rFonts w:hint="eastAsia" w:ascii="宋体" w:hAnsi="宋体" w:cs="宋体"/>
                <w:color w:val="auto"/>
                <w:szCs w:val="21"/>
                <w:highlight w:val="none"/>
                <w:u w:val="none"/>
              </w:rPr>
            </w:pPr>
            <w:r>
              <w:rPr>
                <w:rFonts w:hint="eastAsia" w:ascii="宋体" w:hAnsi="宋体" w:cs="宋体"/>
                <w:color w:val="auto"/>
                <w:highlight w:val="none"/>
                <w:u w:val="none"/>
              </w:rPr>
              <w:t>（1）广西盛元华工程咨询有限公司；</w:t>
            </w:r>
          </w:p>
          <w:p w14:paraId="3DE5BD53">
            <w:pPr>
              <w:snapToGrid w:val="0"/>
              <w:spacing w:line="400" w:lineRule="exact"/>
              <w:jc w:val="left"/>
              <w:rPr>
                <w:rFonts w:hint="eastAsia" w:ascii="宋体" w:hAnsi="宋体" w:cs="宋体"/>
                <w:color w:val="auto"/>
                <w:highlight w:val="none"/>
                <w:u w:val="none"/>
              </w:rPr>
            </w:pPr>
            <w:r>
              <w:rPr>
                <w:rFonts w:hint="eastAsia" w:ascii="宋体" w:hAnsi="宋体" w:cs="宋体"/>
                <w:color w:val="auto"/>
                <w:highlight w:val="none"/>
                <w:u w:val="none"/>
              </w:rPr>
              <w:t>联系电话：0771-2869782</w:t>
            </w:r>
          </w:p>
          <w:p w14:paraId="7F0376C5">
            <w:pPr>
              <w:snapToGrid w:val="0"/>
              <w:spacing w:line="400" w:lineRule="exact"/>
              <w:jc w:val="left"/>
              <w:rPr>
                <w:rFonts w:hint="eastAsia" w:ascii="宋体" w:hAnsi="宋体" w:cs="宋体"/>
                <w:color w:val="auto"/>
                <w:highlight w:val="none"/>
                <w:u w:val="none"/>
              </w:rPr>
            </w:pPr>
            <w:r>
              <w:rPr>
                <w:rFonts w:hint="eastAsia" w:ascii="宋体" w:hAnsi="宋体" w:cs="宋体"/>
                <w:color w:val="auto"/>
                <w:highlight w:val="none"/>
                <w:u w:val="none"/>
              </w:rPr>
              <w:t>通讯地址： 中国(广西)自由贸易试验区南宁片区庆歌路20号富雅国际商务大厦A栋27层房号2701、2702、2713、2715、2716、2717、2718号</w:t>
            </w:r>
          </w:p>
          <w:p w14:paraId="69E906B4">
            <w:pPr>
              <w:snapToGrid w:val="0"/>
              <w:spacing w:line="400" w:lineRule="exact"/>
              <w:jc w:val="left"/>
              <w:rPr>
                <w:rFonts w:hint="eastAsia" w:ascii="宋体" w:hAnsi="宋体" w:cs="宋体"/>
                <w:color w:val="auto"/>
                <w:highlight w:val="none"/>
                <w:u w:val="none"/>
              </w:rPr>
            </w:pPr>
            <w:r>
              <w:rPr>
                <w:rFonts w:hint="eastAsia" w:ascii="宋体" w:hAnsi="宋体" w:cs="宋体"/>
                <w:color w:val="auto"/>
                <w:highlight w:val="none"/>
                <w:u w:val="none"/>
              </w:rPr>
              <w:t>（2）南宁市良庆区住房和城乡建设局；</w:t>
            </w:r>
          </w:p>
          <w:p w14:paraId="39CC5D0B">
            <w:pPr>
              <w:pStyle w:val="14"/>
              <w:wordWrap w:val="0"/>
              <w:spacing w:line="360" w:lineRule="exact"/>
              <w:rPr>
                <w:rFonts w:hAnsi="宋体"/>
                <w:color w:val="auto"/>
                <w:highlight w:val="none"/>
                <w:u w:val="none"/>
              </w:rPr>
            </w:pPr>
            <w:r>
              <w:rPr>
                <w:rFonts w:hint="eastAsia" w:hAnsi="宋体"/>
                <w:color w:val="auto"/>
                <w:kern w:val="2"/>
                <w:sz w:val="21"/>
                <w:highlight w:val="none"/>
                <w:u w:val="none"/>
              </w:rPr>
              <w:t>项目联系人：张工</w:t>
            </w:r>
          </w:p>
          <w:p w14:paraId="3A153377">
            <w:pPr>
              <w:snapToGrid w:val="0"/>
              <w:spacing w:line="400" w:lineRule="exact"/>
              <w:jc w:val="left"/>
              <w:rPr>
                <w:rFonts w:hint="eastAsia" w:ascii="宋体" w:hAnsi="宋体" w:cs="宋体"/>
                <w:color w:val="auto"/>
                <w:highlight w:val="none"/>
                <w:u w:val="none"/>
              </w:rPr>
            </w:pPr>
            <w:r>
              <w:rPr>
                <w:rFonts w:hint="eastAsia" w:ascii="宋体" w:hAnsi="宋体"/>
                <w:color w:val="auto"/>
                <w:szCs w:val="21"/>
                <w:highlight w:val="none"/>
                <w:u w:val="none"/>
              </w:rPr>
              <w:t>联系电话：0771-3107713</w:t>
            </w:r>
          </w:p>
          <w:p w14:paraId="2A967C6E">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u w:val="none"/>
              </w:rPr>
              <w:t>通讯地址：</w:t>
            </w:r>
            <w:r>
              <w:rPr>
                <w:rFonts w:hint="eastAsia" w:ascii="宋体" w:hAnsi="宋体" w:cs="Helvetica"/>
                <w:color w:val="auto"/>
                <w:szCs w:val="21"/>
                <w:highlight w:val="none"/>
                <w:u w:val="none"/>
              </w:rPr>
              <w:t>南宁市良庆区平乐大道20号五象湖公园4号楼</w:t>
            </w:r>
          </w:p>
        </w:tc>
      </w:tr>
      <w:tr w14:paraId="4F5AE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vMerge w:val="continue"/>
            <w:tcBorders>
              <w:top w:val="nil"/>
              <w:left w:val="single" w:color="000000" w:sz="4" w:space="0"/>
              <w:bottom w:val="single" w:color="000000" w:sz="4" w:space="0"/>
              <w:right w:val="single" w:color="000000" w:sz="4" w:space="0"/>
            </w:tcBorders>
            <w:noWrap w:val="0"/>
            <w:vAlign w:val="center"/>
          </w:tcPr>
          <w:p w14:paraId="2E846420">
            <w:pPr>
              <w:widowControl/>
              <w:jc w:val="left"/>
              <w:rPr>
                <w:rFonts w:hint="eastAsia" w:ascii="宋体" w:hAnsi="宋体" w:cs="宋体"/>
                <w:color w:val="auto"/>
                <w:szCs w:val="21"/>
                <w:highlight w:val="none"/>
              </w:rPr>
            </w:pPr>
          </w:p>
        </w:tc>
        <w:tc>
          <w:tcPr>
            <w:tcW w:w="910" w:type="pct"/>
            <w:tcBorders>
              <w:top w:val="single" w:color="000000" w:sz="4" w:space="0"/>
              <w:left w:val="nil"/>
              <w:bottom w:val="single" w:color="000000" w:sz="4" w:space="0"/>
              <w:right w:val="single" w:color="000000" w:sz="4" w:space="0"/>
            </w:tcBorders>
            <w:noWrap w:val="0"/>
            <w:vAlign w:val="center"/>
          </w:tcPr>
          <w:p w14:paraId="07CCAB84">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现场提交质疑办理业务时间</w:t>
            </w:r>
          </w:p>
        </w:tc>
        <w:tc>
          <w:tcPr>
            <w:tcW w:w="3586" w:type="pct"/>
            <w:tcBorders>
              <w:top w:val="single" w:color="000000" w:sz="4" w:space="0"/>
              <w:left w:val="nil"/>
              <w:bottom w:val="single" w:color="000000" w:sz="4" w:space="0"/>
              <w:right w:val="single" w:color="000000" w:sz="4" w:space="0"/>
            </w:tcBorders>
            <w:noWrap w:val="0"/>
            <w:vAlign w:val="center"/>
          </w:tcPr>
          <w:p w14:paraId="3918F55D">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lang w:val="en-US" w:eastAsia="zh-CN"/>
              </w:rPr>
              <w:t>09</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12</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r>
              <w:rPr>
                <w:rFonts w:hint="eastAsia" w:ascii="宋体" w:hAnsi="宋体" w:cs="宋体"/>
                <w:color w:val="auto"/>
                <w:highlight w:val="none"/>
                <w:u w:val="single"/>
              </w:rPr>
              <w:t>14</w:t>
            </w:r>
            <w:r>
              <w:rPr>
                <w:rFonts w:hint="eastAsia" w:ascii="宋体" w:hAnsi="宋体" w:cs="宋体"/>
                <w:color w:val="auto"/>
                <w:highlight w:val="none"/>
              </w:rPr>
              <w:t>时</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0</w:t>
            </w:r>
            <w:r>
              <w:rPr>
                <w:rFonts w:hint="eastAsia" w:ascii="宋体" w:hAnsi="宋体" w:cs="宋体"/>
                <w:color w:val="auto"/>
                <w:highlight w:val="none"/>
              </w:rPr>
              <w:t>分到</w:t>
            </w:r>
            <w:r>
              <w:rPr>
                <w:rFonts w:hint="eastAsia" w:ascii="宋体" w:hAnsi="宋体" w:cs="宋体"/>
                <w:color w:val="auto"/>
                <w:highlight w:val="none"/>
                <w:u w:val="single"/>
              </w:rPr>
              <w:t>18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p>
        </w:tc>
      </w:tr>
      <w:tr w14:paraId="20992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1A24F0EC">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31.6</w:t>
            </w:r>
          </w:p>
        </w:tc>
        <w:tc>
          <w:tcPr>
            <w:tcW w:w="910" w:type="pct"/>
            <w:tcBorders>
              <w:top w:val="single" w:color="000000" w:sz="4" w:space="0"/>
              <w:left w:val="nil"/>
              <w:bottom w:val="single" w:color="000000" w:sz="4" w:space="0"/>
              <w:right w:val="single" w:color="000000" w:sz="4" w:space="0"/>
            </w:tcBorders>
            <w:noWrap w:val="0"/>
            <w:vAlign w:val="center"/>
          </w:tcPr>
          <w:p w14:paraId="03FE1B8D">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受理投诉方式</w:t>
            </w:r>
          </w:p>
        </w:tc>
        <w:tc>
          <w:tcPr>
            <w:tcW w:w="3586" w:type="pct"/>
            <w:tcBorders>
              <w:top w:val="single" w:color="000000" w:sz="4" w:space="0"/>
              <w:left w:val="nil"/>
              <w:bottom w:val="single" w:color="000000" w:sz="4" w:space="0"/>
              <w:right w:val="single" w:color="000000" w:sz="4" w:space="0"/>
            </w:tcBorders>
            <w:noWrap w:val="0"/>
            <w:vAlign w:val="center"/>
          </w:tcPr>
          <w:p w14:paraId="587F92B8">
            <w:pPr>
              <w:snapToGrid w:val="0"/>
              <w:spacing w:line="400" w:lineRule="exact"/>
              <w:jc w:val="left"/>
              <w:rPr>
                <w:rFonts w:hint="eastAsia" w:ascii="宋体" w:hAnsi="宋体" w:cs="宋体"/>
                <w:color w:val="auto"/>
                <w:szCs w:val="21"/>
                <w:highlight w:val="none"/>
              </w:rPr>
            </w:pPr>
            <w:r>
              <w:rPr>
                <w:rFonts w:hint="eastAsia" w:ascii="宋体" w:hAnsi="宋体" w:cs="宋体"/>
                <w:color w:val="auto"/>
                <w:highlight w:val="none"/>
              </w:rPr>
              <w:t>1、受理方式：纸质方式受理，投诉书正、副本（经过质疑的事项才可投诉）。</w:t>
            </w:r>
          </w:p>
          <w:p w14:paraId="0FDA174A">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rPr>
              <w:t>2、邮寄地址：</w:t>
            </w:r>
          </w:p>
          <w:p w14:paraId="781DB4FF">
            <w:pPr>
              <w:snapToGrid w:val="0"/>
              <w:spacing w:line="380" w:lineRule="exact"/>
              <w:rPr>
                <w:rFonts w:hAnsi="宋体"/>
                <w:color w:val="auto"/>
                <w:highlight w:val="none"/>
              </w:rPr>
            </w:pPr>
            <w:r>
              <w:rPr>
                <w:rFonts w:hint="eastAsia" w:hAnsi="宋体"/>
                <w:color w:val="auto"/>
                <w:highlight w:val="none"/>
              </w:rPr>
              <w:t>名称：南宁市良庆区政府采购监督管理股</w:t>
            </w:r>
          </w:p>
          <w:p w14:paraId="36E204F3">
            <w:pPr>
              <w:snapToGrid w:val="0"/>
              <w:spacing w:line="380" w:lineRule="exact"/>
              <w:rPr>
                <w:rFonts w:hint="eastAsia" w:hAnsi="宋体"/>
                <w:color w:val="auto"/>
                <w:highlight w:val="none"/>
              </w:rPr>
            </w:pPr>
            <w:r>
              <w:rPr>
                <w:rFonts w:hint="eastAsia" w:hAnsi="宋体"/>
                <w:color w:val="auto"/>
                <w:highlight w:val="none"/>
              </w:rPr>
              <w:t>地址：南宁市歌海路9号</w:t>
            </w:r>
          </w:p>
          <w:p w14:paraId="18700556">
            <w:pPr>
              <w:snapToGrid w:val="0"/>
              <w:spacing w:line="400" w:lineRule="exact"/>
              <w:jc w:val="left"/>
              <w:rPr>
                <w:rFonts w:hint="eastAsia" w:ascii="宋体" w:hAnsi="宋体" w:cs="宋体"/>
                <w:color w:val="auto"/>
                <w:szCs w:val="21"/>
                <w:highlight w:val="none"/>
              </w:rPr>
            </w:pPr>
            <w:r>
              <w:rPr>
                <w:rFonts w:hint="eastAsia" w:hAnsi="宋体"/>
                <w:color w:val="auto"/>
                <w:highlight w:val="none"/>
              </w:rPr>
              <w:t>联系电话：0771-4950646</w:t>
            </w:r>
          </w:p>
        </w:tc>
      </w:tr>
      <w:tr w14:paraId="37922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27498214">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33</w:t>
            </w:r>
          </w:p>
        </w:tc>
        <w:tc>
          <w:tcPr>
            <w:tcW w:w="910" w:type="pct"/>
            <w:tcBorders>
              <w:top w:val="single" w:color="000000" w:sz="4" w:space="0"/>
              <w:left w:val="nil"/>
              <w:bottom w:val="single" w:color="000000" w:sz="4" w:space="0"/>
              <w:right w:val="single" w:color="000000" w:sz="4" w:space="0"/>
            </w:tcBorders>
            <w:noWrap w:val="0"/>
            <w:vAlign w:val="center"/>
          </w:tcPr>
          <w:p w14:paraId="5B4FF2E8">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采购代理费</w:t>
            </w:r>
          </w:p>
        </w:tc>
        <w:tc>
          <w:tcPr>
            <w:tcW w:w="3586" w:type="pct"/>
            <w:tcBorders>
              <w:top w:val="single" w:color="000000" w:sz="4" w:space="0"/>
              <w:left w:val="nil"/>
              <w:bottom w:val="single" w:color="000000" w:sz="4" w:space="0"/>
              <w:right w:val="single" w:color="000000" w:sz="4" w:space="0"/>
            </w:tcBorders>
            <w:noWrap w:val="0"/>
            <w:vAlign w:val="center"/>
          </w:tcPr>
          <w:p w14:paraId="33A680B2">
            <w:pPr>
              <w:pStyle w:val="14"/>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hAnsi="宋体" w:cs="宋体"/>
                <w:color w:val="auto"/>
                <w:sz w:val="21"/>
                <w:highlight w:val="none"/>
              </w:rPr>
            </w:pPr>
            <w:r>
              <w:rPr>
                <w:rFonts w:hint="eastAsia" w:hAnsi="宋体" w:cs="宋体"/>
                <w:color w:val="auto"/>
                <w:sz w:val="21"/>
                <w:highlight w:val="none"/>
              </w:rPr>
              <w:t>1. 是否收取采购代理费：</w:t>
            </w:r>
          </w:p>
          <w:p w14:paraId="4DCEB5DD">
            <w:pPr>
              <w:pStyle w:val="14"/>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hAnsi="宋体" w:cs="宋体"/>
                <w:color w:val="auto"/>
                <w:sz w:val="21"/>
                <w:highlight w:val="none"/>
              </w:rPr>
            </w:pPr>
            <w:r>
              <w:rPr>
                <w:rFonts w:hint="eastAsia" w:hAnsi="宋体" w:cs="宋体"/>
                <w:color w:val="auto"/>
                <w:sz w:val="21"/>
                <w:highlight w:val="none"/>
              </w:rPr>
              <w:t>☑是    □ 否</w:t>
            </w:r>
          </w:p>
          <w:p w14:paraId="6EEFC58A">
            <w:pPr>
              <w:pStyle w:val="14"/>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hAnsi="宋体" w:cs="宋体"/>
                <w:color w:val="auto"/>
                <w:sz w:val="21"/>
                <w:highlight w:val="none"/>
              </w:rPr>
            </w:pPr>
            <w:r>
              <w:rPr>
                <w:rFonts w:hint="eastAsia" w:hAnsi="宋体" w:cs="宋体"/>
                <w:color w:val="auto"/>
                <w:sz w:val="21"/>
                <w:highlight w:val="none"/>
              </w:rPr>
              <w:t>2.采购代理费支付方式：</w:t>
            </w:r>
          </w:p>
          <w:p w14:paraId="38A6992D">
            <w:pPr>
              <w:pStyle w:val="14"/>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领取成交通知书前，一次性向采购代理机构支付。</w:t>
            </w:r>
          </w:p>
          <w:p w14:paraId="72FC2A40">
            <w:pPr>
              <w:pStyle w:val="14"/>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hAnsi="宋体" w:cs="宋体"/>
                <w:color w:val="auto"/>
                <w:sz w:val="21"/>
                <w:highlight w:val="none"/>
              </w:rPr>
            </w:pPr>
            <w:r>
              <w:rPr>
                <w:rFonts w:hint="eastAsia" w:hAnsi="宋体" w:cs="宋体"/>
                <w:color w:val="auto"/>
                <w:sz w:val="21"/>
                <w:highlight w:val="none"/>
              </w:rPr>
              <w:t>□采购人支付。</w:t>
            </w:r>
          </w:p>
          <w:p w14:paraId="7D782257">
            <w:pPr>
              <w:pStyle w:val="14"/>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hAnsi="宋体" w:cs="宋体"/>
                <w:color w:val="auto"/>
                <w:sz w:val="21"/>
                <w:highlight w:val="none"/>
              </w:rPr>
            </w:pPr>
            <w:r>
              <w:rPr>
                <w:rFonts w:hint="eastAsia" w:hAnsi="宋体" w:cs="宋体"/>
                <w:color w:val="auto"/>
                <w:sz w:val="21"/>
                <w:highlight w:val="none"/>
              </w:rPr>
              <w:t>3.采购代理费收取标准：</w:t>
            </w:r>
          </w:p>
          <w:p w14:paraId="143913BE">
            <w:pPr>
              <w:pStyle w:val="14"/>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hAnsi="宋体" w:cs="宋体"/>
                <w:color w:val="auto"/>
                <w:sz w:val="21"/>
                <w:highlight w:val="none"/>
              </w:rPr>
            </w:pPr>
            <w:bookmarkStart w:id="52" w:name="PO_3000001868_PM025"/>
            <w:r>
              <w:rPr>
                <w:rFonts w:hint="eastAsia" w:hAnsi="宋体" w:cs="宋体"/>
                <w:color w:val="auto"/>
                <w:sz w:val="21"/>
                <w:highlight w:val="none"/>
              </w:rPr>
              <w:t>☑以分标（☑成交金额/□采购预算/□暂定成交金额/□其他）为计费额，按服务类采用差额定率累进法计算出收费基准价格，采购代理收费以参照国家发展改革委《关于进一步放开建设项目专业服务价格的通知》（发改价格〔2015〕299号）收费标准计取、《国家发展改革委关于降低部分建设项目收费标准规范收费行为等有关问题的通知》（发改价格【2011】534号）服务类收费标准计算基准价，□收费基准价格/☑收费基准价格下浮10%/□收费基准价格上浮   %）收取。</w:t>
            </w:r>
            <w:bookmarkEnd w:id="52"/>
          </w:p>
          <w:p w14:paraId="19642040">
            <w:pPr>
              <w:pStyle w:val="14"/>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cs="宋体"/>
                <w:color w:val="auto"/>
                <w:highlight w:val="none"/>
              </w:rPr>
            </w:pPr>
            <w:r>
              <w:rPr>
                <w:rFonts w:hint="eastAsia" w:hAnsi="宋体" w:cs="宋体"/>
                <w:color w:val="auto"/>
                <w:sz w:val="21"/>
                <w:highlight w:val="none"/>
              </w:rPr>
              <w:t>4.采购代理费收取银行账户</w:t>
            </w:r>
          </w:p>
          <w:p w14:paraId="23049454">
            <w:pPr>
              <w:pStyle w:val="14"/>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hAnsi="宋体" w:cs="宋体"/>
                <w:color w:val="auto"/>
                <w:sz w:val="21"/>
                <w:highlight w:val="none"/>
              </w:rPr>
            </w:pPr>
            <w:r>
              <w:rPr>
                <w:rFonts w:hint="eastAsia" w:hAnsi="宋体" w:cs="宋体"/>
                <w:color w:val="auto"/>
                <w:sz w:val="21"/>
                <w:highlight w:val="none"/>
              </w:rPr>
              <w:t>开户名称：广西盛元华工程咨询有限公司</w:t>
            </w:r>
          </w:p>
          <w:p w14:paraId="18245AF7">
            <w:pPr>
              <w:pStyle w:val="14"/>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hAnsi="宋体" w:cs="宋体"/>
                <w:color w:val="auto"/>
                <w:sz w:val="21"/>
                <w:highlight w:val="none"/>
              </w:rPr>
            </w:pPr>
            <w:r>
              <w:rPr>
                <w:rFonts w:hint="eastAsia" w:hAnsi="宋体" w:cs="宋体"/>
                <w:color w:val="auto"/>
                <w:sz w:val="21"/>
                <w:highlight w:val="none"/>
              </w:rPr>
              <w:t>开户银行：中国光大银行南宁桃源支行</w:t>
            </w:r>
          </w:p>
          <w:p w14:paraId="55AA39F0">
            <w:pPr>
              <w:pStyle w:val="14"/>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hAnsi="宋体" w:cs="宋体"/>
                <w:color w:val="auto"/>
                <w:sz w:val="21"/>
                <w:highlight w:val="none"/>
              </w:rPr>
            </w:pPr>
            <w:r>
              <w:rPr>
                <w:rFonts w:hint="eastAsia" w:hAnsi="宋体" w:cs="宋体"/>
                <w:color w:val="auto"/>
                <w:sz w:val="21"/>
                <w:highlight w:val="none"/>
              </w:rPr>
              <w:t>银行账号：7886 0188 0001 55152</w:t>
            </w:r>
          </w:p>
        </w:tc>
      </w:tr>
      <w:tr w14:paraId="251A7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0B636020">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34.1</w:t>
            </w:r>
          </w:p>
        </w:tc>
        <w:tc>
          <w:tcPr>
            <w:tcW w:w="910" w:type="pct"/>
            <w:tcBorders>
              <w:top w:val="single" w:color="000000" w:sz="4" w:space="0"/>
              <w:left w:val="nil"/>
              <w:bottom w:val="single" w:color="000000" w:sz="4" w:space="0"/>
              <w:right w:val="single" w:color="000000" w:sz="4" w:space="0"/>
            </w:tcBorders>
            <w:noWrap w:val="0"/>
            <w:vAlign w:val="center"/>
          </w:tcPr>
          <w:p w14:paraId="51E6C7FC">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解释</w:t>
            </w:r>
          </w:p>
        </w:tc>
        <w:tc>
          <w:tcPr>
            <w:tcW w:w="3586" w:type="pct"/>
            <w:tcBorders>
              <w:top w:val="single" w:color="000000" w:sz="4" w:space="0"/>
              <w:left w:val="nil"/>
              <w:bottom w:val="single" w:color="000000" w:sz="4" w:space="0"/>
              <w:right w:val="single" w:color="000000" w:sz="4" w:space="0"/>
            </w:tcBorders>
            <w:noWrap w:val="0"/>
            <w:vAlign w:val="center"/>
          </w:tcPr>
          <w:p w14:paraId="238A93CD">
            <w:pPr>
              <w:pStyle w:val="14"/>
              <w:snapToGrid w:val="0"/>
              <w:spacing w:line="400" w:lineRule="exact"/>
              <w:jc w:val="left"/>
              <w:rPr>
                <w:rFonts w:hint="eastAsia" w:hAnsi="宋体" w:cs="宋体"/>
                <w:b/>
                <w:color w:val="auto"/>
                <w:sz w:val="21"/>
                <w:highlight w:val="none"/>
              </w:rPr>
            </w:pPr>
            <w:r>
              <w:rPr>
                <w:rFonts w:hint="eastAsia" w:hAnsi="宋体" w:cs="宋体"/>
                <w:b/>
                <w:color w:val="auto"/>
                <w:sz w:val="21"/>
                <w:highlight w:val="none"/>
              </w:rPr>
              <w:t>解释权：</w:t>
            </w:r>
            <w:r>
              <w:rPr>
                <w:rFonts w:hint="eastAsia" w:hAnsi="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auto"/>
                <w:sz w:val="21"/>
                <w:highlight w:val="none"/>
              </w:rPr>
              <w:t>由采购人或者采购代理机构负责解释。</w:t>
            </w:r>
          </w:p>
          <w:p w14:paraId="0C6BC110">
            <w:pPr>
              <w:pStyle w:val="14"/>
              <w:snapToGrid w:val="0"/>
              <w:spacing w:line="400" w:lineRule="exact"/>
              <w:jc w:val="left"/>
              <w:rPr>
                <w:rFonts w:hint="eastAsia" w:hAnsi="宋体" w:cs="宋体"/>
                <w:b/>
                <w:color w:val="auto"/>
                <w:sz w:val="21"/>
                <w:highlight w:val="none"/>
              </w:rPr>
            </w:pPr>
            <w:r>
              <w:rPr>
                <w:rFonts w:hint="eastAsia" w:hAnsi="宋体" w:cs="宋体"/>
                <w:b/>
                <w:color w:val="auto"/>
                <w:sz w:val="21"/>
                <w:highlight w:val="none"/>
              </w:rPr>
              <w:t>法律责任：</w:t>
            </w:r>
          </w:p>
          <w:p w14:paraId="43CE1C86">
            <w:pPr>
              <w:pStyle w:val="14"/>
              <w:snapToGrid w:val="0"/>
              <w:spacing w:line="400" w:lineRule="exact"/>
              <w:jc w:val="left"/>
              <w:rPr>
                <w:rFonts w:hint="eastAsia" w:hAnsi="宋体" w:cs="宋体"/>
                <w:color w:val="auto"/>
                <w:sz w:val="21"/>
                <w:highlight w:val="none"/>
              </w:rPr>
            </w:pPr>
            <w:r>
              <w:rPr>
                <w:rFonts w:hint="eastAsia" w:hAnsi="宋体" w:cs="宋体"/>
                <w:b w:val="0"/>
                <w:bCs/>
                <w:color w:val="auto"/>
                <w:sz w:val="21"/>
                <w:highlight w:val="none"/>
              </w:rPr>
              <w:t>1.</w:t>
            </w:r>
            <w:r>
              <w:rPr>
                <w:rFonts w:hint="eastAsia" w:hAnsi="宋体" w:cs="宋体"/>
                <w:bCs/>
                <w:color w:val="auto"/>
                <w:sz w:val="21"/>
                <w:highlight w:val="none"/>
              </w:rPr>
              <w:t>本</w:t>
            </w:r>
            <w:r>
              <w:rPr>
                <w:rFonts w:hint="eastAsia" w:hAnsi="宋体" w:cs="宋体"/>
                <w:color w:val="auto"/>
                <w:sz w:val="21"/>
                <w:highlight w:val="none"/>
              </w:rPr>
              <w:t>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48BF14AF">
            <w:pPr>
              <w:spacing w:line="400" w:lineRule="exact"/>
              <w:jc w:val="left"/>
              <w:rPr>
                <w:rFonts w:hint="eastAsia" w:ascii="宋体" w:hAnsi="宋体" w:cs="宋体"/>
                <w:color w:val="auto"/>
                <w:szCs w:val="21"/>
                <w:highlight w:val="none"/>
              </w:rPr>
            </w:pPr>
            <w:r>
              <w:rPr>
                <w:rFonts w:hint="eastAsia" w:ascii="宋体" w:hAnsi="宋体" w:cs="宋体"/>
                <w:b/>
                <w:color w:val="auto"/>
                <w:kern w:val="0"/>
                <w:highlight w:val="none"/>
              </w:rPr>
              <w:t>2.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09C67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pct"/>
            <w:tcBorders>
              <w:top w:val="single" w:color="000000" w:sz="4" w:space="0"/>
              <w:left w:val="single" w:color="000000" w:sz="4" w:space="0"/>
              <w:bottom w:val="single" w:color="000000" w:sz="4" w:space="0"/>
              <w:right w:val="single" w:color="000000" w:sz="4" w:space="0"/>
            </w:tcBorders>
            <w:noWrap w:val="0"/>
            <w:vAlign w:val="center"/>
          </w:tcPr>
          <w:p w14:paraId="0EDD9393">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34.2</w:t>
            </w:r>
          </w:p>
        </w:tc>
        <w:tc>
          <w:tcPr>
            <w:tcW w:w="910" w:type="pct"/>
            <w:tcBorders>
              <w:top w:val="single" w:color="000000" w:sz="4" w:space="0"/>
              <w:left w:val="nil"/>
              <w:bottom w:val="single" w:color="000000" w:sz="4" w:space="0"/>
              <w:right w:val="single" w:color="000000" w:sz="4" w:space="0"/>
            </w:tcBorders>
            <w:noWrap w:val="0"/>
            <w:vAlign w:val="center"/>
          </w:tcPr>
          <w:p w14:paraId="40C59242">
            <w:pPr>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其他</w:t>
            </w:r>
          </w:p>
        </w:tc>
        <w:tc>
          <w:tcPr>
            <w:tcW w:w="3586" w:type="pct"/>
            <w:tcBorders>
              <w:top w:val="single" w:color="000000" w:sz="4" w:space="0"/>
              <w:left w:val="nil"/>
              <w:bottom w:val="single" w:color="000000" w:sz="4" w:space="0"/>
              <w:right w:val="single" w:color="000000" w:sz="4" w:space="0"/>
            </w:tcBorders>
            <w:noWrap w:val="0"/>
            <w:vAlign w:val="center"/>
          </w:tcPr>
          <w:p w14:paraId="2B77DDA6">
            <w:pPr>
              <w:pStyle w:val="14"/>
              <w:snapToGrid w:val="0"/>
              <w:spacing w:line="400" w:lineRule="exact"/>
              <w:jc w:val="left"/>
              <w:rPr>
                <w:rFonts w:hint="eastAsia"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w:t>
            </w:r>
            <w:r>
              <w:rPr>
                <w:rFonts w:hint="eastAsia" w:hAnsi="宋体" w:cs="宋体"/>
                <w:b/>
                <w:bCs/>
                <w:color w:val="auto"/>
                <w:sz w:val="21"/>
                <w:highlight w:val="none"/>
                <w:u w:val="single"/>
                <w:lang w:val="en-US" w:eastAsia="zh-CN"/>
              </w:rPr>
              <w:t>或供应商</w:t>
            </w:r>
            <w:r>
              <w:rPr>
                <w:rFonts w:hint="eastAsia" w:ascii="宋体" w:hAnsi="宋体" w:eastAsia="宋体" w:cs="宋体"/>
                <w:b/>
                <w:bCs/>
                <w:color w:val="auto"/>
                <w:sz w:val="21"/>
                <w:highlight w:val="none"/>
                <w:u w:val="single"/>
                <w:lang w:val="en-US" w:eastAsia="zh-CN"/>
              </w:rPr>
              <w:t>通过“广西政府采购云平台”获得的CA电子章</w:t>
            </w:r>
            <w:r>
              <w:rPr>
                <w:rFonts w:hint="eastAsia" w:hAnsi="宋体" w:cs="宋体"/>
                <w:color w:val="auto"/>
                <w:sz w:val="21"/>
                <w:highlight w:val="none"/>
              </w:rPr>
              <w:t>，除本磋商文件有特殊规定外，供应商的财务章、部门章、分公司章、工会章、合同章、竞标/投标专用章、业务专用章及银行的转账章、现金收讫章、现金付讫章等其他形式印章均不能代替公章。</w:t>
            </w:r>
            <w:r>
              <w:rPr>
                <w:rFonts w:hint="eastAsia" w:ascii="宋体" w:hAnsi="宋体" w:cs="宋体"/>
                <w:b/>
                <w:color w:val="auto"/>
                <w:highlight w:val="none"/>
                <w:u w:val="single"/>
                <w:lang w:val="en-US" w:eastAsia="zh-CN"/>
              </w:rPr>
              <w:t>供应商为联合体竞标的，</w:t>
            </w:r>
            <w:r>
              <w:rPr>
                <w:rFonts w:hint="eastAsia" w:ascii="宋体" w:hAnsi="宋体" w:cs="宋体"/>
                <w:b/>
                <w:color w:val="auto"/>
                <w:highlight w:val="none"/>
                <w:u w:val="single"/>
              </w:rPr>
              <w:t>供应商电子公章</w:t>
            </w:r>
            <w:r>
              <w:rPr>
                <w:rFonts w:hint="eastAsia" w:ascii="宋体" w:hAnsi="宋体" w:cs="宋体"/>
                <w:b/>
                <w:color w:val="auto"/>
                <w:highlight w:val="none"/>
                <w:u w:val="single"/>
                <w:lang w:val="en-US" w:eastAsia="zh-CN"/>
              </w:rPr>
              <w:t>可按牵头人电子章为准。</w:t>
            </w:r>
          </w:p>
          <w:p w14:paraId="71E1FE54">
            <w:pPr>
              <w:pStyle w:val="14"/>
              <w:snapToGrid w:val="0"/>
              <w:spacing w:line="400" w:lineRule="exact"/>
              <w:jc w:val="left"/>
              <w:rPr>
                <w:rFonts w:hint="eastAsia" w:hAnsi="宋体" w:cs="宋体"/>
                <w:color w:val="auto"/>
                <w:sz w:val="21"/>
                <w:highlight w:val="none"/>
              </w:rPr>
            </w:pPr>
            <w:r>
              <w:rPr>
                <w:rFonts w:hint="eastAsia" w:hAnsi="宋体" w:cs="宋体"/>
                <w:color w:val="auto"/>
                <w:sz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FD8032B">
            <w:pPr>
              <w:pStyle w:val="14"/>
              <w:snapToGrid w:val="0"/>
              <w:spacing w:line="400" w:lineRule="exact"/>
              <w:jc w:val="left"/>
              <w:rPr>
                <w:rFonts w:hint="eastAsia" w:hAnsi="宋体" w:cs="宋体"/>
                <w:color w:val="auto"/>
                <w:sz w:val="21"/>
                <w:highlight w:val="none"/>
              </w:rPr>
            </w:pPr>
            <w:r>
              <w:rPr>
                <w:rFonts w:hint="eastAsia" w:hAnsi="宋体" w:cs="宋体"/>
                <w:color w:val="auto"/>
                <w:sz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0403AFDB">
            <w:pPr>
              <w:pStyle w:val="14"/>
              <w:snapToGrid w:val="0"/>
              <w:spacing w:line="400" w:lineRule="exact"/>
              <w:jc w:val="left"/>
              <w:rPr>
                <w:rFonts w:hint="eastAsia" w:hAnsi="宋体" w:cs="宋体"/>
                <w:color w:val="auto"/>
                <w:sz w:val="21"/>
                <w:highlight w:val="none"/>
              </w:rPr>
            </w:pPr>
            <w:r>
              <w:rPr>
                <w:rFonts w:hint="eastAsia" w:hAnsi="宋体" w:cs="宋体"/>
                <w:color w:val="auto"/>
                <w:sz w:val="21"/>
                <w:highlight w:val="none"/>
              </w:rPr>
              <w:t>4.自然人竞标的，磋商文件规定盖公章处由自然人摁手指指印。</w:t>
            </w:r>
          </w:p>
          <w:p w14:paraId="62951705">
            <w:pPr>
              <w:pStyle w:val="14"/>
              <w:snapToGrid w:val="0"/>
              <w:spacing w:line="400" w:lineRule="exact"/>
              <w:jc w:val="left"/>
              <w:rPr>
                <w:rFonts w:hint="eastAsia" w:hAnsi="宋体" w:cs="宋体"/>
                <w:color w:val="auto"/>
                <w:sz w:val="21"/>
                <w:highlight w:val="none"/>
              </w:rPr>
            </w:pPr>
            <w:r>
              <w:rPr>
                <w:rFonts w:hint="eastAsia" w:hAnsi="宋体" w:cs="宋体"/>
                <w:color w:val="auto"/>
                <w:sz w:val="21"/>
                <w:highlight w:val="none"/>
              </w:rPr>
              <w:t>5.本磋商文件所称的“以上”“以下”“以内”“届满”，包括本数；所称的“不满”“超过”“以外”，不包括本数。</w:t>
            </w:r>
          </w:p>
        </w:tc>
      </w:tr>
    </w:tbl>
    <w:p w14:paraId="29FEAED2">
      <w:pPr>
        <w:rPr>
          <w:rFonts w:hint="eastAsia"/>
          <w:color w:val="auto"/>
          <w:highlight w:val="none"/>
        </w:rPr>
      </w:pPr>
      <w:bookmarkStart w:id="53" w:name="_Toc22962"/>
      <w:bookmarkEnd w:id="53"/>
      <w:bookmarkStart w:id="54" w:name="_Toc1674"/>
    </w:p>
    <w:p w14:paraId="2E3CED5E">
      <w:pPr>
        <w:pStyle w:val="5"/>
        <w:spacing w:before="0" w:after="0" w:line="360" w:lineRule="auto"/>
        <w:jc w:val="center"/>
        <w:rPr>
          <w:rFonts w:hint="eastAsia" w:ascii="宋体" w:hAnsi="宋体" w:cs="宋体"/>
          <w:b w:val="0"/>
          <w:color w:val="auto"/>
          <w:sz w:val="32"/>
          <w:szCs w:val="32"/>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7B767435">
      <w:pPr>
        <w:pStyle w:val="5"/>
        <w:spacing w:before="0" w:after="0" w:line="360" w:lineRule="auto"/>
        <w:jc w:val="center"/>
        <w:rPr>
          <w:rFonts w:hint="eastAsia" w:ascii="宋体" w:hAnsi="宋体" w:cs="宋体"/>
          <w:b w:val="0"/>
          <w:color w:val="auto"/>
          <w:highlight w:val="none"/>
        </w:rPr>
      </w:pPr>
      <w:r>
        <w:rPr>
          <w:rFonts w:hint="eastAsia" w:ascii="宋体" w:hAnsi="宋体" w:cs="宋体"/>
          <w:b w:val="0"/>
          <w:color w:val="auto"/>
          <w:sz w:val="32"/>
          <w:szCs w:val="32"/>
          <w:highlight w:val="none"/>
        </w:rPr>
        <w:t>第二节 供应商须知正文</w:t>
      </w:r>
      <w:bookmarkEnd w:id="54"/>
    </w:p>
    <w:p w14:paraId="6CFA78E2">
      <w:pPr>
        <w:pStyle w:val="6"/>
        <w:spacing w:before="0" w:after="0" w:line="360" w:lineRule="auto"/>
        <w:ind w:firstLine="640" w:firstLineChars="200"/>
        <w:rPr>
          <w:rFonts w:hint="eastAsia" w:ascii="宋体" w:hAnsi="宋体" w:cs="宋体"/>
          <w:b w:val="0"/>
          <w:color w:val="auto"/>
          <w:highlight w:val="none"/>
        </w:rPr>
      </w:pPr>
      <w:bookmarkStart w:id="55" w:name="_Toc10364"/>
      <w:bookmarkEnd w:id="55"/>
      <w:r>
        <w:rPr>
          <w:rFonts w:hint="eastAsia" w:ascii="宋体" w:hAnsi="宋体" w:cs="宋体"/>
          <w:b w:val="0"/>
          <w:color w:val="auto"/>
          <w:highlight w:val="none"/>
        </w:rPr>
        <w:t>一、总则</w:t>
      </w:r>
    </w:p>
    <w:p w14:paraId="2ED22042">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1.适用范围</w:t>
      </w:r>
    </w:p>
    <w:p w14:paraId="2289BDF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158690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1.2</w:t>
      </w:r>
      <w:r>
        <w:rPr>
          <w:rFonts w:hint="eastAsia" w:ascii="宋体" w:hAnsi="宋体" w:cs="宋体"/>
          <w:color w:val="auto"/>
          <w:spacing w:val="-6"/>
          <w:highlight w:val="none"/>
        </w:rPr>
        <w:t>本竞争性磋商文件（以下简称磋商文件）适用于本项目的所有采购程序和环节（法律、法规另有规定的，从其规定）。</w:t>
      </w:r>
    </w:p>
    <w:p w14:paraId="6E975617">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2.定义</w:t>
      </w:r>
    </w:p>
    <w:p w14:paraId="47CF9A8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2.1“采购人”是指依法进行政府采购的国家机关、事业单位、团体组织。</w:t>
      </w:r>
    </w:p>
    <w:p w14:paraId="5B4C7466">
      <w:pPr>
        <w:spacing w:line="360"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2.2“采购代理机构”是指政府采购集中采购机构和集中采购机构以外的采购代理机构。</w:t>
      </w:r>
    </w:p>
    <w:p w14:paraId="35978E2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2.3“供应商”是指向采购人提供货物、工程或者服务的法人、其他组织或者自然人。</w:t>
      </w:r>
    </w:p>
    <w:p w14:paraId="76D3601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2.4“服务”是指除货物和工程以外的其他政府采购对象。</w:t>
      </w:r>
    </w:p>
    <w:p w14:paraId="711E89A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2.5“竞标”是指供应商按照本项目竞争性磋商公告或者邀请函规定的方式获取磋商文件、提交响应文件并希望获得标的的行为。</w:t>
      </w:r>
    </w:p>
    <w:p w14:paraId="5949B8D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2.6“响应文件”</w:t>
      </w:r>
      <w:r>
        <w:rPr>
          <w:rFonts w:hint="eastAsia" w:ascii="宋体" w:hAnsi="宋体" w:cs="宋体"/>
          <w:color w:val="auto"/>
          <w:spacing w:val="-6"/>
          <w:highlight w:val="none"/>
        </w:rPr>
        <w:t>是指：供应商根据本磋商文件要求，编制包含资格证明、报价商务技术等所有内容的文件。</w:t>
      </w:r>
    </w:p>
    <w:p w14:paraId="1DAB239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2.7“实质性要求”是指磋商文件中已经指明不满足则响应文件按无效响应处理的条款，或者不能负偏离的条款，或者采购需求中带“▲”的条款。</w:t>
      </w:r>
    </w:p>
    <w:p w14:paraId="5BE0D8B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2.8“正偏离”，是指响应文件对磋商文件“采购需求”中有关条款作出的响应优于条款要求并有利于采购人的情形。</w:t>
      </w:r>
    </w:p>
    <w:p w14:paraId="0A501B4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2.9“负偏离”，是指响应文件对磋商文件“采购需求”中有关条款作出的响应不满足条款要求，导致采购人要求不能得到满足的情形。</w:t>
      </w:r>
    </w:p>
    <w:p w14:paraId="670B0A4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2.10“允许负偏离的条款”是指采购需求中的不属于“实质性要求”的条款。</w:t>
      </w:r>
    </w:p>
    <w:p w14:paraId="77D5442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2.11“书面形式”是指合同书、信件和数据电文（包括电报、电传、传真、电子数据交换和电子邮件）等可以有形地表现所载内容的形式。</w:t>
      </w:r>
    </w:p>
    <w:p w14:paraId="4B85223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2.12“首次报价”是指供应商提交的首次响应文件中的报价。</w:t>
      </w:r>
    </w:p>
    <w:p w14:paraId="5580FE2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2.13“评审报价”是指供应商提交的最后报价并经修正（如有）和政策功能价格扣除（如有）后的价格。</w:t>
      </w:r>
    </w:p>
    <w:p w14:paraId="0319ABF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3.供应商的资格条件</w:t>
      </w:r>
    </w:p>
    <w:p w14:paraId="67D881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供应商的资格条件详见“供应商须知前附表”。</w:t>
      </w:r>
    </w:p>
    <w:p w14:paraId="07E45DD7">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4.磋商费用</w:t>
      </w:r>
    </w:p>
    <w:p w14:paraId="0A7B7D7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供应商应承担参与本次采购活动有关的所有费用，包括但不限于、勘查现场、编制和提交响应文件、参加磋商与应答、签订合同等，不论竞标结果如何，均应自行承担。</w:t>
      </w:r>
    </w:p>
    <w:p w14:paraId="7B274655">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5.联合体竞标</w:t>
      </w:r>
    </w:p>
    <w:p w14:paraId="773038D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5.1本项目是否接受联合体竞标，详见“供应商须知前附表”。</w:t>
      </w:r>
    </w:p>
    <w:p w14:paraId="2B555804">
      <w:pPr>
        <w:spacing w:line="360" w:lineRule="auto"/>
        <w:ind w:firstLine="420" w:firstLineChars="200"/>
        <w:rPr>
          <w:rFonts w:hint="eastAsia" w:ascii="宋体" w:hAnsi="宋体" w:cs="宋体"/>
          <w:bCs/>
          <w:color w:val="auto"/>
          <w:highlight w:val="none"/>
        </w:rPr>
      </w:pPr>
      <w:r>
        <w:rPr>
          <w:rFonts w:hint="eastAsia" w:ascii="宋体" w:hAnsi="宋体" w:cs="宋体"/>
          <w:color w:val="auto"/>
          <w:highlight w:val="none"/>
        </w:rPr>
        <w:t>5.2如接受联合体竞标，联合体竞标要求详见“供应商须知前附表”。</w:t>
      </w:r>
    </w:p>
    <w:p w14:paraId="555A57C7">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694E4C0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6.1本项目是否允许分包详见“供应商须知前附表”，本项目不允许违法分包。</w:t>
      </w:r>
    </w:p>
    <w:p w14:paraId="7332B1D8">
      <w:pPr>
        <w:spacing w:line="360" w:lineRule="auto"/>
        <w:ind w:firstLine="420" w:firstLineChars="200"/>
        <w:rPr>
          <w:rFonts w:hint="eastAsia" w:ascii="宋体" w:hAnsi="宋体" w:cs="宋体"/>
          <w:bCs/>
          <w:color w:val="auto"/>
          <w:highlight w:val="none"/>
        </w:rPr>
      </w:pPr>
      <w:r>
        <w:rPr>
          <w:rFonts w:hint="eastAsia" w:ascii="宋体" w:hAnsi="宋体" w:cs="宋体"/>
          <w:color w:val="auto"/>
          <w:highlight w:val="none"/>
        </w:rPr>
        <w:t>6.2</w:t>
      </w:r>
      <w:r>
        <w:rPr>
          <w:rFonts w:hint="eastAsia" w:ascii="宋体" w:hAnsi="宋体" w:cs="宋体"/>
          <w:bCs/>
          <w:color w:val="auto"/>
          <w:highlight w:val="none"/>
        </w:rPr>
        <w:t>根据《政府采购促进中小企业发展管理办法》（财库[2020]46号）第九条及《广西壮族自治区财政厅关于进一步发挥政府采购政策功能促进企业发展的通知》（桂财采〔2022〕30号）、</w:t>
      </w:r>
      <w:r>
        <w:rPr>
          <w:rFonts w:hint="eastAsia" w:ascii="宋体" w:hAnsi="宋体" w:cs="宋体"/>
          <w:color w:val="auto"/>
          <w:highlight w:val="none"/>
        </w:rPr>
        <w:t>《广西壮族自治区财政厅关于贯彻落实政府采购支持中小企业发展政策的通知》（桂财采〔2022〕31号）</w:t>
      </w:r>
      <w:r>
        <w:rPr>
          <w:rFonts w:hint="eastAsia" w:ascii="宋体" w:hAnsi="宋体" w:cs="宋体"/>
          <w:bCs/>
          <w:color w:val="auto"/>
          <w:highlight w:val="none"/>
        </w:rPr>
        <w:t>规定，允许大中型企业向一家或者多家小微企业分包的采购项目，对于分包意向协议约定小微企业的合同份额占到合同总金额 30%以上的，采购人、采购代理机构应当对大中型企业的报价给予 6%的扣除，用扣除后的价格参加评审。接受分包的小微企业与分包企业之间存在直接控股、管理关系的，不享受价格扣除优惠政策。</w:t>
      </w:r>
    </w:p>
    <w:p w14:paraId="46A82378">
      <w:pPr>
        <w:spacing w:line="360" w:lineRule="auto"/>
        <w:ind w:firstLine="482" w:firstLineChars="200"/>
        <w:rPr>
          <w:rFonts w:hint="eastAsia" w:ascii="宋体" w:hAnsi="宋体" w:cs="宋体"/>
          <w:b/>
          <w:bCs/>
          <w:color w:val="auto"/>
          <w:sz w:val="24"/>
          <w:highlight w:val="none"/>
        </w:rPr>
      </w:pPr>
      <w:bookmarkStart w:id="56" w:name="_Toc254970673"/>
      <w:bookmarkEnd w:id="56"/>
      <w:bookmarkStart w:id="57" w:name="_Toc254970532"/>
      <w:r>
        <w:rPr>
          <w:rFonts w:hint="eastAsia" w:ascii="宋体" w:hAnsi="宋体" w:cs="宋体"/>
          <w:b/>
          <w:bCs/>
          <w:color w:val="auto"/>
          <w:sz w:val="24"/>
          <w:highlight w:val="none"/>
        </w:rPr>
        <w:t>7.特别说明</w:t>
      </w:r>
      <w:bookmarkEnd w:id="57"/>
    </w:p>
    <w:p w14:paraId="2AFDD23A">
      <w:pPr>
        <w:spacing w:line="360" w:lineRule="auto"/>
        <w:ind w:firstLine="420" w:firstLineChars="200"/>
        <w:rPr>
          <w:rFonts w:hint="eastAsia" w:ascii="宋体" w:hAnsi="宋体" w:cs="宋体"/>
          <w:color w:val="auto"/>
          <w:szCs w:val="21"/>
          <w:highlight w:val="none"/>
        </w:rPr>
      </w:pPr>
      <w:bookmarkStart w:id="58" w:name="_8.1提供相同品牌产品且通过资格审查、符合性审查的不同投标人参加同一合"/>
      <w:bookmarkEnd w:id="58"/>
      <w:r>
        <w:rPr>
          <w:rFonts w:hint="eastAsia" w:ascii="宋体" w:hAnsi="宋体" w:cs="宋体"/>
          <w:color w:val="auto"/>
          <w:highlight w:val="none"/>
        </w:rPr>
        <w:t>7.1</w:t>
      </w:r>
      <w:bookmarkStart w:id="59" w:name="_Hlk65832145"/>
      <w:bookmarkEnd w:id="59"/>
      <w:r>
        <w:rPr>
          <w:rFonts w:hint="eastAsia" w:ascii="宋体" w:hAnsi="宋体" w:cs="宋体"/>
          <w:color w:val="auto"/>
          <w:highlight w:val="none"/>
        </w:rPr>
        <w:t>如果本磋商文件要求提供供应商或制造商的资格、信誉、荣誉、业绩与企业认证等材料的，资格、信誉、荣誉、业绩与企业认证等必须为供应商或者制造商所拥有或自身获得。</w:t>
      </w:r>
    </w:p>
    <w:p w14:paraId="750ADEE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7.2供应商应仔细阅读磋商文件的所有内容，按照磋商文件的要求提交响应文件，并对所提供的全部资料的真实性承担法律责任。</w:t>
      </w:r>
    </w:p>
    <w:p w14:paraId="080C573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3A08EA8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7.4在政府采购活动中，采购人员及相关人员与供应商有下列利害关系之一的，应当回避：</w:t>
      </w:r>
    </w:p>
    <w:p w14:paraId="170A8E3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（1）参加采购活动前3年内与供应商存在劳动关系；</w:t>
      </w:r>
    </w:p>
    <w:p w14:paraId="211BAD1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（2）参加采购活动前3年内担任供应商的董事、监事；</w:t>
      </w:r>
    </w:p>
    <w:p w14:paraId="249B44F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（3）参加采购活动前3年内是供应商的控股股东或者实际控制人；</w:t>
      </w:r>
    </w:p>
    <w:p w14:paraId="0D1B326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（4）与供应商的法定代表人或者负责人有夫妻、直系血亲、三代以内旁系血亲或者近姻亲关系；</w:t>
      </w:r>
    </w:p>
    <w:p w14:paraId="739FFE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（5）与供应商有其他可能影响政府采购活动公平、公正进行的关系。</w:t>
      </w:r>
    </w:p>
    <w:p w14:paraId="0B4858C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E0521A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7.5有下列情形之一的视为供应商相互串通竞标，响应文件将被视为无效：</w:t>
      </w:r>
    </w:p>
    <w:p w14:paraId="1897A31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（1）不同供应商的响应文件由同一单位或者个人编制；或者不同供应商报名的IP地址一致的；或者编制响应文件硬件设备CPU编号、硬盘编号、网卡地址一致的情况。 </w:t>
      </w:r>
    </w:p>
    <w:p w14:paraId="1021A0A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（2）不同供应商委托同一单位或者个人办理竞标事宜；</w:t>
      </w:r>
    </w:p>
    <w:p w14:paraId="30D2F6F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（3）不同的供应商的响应文件载明的项目管理员为同一个人；</w:t>
      </w:r>
    </w:p>
    <w:p w14:paraId="005906D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（4）不同供应商的响应文件异常一致或者报价呈规律性差异；</w:t>
      </w:r>
    </w:p>
    <w:p w14:paraId="36B570E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（5）不同供应商的响应文件相互混装；</w:t>
      </w:r>
    </w:p>
    <w:p w14:paraId="776CCA5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（6）不同供应商的磋商保证金从同一单位或者个人账户转出。</w:t>
      </w:r>
      <w:r>
        <w:rPr>
          <w:rFonts w:hint="eastAsia" w:ascii="宋体" w:hAnsi="宋体" w:cs="宋体"/>
          <w:color w:val="auto"/>
          <w:highlight w:val="none"/>
        </w:rPr>
        <w:tab/>
      </w:r>
    </w:p>
    <w:p w14:paraId="40A59C8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7.6供应商有下列情形之一的，属于恶意串通行为，将报同级监督管理部门：</w:t>
      </w:r>
    </w:p>
    <w:p w14:paraId="677A5C6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（1）供应商直接或者间接从采购人或者采购代理机构处获得其他供应商的相关信息并修改其响应文件；</w:t>
      </w:r>
    </w:p>
    <w:p w14:paraId="56549AA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（2）供应商按照采购人或者采购代理机构的授意撤换、修改响应文件；</w:t>
      </w:r>
    </w:p>
    <w:p w14:paraId="3B889D9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（3）供应商之间协商报价、技术方案等响应文件或者响应文件的实质性内容；</w:t>
      </w:r>
    </w:p>
    <w:p w14:paraId="1C56E6A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（4）属于同一集团、协会、商会等组织成员的供应商按照该组织要求协同参加政府采购活动；</w:t>
      </w:r>
    </w:p>
    <w:p w14:paraId="25C888D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（5）供应商之间事先约定一致抬高或者压低报价，或者在政府采购活动中事先约定轮流以高价位或者低价位成交，或者事先约定由某一特定供应商成交，然后再参加竞标；</w:t>
      </w:r>
    </w:p>
    <w:p w14:paraId="3C8CC5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（6）供应商之间商定部分供应商放弃参加政府采购活动或者放弃成交；</w:t>
      </w:r>
    </w:p>
    <w:p w14:paraId="0AD74F8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（7）供应商与采购人或者采购代理机构之间、供应商相互之间，为谋求特定供应商成交或者排斥其他供应商的其他串通行为。</w:t>
      </w:r>
    </w:p>
    <w:p w14:paraId="46E41928">
      <w:pPr>
        <w:pStyle w:val="6"/>
        <w:spacing w:before="0" w:after="0" w:line="360" w:lineRule="auto"/>
        <w:ind w:firstLine="640" w:firstLineChars="200"/>
        <w:rPr>
          <w:rFonts w:hint="eastAsia" w:ascii="宋体" w:hAnsi="宋体" w:cs="宋体"/>
          <w:b w:val="0"/>
          <w:bCs w:val="0"/>
          <w:color w:val="auto"/>
          <w:highlight w:val="none"/>
        </w:rPr>
      </w:pPr>
      <w:bookmarkStart w:id="60" w:name="_Toc254970534"/>
      <w:bookmarkEnd w:id="60"/>
      <w:bookmarkStart w:id="61" w:name="_Toc28927"/>
      <w:bookmarkEnd w:id="61"/>
      <w:bookmarkStart w:id="62" w:name="_Toc254970675"/>
      <w:r>
        <w:rPr>
          <w:rFonts w:hint="eastAsia" w:ascii="宋体" w:hAnsi="宋体" w:cs="宋体"/>
          <w:b w:val="0"/>
          <w:bCs w:val="0"/>
          <w:color w:val="auto"/>
          <w:highlight w:val="none"/>
        </w:rPr>
        <w:t>二、磋商文件</w:t>
      </w:r>
      <w:bookmarkEnd w:id="62"/>
    </w:p>
    <w:p w14:paraId="128F7D75">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8.磋商文件的构成</w:t>
      </w:r>
    </w:p>
    <w:p w14:paraId="2938513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第一章 竞争性磋商公告；</w:t>
      </w:r>
    </w:p>
    <w:p w14:paraId="30F4C4EF">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第二章 采购需求；</w:t>
      </w:r>
    </w:p>
    <w:p w14:paraId="7139B11A">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 xml:space="preserve">第三章 供应商须知； </w:t>
      </w:r>
    </w:p>
    <w:p w14:paraId="54288647">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第四章 评审程序、评审方法和评审标准；</w:t>
      </w:r>
    </w:p>
    <w:p w14:paraId="600207A4">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第五章 响应文件格式；</w:t>
      </w:r>
    </w:p>
    <w:p w14:paraId="3882762B">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第六章 合同文本；</w:t>
      </w:r>
    </w:p>
    <w:p w14:paraId="368A825F">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第七章 质疑、投诉材料格式。</w:t>
      </w:r>
    </w:p>
    <w:p w14:paraId="0390E1A5">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9.供应商的询问</w:t>
      </w:r>
    </w:p>
    <w:p w14:paraId="5AC7693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562058B5">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10.磋商文件的澄清和修改</w:t>
      </w:r>
    </w:p>
    <w:p w14:paraId="76AA0B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0D91FC1A">
      <w:pPr>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56FC5FF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755EB54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10.4</w:t>
      </w:r>
      <w:r>
        <w:rPr>
          <w:rFonts w:hint="eastAsia" w:ascii="宋体" w:hAnsi="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0D10945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10.5  采购人和采购代理机构可以视采购具体情况，变更提交首次响应文件截止时间和竞谈时间，将变更时间将在“采购文件公告”中“七、其他补充事宜2.网上查询地址”规定的政府采购信息发布媒体上发布更正公告。</w:t>
      </w:r>
    </w:p>
    <w:p w14:paraId="72D4FB9E">
      <w:pPr>
        <w:spacing w:line="360" w:lineRule="auto"/>
        <w:ind w:firstLine="422" w:firstLineChars="200"/>
        <w:rPr>
          <w:rFonts w:hint="eastAsia" w:ascii="宋体" w:hAnsi="宋体" w:cs="宋体"/>
          <w:color w:val="auto"/>
          <w:highlight w:val="none"/>
        </w:rPr>
      </w:pPr>
      <w:r>
        <w:rPr>
          <w:rFonts w:hint="eastAsia" w:ascii="宋体" w:hAnsi="宋体" w:cs="宋体"/>
          <w:b/>
          <w:bCs/>
          <w:color w:val="auto"/>
          <w:highlight w:val="none"/>
        </w:rPr>
        <w:t>▲响应文件未按磋商文件的澄清、修改的内容编制，又不符合实质性要求的，其响应文件作无效处理。</w:t>
      </w:r>
    </w:p>
    <w:p w14:paraId="2E6D221C">
      <w:pPr>
        <w:pStyle w:val="6"/>
        <w:spacing w:before="0" w:after="0" w:line="360" w:lineRule="auto"/>
        <w:ind w:firstLine="640" w:firstLineChars="200"/>
        <w:rPr>
          <w:rFonts w:hint="eastAsia" w:ascii="宋体" w:hAnsi="宋体" w:cs="宋体"/>
          <w:b w:val="0"/>
          <w:bCs w:val="0"/>
          <w:color w:val="auto"/>
          <w:highlight w:val="none"/>
        </w:rPr>
      </w:pPr>
      <w:bookmarkStart w:id="63" w:name="_Toc12927"/>
      <w:bookmarkEnd w:id="63"/>
      <w:r>
        <w:rPr>
          <w:rFonts w:hint="eastAsia" w:ascii="宋体" w:hAnsi="宋体" w:cs="宋体"/>
          <w:b w:val="0"/>
          <w:bCs w:val="0"/>
          <w:color w:val="auto"/>
          <w:highlight w:val="none"/>
        </w:rPr>
        <w:t>三、响应文件的编制</w:t>
      </w:r>
    </w:p>
    <w:p w14:paraId="55DE8BBB">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11C812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供应商必须按照磋商文件的要求编制响应文件，并对其提交的响应文件的真实性、合法性承担法律责任。响应文件必须对磋商文件作出实质性响应。</w:t>
      </w:r>
    </w:p>
    <w:p w14:paraId="6F0A0FD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12.响应文件的组成</w:t>
      </w:r>
    </w:p>
    <w:p w14:paraId="335CA51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12.1响应文件由资格证明文件、报价文件、商务和技术文件三部分组成。</w:t>
      </w:r>
    </w:p>
    <w:p w14:paraId="56D81D28">
      <w:pPr>
        <w:spacing w:line="360" w:lineRule="auto"/>
        <w:ind w:left="420" w:leftChars="200" w:firstLine="420" w:firstLineChars="200"/>
        <w:rPr>
          <w:rFonts w:hint="eastAsia" w:ascii="宋体" w:hAnsi="宋体" w:cs="宋体"/>
          <w:color w:val="auto"/>
          <w:highlight w:val="none"/>
        </w:rPr>
      </w:pPr>
      <w:r>
        <w:rPr>
          <w:rFonts w:hint="eastAsia" w:ascii="宋体" w:hAnsi="宋体" w:cs="宋体"/>
          <w:color w:val="auto"/>
          <w:highlight w:val="none"/>
        </w:rPr>
        <w:t>12.1.1资格证明文件：详见须知前附表</w:t>
      </w:r>
    </w:p>
    <w:p w14:paraId="3F5666D5">
      <w:pPr>
        <w:spacing w:line="360" w:lineRule="auto"/>
        <w:ind w:left="420" w:leftChars="200" w:firstLine="420" w:firstLineChars="200"/>
        <w:rPr>
          <w:rFonts w:hint="eastAsia" w:ascii="宋体" w:hAnsi="宋体" w:cs="宋体"/>
          <w:color w:val="auto"/>
          <w:highlight w:val="none"/>
        </w:rPr>
      </w:pPr>
      <w:r>
        <w:rPr>
          <w:rFonts w:hint="eastAsia" w:ascii="宋体" w:hAnsi="宋体" w:cs="宋体"/>
          <w:color w:val="auto"/>
          <w:highlight w:val="none"/>
        </w:rPr>
        <w:t>12.1.2商务技术文件：详见须知前附表</w:t>
      </w:r>
    </w:p>
    <w:p w14:paraId="072BE7D5">
      <w:pPr>
        <w:spacing w:line="360" w:lineRule="auto"/>
        <w:ind w:left="420" w:leftChars="200" w:firstLine="420" w:firstLineChars="200"/>
        <w:rPr>
          <w:rFonts w:hint="eastAsia" w:ascii="宋体" w:hAnsi="宋体" w:cs="宋体"/>
          <w:color w:val="auto"/>
          <w:highlight w:val="none"/>
        </w:rPr>
      </w:pPr>
      <w:r>
        <w:rPr>
          <w:rFonts w:hint="eastAsia" w:ascii="宋体" w:hAnsi="宋体" w:cs="宋体"/>
          <w:color w:val="auto"/>
          <w:highlight w:val="none"/>
        </w:rPr>
        <w:t>12.1.3报价文件：详见须知前附表</w:t>
      </w:r>
    </w:p>
    <w:p w14:paraId="0C7FB1D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12.2响应文件电子版：详见须知前附表</w:t>
      </w:r>
    </w:p>
    <w:p w14:paraId="562DD3B9">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13.计量单位</w:t>
      </w:r>
    </w:p>
    <w:p w14:paraId="696671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磋商文件已有明确规定的，使用磋商文件规定的计量单位；磋商文件没有规定的，应采用中华人民共和国法定计量单位，货币种类为人民币，否则视同未响应。</w:t>
      </w:r>
    </w:p>
    <w:p w14:paraId="1438B93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14.竞标的风险</w:t>
      </w:r>
    </w:p>
    <w:p w14:paraId="1241311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供应商没有按照磋商文件要求提供全部资料，或者供应商没有对磋商文件在各方面作出实质性响应可能导致其响应无效，是供应商应当考虑的风险。</w:t>
      </w:r>
    </w:p>
    <w:p w14:paraId="098E0765">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15.响应报价要求和构成</w:t>
      </w:r>
    </w:p>
    <w:p w14:paraId="17B5280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15.1响应报价应按“第五章 响应文件格式”中“响应报价表”格式填写。</w:t>
      </w:r>
    </w:p>
    <w:p w14:paraId="4F0F564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15.2响应报价的价格构成见“供应商须知前附表”。</w:t>
      </w:r>
    </w:p>
    <w:p w14:paraId="0005ECE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15.3响应报价要求</w:t>
      </w:r>
    </w:p>
    <w:p w14:paraId="74BDC00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15.3.1供应商的响应报价应符合以下要求，否则响应文件按无效响应处理：</w:t>
      </w:r>
    </w:p>
    <w:p w14:paraId="7D08E19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（1）供应商必须就“采购需求”中所竞标的每个分标的全部内容分别作完整唯一总价报价，不得存在漏项报价；</w:t>
      </w:r>
    </w:p>
    <w:p w14:paraId="69BEA49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（2）供应商必须就所竞标的分标的单项内容作唯一报价。</w:t>
      </w:r>
    </w:p>
    <w:p w14:paraId="243D08D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15.3.2响应报价（包含首次报价、最后报价）超过所竞标分标规定的采购预算金额或者最高限价的，其响应文件将作无效处理。</w:t>
      </w:r>
    </w:p>
    <w:p w14:paraId="6F0886E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15.3.3</w:t>
      </w:r>
      <w:bookmarkStart w:id="64" w:name="_Hlk42592874"/>
      <w:r>
        <w:rPr>
          <w:rFonts w:hint="eastAsia" w:ascii="宋体" w:hAnsi="宋体" w:cs="宋体"/>
          <w:color w:val="auto"/>
          <w:highlight w:val="none"/>
        </w:rPr>
        <w:t>响应报价（包含首次报价、最后报价）超过分项采购预算金额或者最高限价的，其响应文件将作无效处理。</w:t>
      </w:r>
      <w:bookmarkEnd w:id="64"/>
    </w:p>
    <w:p w14:paraId="7940B88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16.竞标有效期</w:t>
      </w:r>
    </w:p>
    <w:p w14:paraId="1D0E55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16.1竞标有效期是指为保证采购人有足够的时间在提交响应文件后完成评审、确定成交供应商、合同签订等工作而要求供应商提交的响应文件在一定时间内保持有效的期限。</w:t>
      </w:r>
    </w:p>
    <w:p w14:paraId="5EA84F0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16.2 竞标有效期应由供应商按“供应商须知前附表”规定的期限作出响应。</w:t>
      </w:r>
    </w:p>
    <w:p w14:paraId="006EDB0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16.3供应商的响应文件在竞标有效期内均保持有效。</w:t>
      </w:r>
    </w:p>
    <w:p w14:paraId="1A7FA72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17.磋商保证金</w:t>
      </w:r>
    </w:p>
    <w:p w14:paraId="4F4653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详见“供应商须知前附表”。</w:t>
      </w:r>
    </w:p>
    <w:p w14:paraId="5050274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299DB9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734E405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18.2响应文件应按资格证明、报价分别编制，商务技术文件合并编制，本磋商只接受电子版响应文件，要求见本章“12.2响应文件电子版要求”。</w:t>
      </w:r>
    </w:p>
    <w:p w14:paraId="760719B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18.</w:t>
      </w:r>
      <w:bookmarkStart w:id="65" w:name="_Hlk65832699"/>
      <w:r>
        <w:rPr>
          <w:rFonts w:hint="eastAsia" w:ascii="宋体" w:hAnsi="宋体" w:cs="宋体"/>
          <w:color w:val="auto"/>
          <w:highlight w:val="none"/>
        </w:rPr>
        <w:t>3</w:t>
      </w:r>
      <w:bookmarkEnd w:id="65"/>
      <w:r>
        <w:rPr>
          <w:rFonts w:hint="eastAsia" w:ascii="宋体" w:hAnsi="宋体" w:cs="宋体"/>
          <w:color w:val="auto"/>
          <w:highlight w:val="none"/>
        </w:rPr>
        <w:t>响应文件须由供应商在</w:t>
      </w:r>
      <w:r>
        <w:rPr>
          <w:rFonts w:hint="eastAsia" w:ascii="宋体" w:hAnsi="宋体" w:cs="宋体"/>
          <w:color w:val="auto"/>
          <w:kern w:val="0"/>
          <w:highlight w:val="none"/>
        </w:rPr>
        <w:t>“</w:t>
      </w:r>
      <w:r>
        <w:rPr>
          <w:rFonts w:hint="eastAsia" w:ascii="宋体" w:hAnsi="宋体" w:cs="宋体"/>
          <w:color w:val="auto"/>
          <w:highlight w:val="none"/>
        </w:rPr>
        <w:t>第五章 响应文件格式</w:t>
      </w:r>
      <w:r>
        <w:rPr>
          <w:rFonts w:hint="eastAsia" w:ascii="宋体" w:hAnsi="宋体" w:cs="宋体"/>
          <w:color w:val="auto"/>
          <w:kern w:val="0"/>
          <w:highlight w:val="none"/>
        </w:rPr>
        <w:t>”</w:t>
      </w:r>
      <w:r>
        <w:rPr>
          <w:rFonts w:hint="eastAsia" w:ascii="宋体" w:hAnsi="宋体" w:cs="宋体"/>
          <w:color w:val="auto"/>
          <w:highlight w:val="none"/>
        </w:rPr>
        <w:t>规定位置进行签署、盖章，否则其响应文件按无效响应处理。骑缝盖公章不视为在规定位置盖章。</w:t>
      </w:r>
    </w:p>
    <w:p w14:paraId="6B07079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18.4响应文件中标注的供应商名称应与营业执照（事业单位法人证书、执业许可证、自然人身份证）及电子公章一致，否则其响应文件按无效响应处理。</w:t>
      </w:r>
    </w:p>
    <w:p w14:paraId="70E20D7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18.5响应文件应避免涂改、行间插字或者删除，否则其响应文件按无效响应处理。</w:t>
      </w:r>
    </w:p>
    <w:p w14:paraId="1A0156D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19.响应文件的密封和标记</w:t>
      </w:r>
    </w:p>
    <w:p w14:paraId="259224B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highlight w:val="none"/>
        </w:rPr>
        <w:t>19.1供应商进行电子交易应安装客户端软件—“政采云电子交易客户端”，并按照磋商文件和电子交易平台的要求编制并加密响应文件。供应商未按规定加密的响应文件，电子交易平台将拒收并提示。</w:t>
      </w:r>
    </w:p>
    <w:p w14:paraId="4AD7DB3A">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19.2使用“政采云电子交易客户端”需要提前申领CA数字证书，申领流程见该项目采购公告附件。</w:t>
      </w:r>
    </w:p>
    <w:p w14:paraId="058E575B">
      <w:pPr>
        <w:pStyle w:val="14"/>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248C3A7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20.响应文件的提交</w:t>
      </w:r>
    </w:p>
    <w:p w14:paraId="5C3EDE2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20.1供应商必须在“供应商须知前附表”规定的时间和地点提交响应文件。</w:t>
      </w:r>
    </w:p>
    <w:p w14:paraId="3CCFE7C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20.2 在响应文件提交截止时间以后，不能补充、修改响应文件。</w:t>
      </w:r>
    </w:p>
    <w:p w14:paraId="5B9066B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20.3 在提交“最后报价”后，供应商不能退出谈判。</w:t>
      </w:r>
    </w:p>
    <w:p w14:paraId="7F13254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5C5B39D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20.5 采购机构不可视情况延长提交响应文件的截止时间。</w:t>
      </w:r>
    </w:p>
    <w:p w14:paraId="06EE90C4">
      <w:pPr>
        <w:spacing w:line="360" w:lineRule="auto"/>
        <w:ind w:firstLine="420" w:firstLineChars="200"/>
        <w:rPr>
          <w:rFonts w:hint="eastAsia" w:ascii="宋体" w:hAnsi="宋体" w:cs="宋体"/>
          <w:color w:val="auto"/>
          <w:sz w:val="24"/>
          <w:highlight w:val="none"/>
        </w:rPr>
      </w:pPr>
      <w:r>
        <w:rPr>
          <w:rFonts w:hint="eastAsia" w:ascii="宋体" w:hAnsi="宋体" w:cs="宋体"/>
          <w:color w:val="auto"/>
          <w:highlight w:val="none"/>
        </w:rPr>
        <w:t>20.6备份响应文件。</w:t>
      </w:r>
      <w:r>
        <w:rPr>
          <w:rFonts w:hint="eastAsia" w:ascii="宋体" w:hAnsi="宋体" w:cs="宋体"/>
          <w:bCs/>
          <w:color w:val="auto"/>
          <w:highlight w:val="none"/>
        </w:rPr>
        <w:t>详见在“供应商须知前附表”。</w:t>
      </w:r>
    </w:p>
    <w:p w14:paraId="23EE5EE2">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100C56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详见“供应商须知前附表”。</w:t>
      </w:r>
    </w:p>
    <w:p w14:paraId="7A22DE01">
      <w:pPr>
        <w:spacing w:line="360" w:lineRule="auto"/>
        <w:ind w:firstLine="482" w:firstLineChars="200"/>
        <w:rPr>
          <w:rFonts w:hint="eastAsia" w:ascii="宋体" w:hAnsi="宋体" w:cs="宋体"/>
          <w:b/>
          <w:bCs/>
          <w:color w:val="auto"/>
          <w:sz w:val="24"/>
          <w:highlight w:val="none"/>
        </w:rPr>
      </w:pPr>
      <w:bookmarkStart w:id="66" w:name="_Hlk45702405"/>
      <w:bookmarkEnd w:id="66"/>
      <w:r>
        <w:rPr>
          <w:rFonts w:hint="eastAsia" w:ascii="宋体" w:hAnsi="宋体" w:cs="宋体"/>
          <w:b/>
          <w:bCs/>
          <w:color w:val="auto"/>
          <w:sz w:val="24"/>
          <w:highlight w:val="none"/>
        </w:rPr>
        <w:t>22. 首次响应文件的退回</w:t>
      </w:r>
    </w:p>
    <w:p w14:paraId="7C71BA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771059F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23. 截止时间后的撤回</w:t>
      </w:r>
    </w:p>
    <w:p w14:paraId="7023F0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本项目不收取磋商保证金，供应商在首次响应文件提交截止时间后可向采购人、采购代理机构书面申请撤回电子响应文件。</w:t>
      </w:r>
    </w:p>
    <w:p w14:paraId="63C72277">
      <w:pPr>
        <w:pStyle w:val="6"/>
        <w:spacing w:before="0" w:after="0" w:line="360" w:lineRule="auto"/>
        <w:ind w:firstLine="640" w:firstLineChars="200"/>
        <w:rPr>
          <w:rFonts w:hint="eastAsia" w:ascii="宋体" w:hAnsi="宋体" w:cs="宋体"/>
          <w:b w:val="0"/>
          <w:bCs w:val="0"/>
          <w:color w:val="auto"/>
          <w:highlight w:val="none"/>
        </w:rPr>
      </w:pPr>
      <w:bookmarkStart w:id="67" w:name="_Toc12248"/>
      <w:bookmarkEnd w:id="67"/>
      <w:r>
        <w:rPr>
          <w:rFonts w:hint="eastAsia" w:ascii="宋体" w:hAnsi="宋体" w:cs="宋体"/>
          <w:b w:val="0"/>
          <w:bCs w:val="0"/>
          <w:color w:val="auto"/>
          <w:highlight w:val="none"/>
        </w:rPr>
        <w:t>四、评审及磋商</w:t>
      </w:r>
    </w:p>
    <w:p w14:paraId="0C01B00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24.磋商小组成立</w:t>
      </w:r>
    </w:p>
    <w:p w14:paraId="2E2F77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24.1磋商小组由采购人代表和评审专家共3人</w:t>
      </w:r>
      <w:r>
        <w:rPr>
          <w:rFonts w:hint="eastAsia" w:ascii="宋体" w:hAnsi="宋体" w:cs="宋体"/>
          <w:color w:val="auto"/>
          <w:highlight w:val="none"/>
          <w:lang w:val="en-US" w:eastAsia="zh-CN"/>
        </w:rPr>
        <w:t>及</w:t>
      </w:r>
      <w:r>
        <w:rPr>
          <w:rFonts w:hint="eastAsia" w:ascii="宋体" w:hAnsi="宋体" w:cs="宋体"/>
          <w:color w:val="auto"/>
          <w:highlight w:val="none"/>
        </w:rPr>
        <w:t>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w:t>
      </w:r>
      <w:r>
        <w:rPr>
          <w:rFonts w:hint="eastAsia" w:ascii="宋体" w:hAnsi="宋体" w:cs="宋体"/>
          <w:color w:val="auto"/>
          <w:highlight w:val="none"/>
          <w:lang w:val="en-US" w:eastAsia="zh-CN"/>
        </w:rPr>
        <w:t>及</w:t>
      </w:r>
      <w:r>
        <w:rPr>
          <w:rFonts w:hint="eastAsia" w:ascii="宋体" w:hAnsi="宋体" w:cs="宋体"/>
          <w:color w:val="auto"/>
          <w:highlight w:val="none"/>
        </w:rPr>
        <w:t>以上单数组成。</w:t>
      </w:r>
    </w:p>
    <w:p w14:paraId="28E6DC6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9A4A12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25.首次响应文件的开启</w:t>
      </w:r>
    </w:p>
    <w:p w14:paraId="6E36DF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25.1首次响应文件由磋商小组或者采购代理机构在“供应商须知前附表”规定的时间开启。</w:t>
      </w:r>
    </w:p>
    <w:p w14:paraId="5CF47373">
      <w:pPr>
        <w:pStyle w:val="14"/>
        <w:spacing w:line="360" w:lineRule="auto"/>
        <w:ind w:firstLine="420" w:firstLineChars="200"/>
        <w:rPr>
          <w:rFonts w:hint="eastAsia" w:hAnsi="宋体" w:cs="宋体"/>
          <w:bCs/>
          <w:color w:val="auto"/>
          <w:sz w:val="21"/>
          <w:highlight w:val="none"/>
        </w:rPr>
      </w:pPr>
      <w:r>
        <w:rPr>
          <w:rFonts w:hint="eastAsia" w:hAnsi="宋体" w:cs="宋体"/>
          <w:color w:val="auto"/>
          <w:sz w:val="21"/>
          <w:highlight w:val="none"/>
        </w:rPr>
        <w:t xml:space="preserve">25.2 </w:t>
      </w:r>
      <w:r>
        <w:rPr>
          <w:rFonts w:hint="eastAsia" w:hAnsi="宋体" w:cs="宋体"/>
          <w:bCs/>
          <w:color w:val="auto"/>
          <w:sz w:val="21"/>
          <w:highlight w:val="none"/>
        </w:rPr>
        <w:t>响应文件解密</w:t>
      </w:r>
    </w:p>
    <w:p w14:paraId="38F80AE9">
      <w:pPr>
        <w:pStyle w:val="14"/>
        <w:snapToGrid w:val="0"/>
        <w:spacing w:line="360" w:lineRule="auto"/>
        <w:ind w:firstLine="420" w:firstLineChars="200"/>
        <w:rPr>
          <w:rFonts w:hint="eastAsia" w:hAnsi="宋体" w:cs="宋体"/>
          <w:color w:val="auto"/>
          <w:sz w:val="21"/>
          <w:highlight w:val="none"/>
        </w:rPr>
      </w:pPr>
      <w:r>
        <w:rPr>
          <w:rFonts w:hint="eastAsia" w:hAnsi="宋体" w:cs="宋体"/>
          <w:bCs/>
          <w:color w:val="auto"/>
          <w:sz w:val="21"/>
          <w:highlight w:val="none"/>
        </w:rPr>
        <w:t>采购代理机构将在“供应商须知前附表”规定的时</w:t>
      </w:r>
      <w:r>
        <w:rPr>
          <w:rFonts w:hint="eastAsia" w:hAnsi="宋体" w:cs="宋体"/>
          <w:color w:val="auto"/>
          <w:sz w:val="21"/>
          <w:highlight w:val="none"/>
        </w:rPr>
        <w:t>间通过电子交易平台组织响应文件开启，采购机构依托电子交易平台发起开始解密指令，供应商的法定代表人或其委托代理人</w:t>
      </w:r>
      <w:r>
        <w:rPr>
          <w:rFonts w:hint="eastAsia" w:hAnsi="宋体" w:cs="宋体"/>
          <w:b/>
          <w:color w:val="auto"/>
          <w:sz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hAnsi="宋体" w:cs="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cs="宋体"/>
          <w:b/>
          <w:color w:val="auto"/>
          <w:sz w:val="21"/>
          <w:highlight w:val="none"/>
        </w:rPr>
        <w:t>视为响应文件无效。</w:t>
      </w:r>
      <w:r>
        <w:rPr>
          <w:rFonts w:hint="eastAsia" w:hAnsi="宋体" w:cs="宋体"/>
          <w:color w:val="auto"/>
          <w:sz w:val="21"/>
          <w:highlight w:val="none"/>
        </w:rPr>
        <w:t>（解密</w:t>
      </w:r>
      <w:r>
        <w:rPr>
          <w:rFonts w:hint="eastAsia" w:hAnsi="宋体" w:cs="宋体"/>
          <w:bCs/>
          <w:color w:val="auto"/>
          <w:sz w:val="21"/>
          <w:highlight w:val="none"/>
        </w:rPr>
        <w:t>异常情况处理：详见本章</w:t>
      </w:r>
      <w:r>
        <w:rPr>
          <w:rFonts w:hint="eastAsia" w:hAnsi="宋体" w:cs="宋体"/>
          <w:color w:val="auto"/>
          <w:sz w:val="21"/>
          <w:highlight w:val="none"/>
        </w:rPr>
        <w:t>26.3 电子交易活动的中止。）</w:t>
      </w:r>
    </w:p>
    <w:p w14:paraId="3BCE7153">
      <w:pPr>
        <w:pStyle w:val="14"/>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如</w:t>
      </w:r>
      <w:r>
        <w:rPr>
          <w:rFonts w:hint="eastAsia" w:hAnsi="宋体" w:cs="宋体"/>
          <w:bCs/>
          <w:color w:val="auto"/>
          <w:sz w:val="21"/>
          <w:highlight w:val="none"/>
        </w:rPr>
        <w:t>供应商成功解密响应文件，但未在“广西政府采购云平台”电子开标大厅参加谈判的，视同认可谈判过程和结果，</w:t>
      </w:r>
      <w:r>
        <w:rPr>
          <w:rFonts w:hint="eastAsia" w:hAnsi="宋体" w:cs="宋体"/>
          <w:color w:val="auto"/>
          <w:sz w:val="21"/>
          <w:highlight w:val="none"/>
        </w:rPr>
        <w:t>由此产生的后果由供应商自行负责。 参与谈判的供应商不足3家的，不得谈判。</w:t>
      </w:r>
    </w:p>
    <w:p w14:paraId="5F01F4C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26.评审程序、评审方法和评审标准</w:t>
      </w:r>
    </w:p>
    <w:p w14:paraId="55023E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26.1磋商小组按照“第四章 评审程序、评审方法和评审标准”规定的方法、评审因素、标准和程序对响应文件进行评审。</w:t>
      </w:r>
    </w:p>
    <w:p w14:paraId="4D0489D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26.2 磋商文件内容违反国家有关强制性规定的，磋商小组应当停止评审并向采购人或者采购代理机构说明情况，并在评审报告中书面体现。</w:t>
      </w:r>
    </w:p>
    <w:p w14:paraId="58A3156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26.3 采购需求负偏离要求及磋商顺序详见 “ 供应商须知前附表”。</w:t>
      </w:r>
    </w:p>
    <w:p w14:paraId="0F96562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26.4电子交易活动的中止。采购过程中出现以下情形，导致电子交易平台无法正常运行，或者无法保证电子交易的公平、公正和安全时，采购机构可中止电子交易活动：</w:t>
      </w:r>
    </w:p>
    <w:p w14:paraId="7D5E770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61BDCE2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68DDD85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36710B1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（4）病毒发作导致不能进行正常操作的； </w:t>
      </w:r>
    </w:p>
    <w:p w14:paraId="2FF7BB7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（5）其他无法保证电子交易的公平、公正和安全的情况。</w:t>
      </w:r>
    </w:p>
    <w:p w14:paraId="2C43F72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41ADD1F">
      <w:pPr>
        <w:pStyle w:val="6"/>
        <w:spacing w:before="0" w:after="0" w:line="360" w:lineRule="auto"/>
        <w:ind w:firstLine="480" w:firstLineChars="150"/>
        <w:rPr>
          <w:rFonts w:hint="eastAsia" w:ascii="宋体" w:hAnsi="宋体" w:cs="宋体"/>
          <w:b w:val="0"/>
          <w:bCs w:val="0"/>
          <w:color w:val="auto"/>
          <w:highlight w:val="none"/>
        </w:rPr>
      </w:pPr>
      <w:bookmarkStart w:id="68" w:name="_Toc31092"/>
      <w:bookmarkEnd w:id="68"/>
      <w:r>
        <w:rPr>
          <w:rFonts w:hint="eastAsia" w:ascii="宋体" w:hAnsi="宋体" w:cs="宋体"/>
          <w:b w:val="0"/>
          <w:bCs w:val="0"/>
          <w:color w:val="auto"/>
          <w:highlight w:val="none"/>
        </w:rPr>
        <w:t>五、成交及合同</w:t>
      </w:r>
    </w:p>
    <w:p w14:paraId="0F3DAB0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14:paraId="5C8B0A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27.1确定成交供应商。</w:t>
      </w:r>
      <w:r>
        <w:rPr>
          <w:rFonts w:hint="eastAsia" w:ascii="宋体" w:hAnsi="宋体" w:cs="宋体"/>
          <w:color w:val="auto"/>
          <w:kern w:val="0"/>
          <w:highlight w:val="none"/>
          <w:u w:val="single"/>
        </w:rPr>
        <w:t xml:space="preserve"> 由采购人直接委托评审专家确定</w:t>
      </w:r>
      <w:r>
        <w:rPr>
          <w:rFonts w:hint="eastAsia" w:ascii="宋体" w:hAnsi="宋体" w:cs="宋体"/>
          <w:color w:val="auto"/>
          <w:highlight w:val="none"/>
          <w:u w:val="single"/>
        </w:rPr>
        <w:t>，评审报告提出的排序第一的供应商为成交供应商。</w:t>
      </w:r>
    </w:p>
    <w:p w14:paraId="4A36E2C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27.2成交通知及成交结果公告。</w:t>
      </w:r>
      <w:r>
        <w:rPr>
          <w:rFonts w:hint="eastAsia" w:ascii="宋体" w:hAnsi="宋体" w:cs="宋体"/>
          <w:color w:val="auto"/>
          <w:kern w:val="0"/>
          <w:highlight w:val="none"/>
        </w:rPr>
        <w:t>成交</w:t>
      </w:r>
      <w:r>
        <w:rPr>
          <w:rFonts w:hint="eastAsia" w:ascii="宋体" w:hAnsi="宋体" w:cs="宋体"/>
          <w:color w:val="auto"/>
          <w:highlight w:val="none"/>
        </w:rPr>
        <w:t>供应商确定后2个工作日内，在省级以上财政部门指定的媒体上公</w:t>
      </w:r>
      <w:r>
        <w:rPr>
          <w:rFonts w:hint="eastAsia" w:ascii="宋体" w:hAnsi="宋体" w:cs="宋体"/>
          <w:color w:val="auto"/>
          <w:kern w:val="0"/>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highlight w:val="none"/>
        </w:rPr>
        <w:t>同时向成交供应商发出成交通知书，成交通知书规定签订合同的时间不得超过25日。</w:t>
      </w:r>
    </w:p>
    <w:p w14:paraId="250A8A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27.3采购人或者采购代理机构发出成交通知书前，应当对成交供应商信用进行查询核实，对列入失信被执行人、重大税收违法失信主体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75C8C85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7C24A53E">
      <w:pPr>
        <w:spacing w:line="360" w:lineRule="auto"/>
        <w:ind w:firstLine="420" w:firstLineChars="200"/>
        <w:rPr>
          <w:rFonts w:hint="eastAsia" w:ascii="宋体" w:hAnsi="宋体" w:cs="宋体"/>
          <w:color w:val="auto"/>
          <w:highlight w:val="none"/>
        </w:rPr>
      </w:pPr>
      <w:r>
        <w:rPr>
          <w:rFonts w:hint="eastAsia" w:ascii="宋体" w:hAnsi="宋体" w:cs="宋体"/>
          <w:bCs/>
          <w:color w:val="auto"/>
          <w:highlight w:val="none"/>
        </w:rPr>
        <w:t>27.5</w:t>
      </w:r>
      <w:r>
        <w:rPr>
          <w:rFonts w:hint="eastAsia" w:ascii="宋体" w:hAnsi="宋体" w:cs="宋体"/>
          <w:color w:val="auto"/>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F4C3B11">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28.履约保证金</w:t>
      </w:r>
    </w:p>
    <w:p w14:paraId="4C91C2C5">
      <w:pPr>
        <w:spacing w:line="360" w:lineRule="auto"/>
        <w:ind w:firstLine="420" w:firstLineChars="200"/>
        <w:rPr>
          <w:rFonts w:hint="eastAsia" w:ascii="宋体" w:hAnsi="宋体" w:cs="宋体"/>
          <w:b/>
          <w:bCs/>
          <w:color w:val="auto"/>
          <w:sz w:val="24"/>
          <w:highlight w:val="none"/>
        </w:rPr>
      </w:pPr>
      <w:r>
        <w:rPr>
          <w:rFonts w:hint="eastAsia" w:ascii="宋体" w:hAnsi="宋体" w:cs="宋体"/>
          <w:color w:val="auto"/>
          <w:highlight w:val="none"/>
        </w:rPr>
        <w:t>详见 “供应商须知前附表”。</w:t>
      </w:r>
    </w:p>
    <w:p w14:paraId="0281C52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29.签订合同</w:t>
      </w:r>
    </w:p>
    <w:p w14:paraId="53393936">
      <w:pPr>
        <w:pStyle w:val="26"/>
        <w:snapToGrid w:val="0"/>
        <w:spacing w:before="0" w:line="360" w:lineRule="auto"/>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如成交供应商为联合体的，由联合体成员各方法定代表人或其授权代表与采购人代表签订合同。</w:t>
      </w:r>
    </w:p>
    <w:p w14:paraId="33EEA5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03904D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3C4891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29.4如签订合同并生效后，供应商无故拒绝或延期，除按照合同条款处理外，列入不良行为记录，并给予通报。</w:t>
      </w:r>
    </w:p>
    <w:p w14:paraId="703DB60F">
      <w:pPr>
        <w:pStyle w:val="26"/>
        <w:spacing w:before="0" w:line="360" w:lineRule="auto"/>
        <w:ind w:firstLine="420"/>
        <w:rPr>
          <w:rFonts w:hint="eastAsia" w:ascii="宋体" w:hAnsi="宋体" w:cs="宋体"/>
          <w:color w:val="auto"/>
          <w:highlight w:val="none"/>
        </w:rPr>
      </w:pPr>
      <w:r>
        <w:rPr>
          <w:rFonts w:hint="eastAsia" w:ascii="宋体" w:hAnsi="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cs="宋体"/>
          <w:color w:val="auto"/>
          <w:highlight w:val="none"/>
        </w:rPr>
        <w:t xml:space="preserve"> </w:t>
      </w:r>
      <w:r>
        <w:rPr>
          <w:rFonts w:hint="eastAsia" w:ascii="宋体" w:hAnsi="宋体" w:cs="宋体"/>
          <w:color w:val="auto"/>
          <w:sz w:val="21"/>
          <w:szCs w:val="21"/>
          <w:highlight w:val="none"/>
        </w:rPr>
        <w:t>供应商须知前附表”。</w:t>
      </w:r>
    </w:p>
    <w:p w14:paraId="3568161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30.政府采购合同公告</w:t>
      </w:r>
    </w:p>
    <w:p w14:paraId="1C7E5A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采购人或者受托采购代理机构应当自政府采购合同签订之日起2个工作日内，将政府采购合同</w:t>
      </w:r>
      <w:r>
        <w:rPr>
          <w:rFonts w:hint="eastAsia" w:ascii="宋体" w:hAnsi="宋体" w:cs="宋体"/>
          <w:bCs/>
          <w:color w:val="auto"/>
          <w:highlight w:val="none"/>
        </w:rPr>
        <w:t>在以下媒体上发布</w:t>
      </w:r>
      <w:r>
        <w:rPr>
          <w:rFonts w:hint="eastAsia" w:ascii="宋体" w:hAnsi="宋体" w:cs="宋体"/>
          <w:color w:val="auto"/>
          <w:kern w:val="0"/>
          <w:highlight w:val="none"/>
        </w:rPr>
        <w:t xml:space="preserve"> “广西政府采购网”（http：//zfcg.gxzf.gov.cn）</w:t>
      </w:r>
      <w:r>
        <w:rPr>
          <w:rFonts w:hint="eastAsia" w:ascii="宋体" w:hAnsi="宋体" w:cs="宋体"/>
          <w:color w:val="auto"/>
          <w:highlight w:val="none"/>
        </w:rPr>
        <w:t>上公告，但政府采购合同中涉及国家秘密、商业秘密的内容除外。</w:t>
      </w:r>
    </w:p>
    <w:p w14:paraId="0C9F20E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31. 询问、质疑和投诉</w:t>
      </w:r>
    </w:p>
    <w:p w14:paraId="6F4251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381C4F4D">
      <w:pPr>
        <w:spacing w:line="360" w:lineRule="auto"/>
        <w:ind w:firstLine="420" w:firstLineChars="200"/>
        <w:rPr>
          <w:rFonts w:hint="eastAsia" w:ascii="宋体" w:hAnsi="宋体" w:cs="宋体"/>
          <w:b/>
          <w:color w:val="auto"/>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highlight w:val="none"/>
        </w:rPr>
        <w:t>“供应商须知前附表”。</w:t>
      </w:r>
      <w:r>
        <w:rPr>
          <w:rFonts w:hint="eastAsia" w:ascii="宋体" w:hAnsi="宋体" w:cs="宋体"/>
          <w:b/>
          <w:color w:val="auto"/>
          <w:highlight w:val="none"/>
        </w:rPr>
        <w:t xml:space="preserve">具体质疑起算时间及处理方式如下： </w:t>
      </w:r>
    </w:p>
    <w:p w14:paraId="2C5FE6A0">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3E5CD9C0">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8F51F36">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（3）供应商认为成交结果使自己的权益受到损害的，应当在成交结果公告期限届满之日起7个工作日内提出质疑，由采购人受理并负责答复。</w:t>
      </w:r>
    </w:p>
    <w:p w14:paraId="0E0BDB1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AED183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14:paraId="78B94CB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021A2B3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29DE3BE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43EA165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4F0E172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27976C4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0BC6F3D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1D093B1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3824F5E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6E27A95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8BA0B4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03FFBEC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9" w:name="_Toc80205930"/>
      <w:bookmarkEnd w:id="69"/>
    </w:p>
    <w:p w14:paraId="38F32EB6">
      <w:pPr>
        <w:pStyle w:val="6"/>
        <w:spacing w:before="0" w:after="0" w:line="360" w:lineRule="auto"/>
        <w:ind w:firstLine="313" w:firstLineChars="98"/>
        <w:rPr>
          <w:rFonts w:hint="eastAsia" w:ascii="宋体" w:hAnsi="宋体" w:cs="宋体"/>
          <w:b w:val="0"/>
          <w:color w:val="auto"/>
          <w:highlight w:val="none"/>
        </w:rPr>
      </w:pPr>
      <w:bookmarkStart w:id="70" w:name="_Toc536"/>
      <w:bookmarkEnd w:id="70"/>
      <w:r>
        <w:rPr>
          <w:rFonts w:hint="eastAsia" w:ascii="宋体" w:hAnsi="宋体" w:cs="宋体"/>
          <w:b w:val="0"/>
          <w:bCs w:val="0"/>
          <w:color w:val="auto"/>
          <w:highlight w:val="none"/>
        </w:rPr>
        <w:t>六</w:t>
      </w:r>
      <w:r>
        <w:rPr>
          <w:rFonts w:hint="eastAsia" w:ascii="宋体" w:hAnsi="宋体" w:cs="宋体"/>
          <w:b w:val="0"/>
          <w:color w:val="auto"/>
          <w:highlight w:val="none"/>
        </w:rPr>
        <w:t>、验收</w:t>
      </w:r>
    </w:p>
    <w:p w14:paraId="7A91F0C5">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32.验收</w:t>
      </w:r>
    </w:p>
    <w:p w14:paraId="36F599FC">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BFBE57C">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32.2采购人可以邀请参加本项目的其他供应商或者第三方机构参与验收。参与验收的供应商或者第三方机构的意见作为验收书的参考资料一并存档。</w:t>
      </w:r>
    </w:p>
    <w:p w14:paraId="54F398B7">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9786204">
      <w:pPr>
        <w:spacing w:line="360"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413A42F2">
      <w:pPr>
        <w:pStyle w:val="6"/>
        <w:spacing w:before="0" w:after="0" w:line="360" w:lineRule="auto"/>
        <w:ind w:firstLine="320" w:firstLineChars="100"/>
        <w:rPr>
          <w:rFonts w:hint="eastAsia" w:ascii="宋体" w:hAnsi="宋体" w:cs="宋体"/>
          <w:b w:val="0"/>
          <w:bCs w:val="0"/>
          <w:color w:val="auto"/>
          <w:highlight w:val="none"/>
        </w:rPr>
      </w:pPr>
      <w:bookmarkStart w:id="71" w:name="_Toc30836"/>
      <w:bookmarkEnd w:id="71"/>
      <w:r>
        <w:rPr>
          <w:rFonts w:hint="eastAsia" w:ascii="宋体" w:hAnsi="宋体" w:cs="宋体"/>
          <w:b w:val="0"/>
          <w:bCs w:val="0"/>
          <w:color w:val="auto"/>
          <w:highlight w:val="none"/>
        </w:rPr>
        <w:t>七、其他事项</w:t>
      </w:r>
    </w:p>
    <w:p w14:paraId="02F2522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33.代理服务费</w:t>
      </w:r>
    </w:p>
    <w:p w14:paraId="4DDC9BE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代理服务收费标准及缴费账户详见“供应商须知前附表”，供应商为联合体的，可以由联合体中的一方或者多方共同交纳代理服务费。</w:t>
      </w:r>
    </w:p>
    <w:p w14:paraId="3D45958D">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34.需要补充的其他内容</w:t>
      </w:r>
    </w:p>
    <w:p w14:paraId="0F3938F5">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34.1本磋商文件解释规则详见“供应商须知前附表”。</w:t>
      </w:r>
    </w:p>
    <w:p w14:paraId="543F7751">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34.2 其他事项详见“供应商须知前附表”。</w:t>
      </w:r>
    </w:p>
    <w:p w14:paraId="6C3D2AE2">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kern w:val="2"/>
          <w:sz w:val="21"/>
          <w:highlight w:val="none"/>
        </w:rPr>
        <w:t>，享受本文件规定的中小企业扶持政策。</w:t>
      </w:r>
    </w:p>
    <w:p w14:paraId="4836987E">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以联合体形式参加政府采购活动，联合体各方均为中小企业的，联合体视同中小企业。其中，联合体各方均为小微企业的，联合体视同小微企业。</w:t>
      </w:r>
    </w:p>
    <w:p w14:paraId="29789511">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依据本文件规定享受扶持政策获得政府采购合同的，小微企业不得将合同分包给大中型企业，中型企业不得将合同分包给大型企业。</w:t>
      </w:r>
    </w:p>
    <w:p w14:paraId="4B730DB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 政采贷相关说明</w:t>
      </w:r>
    </w:p>
    <w:p w14:paraId="026A9BD9">
      <w:pPr>
        <w:pStyle w:val="14"/>
        <w:spacing w:line="360" w:lineRule="auto"/>
        <w:ind w:firstLine="420" w:firstLineChars="200"/>
        <w:textAlignment w:val="center"/>
        <w:rPr>
          <w:rFonts w:hint="eastAsia" w:hAnsi="宋体" w:cs="宋体"/>
          <w:color w:val="auto"/>
          <w:sz w:val="21"/>
          <w:highlight w:val="none"/>
        </w:rPr>
      </w:pPr>
      <w:r>
        <w:rPr>
          <w:rFonts w:hint="eastAsia" w:hAnsi="宋体" w:cs="宋体"/>
          <w:color w:val="auto"/>
          <w:sz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3BCAB87A">
      <w:pPr>
        <w:pStyle w:val="14"/>
        <w:numPr>
          <w:ilvl w:val="0"/>
          <w:numId w:val="2"/>
        </w:numPr>
        <w:spacing w:line="360" w:lineRule="auto"/>
        <w:ind w:firstLine="420" w:firstLineChars="200"/>
        <w:textAlignment w:val="center"/>
        <w:rPr>
          <w:rFonts w:hint="eastAsia" w:hAnsi="宋体" w:cs="宋体"/>
          <w:color w:val="auto"/>
          <w:sz w:val="21"/>
          <w:highlight w:val="none"/>
        </w:rPr>
      </w:pPr>
      <w:r>
        <w:rPr>
          <w:rFonts w:hint="eastAsia" w:hAnsi="宋体" w:cs="宋体"/>
          <w:color w:val="auto"/>
          <w:sz w:val="21"/>
          <w:highlight w:val="none"/>
        </w:rPr>
        <w:t>线下渠道：在“南宁市公共资源交易中心”官网（网址：</w:t>
      </w:r>
      <w:r>
        <w:rPr>
          <w:rFonts w:hint="eastAsia" w:hAnsi="宋体" w:cs="宋体"/>
          <w:color w:val="auto"/>
          <w:highlight w:val="none"/>
        </w:rPr>
        <w:fldChar w:fldCharType="begin"/>
      </w:r>
      <w:r>
        <w:rPr>
          <w:rFonts w:hint="eastAsia" w:hAnsi="宋体" w:cs="宋体"/>
          <w:color w:val="auto"/>
          <w:highlight w:val="none"/>
        </w:rPr>
        <w:instrText xml:space="preserve"> HYPERLINK "http://www.nnggzy.org.cn）\“交易信息-政府采购-政府采购信用融资\”中融资银行和南宁市企业融资服务中心专栏信息申请政府采购信用融资。" </w:instrText>
      </w:r>
      <w:r>
        <w:rPr>
          <w:rFonts w:hint="eastAsia" w:hAnsi="宋体" w:cs="宋体"/>
          <w:color w:val="auto"/>
          <w:highlight w:val="none"/>
        </w:rPr>
        <w:fldChar w:fldCharType="separate"/>
      </w:r>
      <w:r>
        <w:rPr>
          <w:rStyle w:val="27"/>
          <w:rFonts w:hint="eastAsia" w:ascii="宋体" w:hAnsi="宋体" w:cs="宋体"/>
          <w:color w:val="auto"/>
          <w:highlight w:val="none"/>
        </w:rPr>
        <w:t>http</w:t>
      </w:r>
      <w:r>
        <w:rPr>
          <w:rStyle w:val="27"/>
          <w:rFonts w:hint="eastAsia" w:hAnsi="宋体" w:cs="宋体"/>
          <w:color w:val="auto"/>
          <w:highlight w:val="none"/>
        </w:rPr>
        <w:t>：</w:t>
      </w:r>
      <w:r>
        <w:rPr>
          <w:rStyle w:val="27"/>
          <w:rFonts w:hint="eastAsia" w:ascii="宋体" w:hAnsi="宋体" w:cs="宋体"/>
          <w:color w:val="auto"/>
          <w:highlight w:val="none"/>
        </w:rPr>
        <w:t>//www.nnggzy.org.cn）“交易信息-政府采购-政府采购信用融资”中融资银行和南宁市企业融资服务中心专栏信息申请政府采购信用融资。</w:t>
      </w:r>
      <w:r>
        <w:rPr>
          <w:rFonts w:hint="eastAsia" w:hAnsi="宋体" w:cs="宋体"/>
          <w:color w:val="auto"/>
          <w:highlight w:val="none"/>
        </w:rPr>
        <w:fldChar w:fldCharType="end"/>
      </w:r>
    </w:p>
    <w:p w14:paraId="7A20C616">
      <w:pPr>
        <w:pStyle w:val="14"/>
        <w:numPr>
          <w:ilvl w:val="0"/>
          <w:numId w:val="2"/>
        </w:numPr>
        <w:spacing w:line="360" w:lineRule="auto"/>
        <w:ind w:firstLine="422" w:firstLineChars="200"/>
        <w:textAlignment w:val="center"/>
        <w:rPr>
          <w:rFonts w:hint="eastAsia" w:hAnsi="宋体" w:cs="宋体"/>
          <w:color w:val="auto"/>
          <w:szCs w:val="20"/>
          <w:highlight w:val="none"/>
        </w:rPr>
      </w:pPr>
      <w:r>
        <w:rPr>
          <w:rFonts w:hint="eastAsia" w:hAnsi="宋体" w:cs="宋体"/>
          <w:b/>
          <w:bCs/>
          <w:color w:val="auto"/>
          <w:sz w:val="21"/>
          <w:highlight w:val="none"/>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cs="宋体"/>
          <w:b/>
          <w:color w:val="auto"/>
          <w:highlight w:val="none"/>
        </w:rPr>
        <w:br w:type="page"/>
      </w:r>
    </w:p>
    <w:p w14:paraId="1AAAA4E7">
      <w:pPr>
        <w:pStyle w:val="4"/>
        <w:spacing w:before="0" w:after="0" w:line="360" w:lineRule="auto"/>
        <w:jc w:val="center"/>
        <w:rPr>
          <w:rFonts w:hint="eastAsia" w:ascii="宋体" w:hAnsi="宋体" w:cs="宋体"/>
          <w:color w:val="auto"/>
          <w:highlight w:val="none"/>
        </w:rPr>
      </w:pPr>
      <w:bookmarkStart w:id="72" w:name="_Toc25211"/>
      <w:bookmarkEnd w:id="72"/>
      <w:bookmarkStart w:id="73" w:name="_Toc25656"/>
      <w:r>
        <w:rPr>
          <w:rFonts w:hint="eastAsia" w:ascii="宋体" w:hAnsi="宋体" w:cs="宋体"/>
          <w:color w:val="auto"/>
          <w:highlight w:val="none"/>
        </w:rPr>
        <w:t>第四章  评审程序、评审方法和评审标准</w:t>
      </w:r>
      <w:bookmarkEnd w:id="73"/>
    </w:p>
    <w:p w14:paraId="240600CE">
      <w:pPr>
        <w:pStyle w:val="5"/>
        <w:spacing w:before="0" w:after="0" w:line="360" w:lineRule="auto"/>
        <w:jc w:val="center"/>
        <w:rPr>
          <w:rFonts w:hint="eastAsia" w:ascii="宋体" w:hAnsi="宋体" w:cs="宋体"/>
          <w:b w:val="0"/>
          <w:color w:val="auto"/>
          <w:highlight w:val="none"/>
        </w:rPr>
      </w:pPr>
      <w:bookmarkStart w:id="74" w:name="_Toc833"/>
      <w:bookmarkEnd w:id="74"/>
      <w:bookmarkStart w:id="75" w:name="_Toc30544"/>
      <w:r>
        <w:rPr>
          <w:rFonts w:hint="eastAsia" w:ascii="宋体" w:hAnsi="宋体" w:cs="宋体"/>
          <w:b w:val="0"/>
          <w:color w:val="auto"/>
          <w:sz w:val="32"/>
          <w:szCs w:val="32"/>
          <w:highlight w:val="none"/>
        </w:rPr>
        <w:t>第一节 评审程序和评审方法</w:t>
      </w:r>
      <w:bookmarkEnd w:id="75"/>
    </w:p>
    <w:p w14:paraId="0F92CF81">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1.确认磋商文件</w:t>
      </w:r>
    </w:p>
    <w:p w14:paraId="4D267E4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由磋商小组确认磋商文件。</w:t>
      </w:r>
    </w:p>
    <w:p w14:paraId="4C43618E">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2.资格审查</w:t>
      </w:r>
    </w:p>
    <w:p w14:paraId="59CA5CB0">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2.1响应文件开启后，磋商小组依法对供应商的资格证明文件进行审查。</w:t>
      </w:r>
    </w:p>
    <w:p w14:paraId="6C21AF7F">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注：采购人代表或者采购代理机构在资格审查结束前，对供应商进行信用查询。</w:t>
      </w:r>
    </w:p>
    <w:p w14:paraId="025CA600">
      <w:pPr>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highlight w:val="none"/>
        </w:rPr>
      </w:pPr>
      <w:r>
        <w:rPr>
          <w:rFonts w:hint="eastAsia" w:ascii="宋体" w:hAnsi="宋体" w:cs="宋体"/>
          <w:color w:val="auto"/>
          <w:highlight w:val="none"/>
        </w:rPr>
        <w:t>（1）查询渠道：“广西政府采购云平台”“信用中国”网站(</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"http://www.creditchina.gov.cn" </w:instrText>
      </w:r>
      <w:r>
        <w:rPr>
          <w:rFonts w:hint="eastAsia" w:ascii="宋体" w:hAnsi="宋体" w:cs="宋体"/>
          <w:color w:val="auto"/>
          <w:highlight w:val="none"/>
        </w:rPr>
        <w:fldChar w:fldCharType="separate"/>
      </w:r>
      <w:r>
        <w:rPr>
          <w:rStyle w:val="27"/>
          <w:rFonts w:hint="eastAsia" w:ascii="宋体" w:hAnsi="宋体" w:cs="宋体"/>
          <w:color w:val="auto"/>
          <w:highlight w:val="none"/>
        </w:rPr>
        <w:t>www.creditchina.gov.cn</w:t>
      </w:r>
      <w:r>
        <w:rPr>
          <w:rFonts w:hint="eastAsia" w:ascii="宋体" w:hAnsi="宋体" w:cs="宋体"/>
          <w:color w:val="auto"/>
          <w:highlight w:val="none"/>
        </w:rPr>
        <w:fldChar w:fldCharType="end"/>
      </w:r>
      <w:r>
        <w:rPr>
          <w:rFonts w:hint="eastAsia" w:ascii="宋体" w:hAnsi="宋体" w:cs="宋体"/>
          <w:color w:val="auto"/>
          <w:highlight w:val="none"/>
        </w:rPr>
        <w:t>)、中国政府采购网(</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"http://www.ccgp.gov.cn" </w:instrText>
      </w:r>
      <w:r>
        <w:rPr>
          <w:rFonts w:hint="eastAsia" w:ascii="宋体" w:hAnsi="宋体" w:cs="宋体"/>
          <w:color w:val="auto"/>
          <w:highlight w:val="none"/>
        </w:rPr>
        <w:fldChar w:fldCharType="separate"/>
      </w:r>
      <w:r>
        <w:rPr>
          <w:rStyle w:val="27"/>
          <w:rFonts w:hint="eastAsia" w:ascii="宋体" w:hAnsi="宋体" w:cs="宋体"/>
          <w:color w:val="auto"/>
          <w:highlight w:val="none"/>
        </w:rPr>
        <w:t>www.ccgp.gov.cn</w:t>
      </w:r>
      <w:r>
        <w:rPr>
          <w:rFonts w:hint="eastAsia" w:ascii="宋体" w:hAnsi="宋体" w:cs="宋体"/>
          <w:color w:val="auto"/>
          <w:highlight w:val="none"/>
        </w:rPr>
        <w:fldChar w:fldCharType="end"/>
      </w:r>
      <w:r>
        <w:rPr>
          <w:rFonts w:hint="eastAsia" w:ascii="宋体" w:hAnsi="宋体" w:cs="宋体"/>
          <w:color w:val="auto"/>
          <w:highlight w:val="none"/>
        </w:rPr>
        <w:t>)链接入口。</w:t>
      </w:r>
    </w:p>
    <w:p w14:paraId="0B392CCA">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（2）信用查询截止时点：资格审查结束前。</w:t>
      </w:r>
    </w:p>
    <w:p w14:paraId="41BC6CAA">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查询记录和证据留存方式：在查询网站中直接打印查询记录，截图另存为电子文档作为评审资料保存。</w:t>
      </w:r>
    </w:p>
    <w:p w14:paraId="4C2598C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（3）信用信息使用规则：对在“信用中国”网站(www.creditchina.gov.cn) 、中国政府采购网(www.ccgp.gov.cn)被列入失信被执行人、重大税收违法失信主体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A78A43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2.2资格审查标准为本磋商文件中载明对供应商资格要求的条件。资格审查采用合格制，凡符合磋商文件规定的供应商资格要求的响应文件均通过资格审查。</w:t>
      </w:r>
    </w:p>
    <w:p w14:paraId="05DBF75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2.3供应商有下列情形之一的，资格审查不通过，其响应文件按无效响应处理：</w:t>
      </w:r>
    </w:p>
    <w:p w14:paraId="219919BD">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（1）不具备磋商文件中规定的资格要求的；</w:t>
      </w:r>
    </w:p>
    <w:p w14:paraId="7B8CD04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（2）响应文件未提供任一项“供应商须知前附表”资格证明文件规定的“必须提供”的文件资料的；</w:t>
      </w:r>
    </w:p>
    <w:p w14:paraId="0AFA057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（3）响应文件提供的资格证明文件出现任一项不符合“供应商须知前附表”资格证明文件规定的“必须提供”的文件资料要求或者无效的。</w:t>
      </w:r>
    </w:p>
    <w:p w14:paraId="57C49B38">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bookmarkStart w:id="76" w:name="_Hlk68601553"/>
      <w:bookmarkEnd w:id="76"/>
      <w:r>
        <w:rPr>
          <w:rFonts w:hint="eastAsia" w:ascii="宋体" w:hAnsi="宋体" w:cs="宋体"/>
          <w:color w:val="auto"/>
          <w:highlight w:val="none"/>
        </w:rPr>
        <w:t>（4）同一合同项下的不同供应商，单位负责人为同一人或者存在直接控股、管理关系的；为本项目提供过整体设计、规范编制或者项目管理、监理、检测等服务的。</w:t>
      </w:r>
    </w:p>
    <w:p w14:paraId="6E8E00D7">
      <w:pPr>
        <w:keepNext w:val="0"/>
        <w:keepLines w:val="0"/>
        <w:pageBreakBefore w:val="0"/>
        <w:kinsoku/>
        <w:wordWrap/>
        <w:overflowPunct/>
        <w:topLinePunct w:val="0"/>
        <w:autoSpaceDE/>
        <w:autoSpaceDN/>
        <w:bidi w:val="0"/>
        <w:spacing w:line="360" w:lineRule="auto"/>
        <w:ind w:firstLine="422" w:firstLineChars="200"/>
        <w:textAlignment w:val="auto"/>
        <w:rPr>
          <w:rFonts w:hint="eastAsia" w:ascii="宋体" w:hAnsi="宋体" w:cs="宋体"/>
          <w:b/>
          <w:bCs/>
          <w:color w:val="auto"/>
          <w:highlight w:val="none"/>
        </w:rPr>
      </w:pPr>
      <w:r>
        <w:rPr>
          <w:rFonts w:hint="eastAsia" w:ascii="宋体" w:hAnsi="宋体" w:cs="宋体"/>
          <w:b/>
          <w:bCs/>
          <w:color w:val="auto"/>
          <w:highlight w:val="none"/>
        </w:rPr>
        <w:t>2.4通过资格审查的合格供应商不足3家的，不得进入符合性审查环节，采购人或者采购代理机构应当重新开展采购活动。</w:t>
      </w:r>
    </w:p>
    <w:p w14:paraId="5EE22BCE">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3.符合性审查</w:t>
      </w:r>
    </w:p>
    <w:p w14:paraId="14F71EA9">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3.1由磋商小组对通过资格审查的合格供应商的响应文件的响应报价、商务、技术等实质性要求进行符合性审查，以确定其是否满足磋商文件的实质性要求。</w:t>
      </w:r>
    </w:p>
    <w:p w14:paraId="172ED3F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643B50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spacing w:val="-6"/>
          <w:highlight w:val="none"/>
        </w:rPr>
      </w:pPr>
      <w:r>
        <w:rPr>
          <w:rFonts w:hint="eastAsia" w:ascii="宋体" w:hAnsi="宋体" w:cs="宋体"/>
          <w:color w:val="auto"/>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highlight w:val="none"/>
        </w:rPr>
        <w:t>。供应商为自然人的，必须由本人签字并附身份证明。</w:t>
      </w:r>
    </w:p>
    <w:p w14:paraId="5B36CC61">
      <w:pPr>
        <w:keepNext w:val="0"/>
        <w:keepLines w:val="0"/>
        <w:pageBreakBefore w:val="0"/>
        <w:kinsoku/>
        <w:wordWrap/>
        <w:overflowPunct/>
        <w:topLinePunct w:val="0"/>
        <w:autoSpaceDE/>
        <w:autoSpaceDN/>
        <w:bidi w:val="0"/>
        <w:spacing w:line="360" w:lineRule="auto"/>
        <w:ind w:firstLine="396" w:firstLineChars="200"/>
        <w:textAlignment w:val="auto"/>
        <w:rPr>
          <w:rFonts w:hint="eastAsia" w:ascii="宋体" w:hAnsi="宋体" w:cs="宋体"/>
          <w:color w:val="auto"/>
          <w:highlight w:val="none"/>
        </w:rPr>
      </w:pPr>
      <w:r>
        <w:rPr>
          <w:rFonts w:hint="eastAsia" w:ascii="宋体" w:hAnsi="宋体" w:cs="宋体"/>
          <w:color w:val="auto"/>
          <w:spacing w:val="-6"/>
          <w:highlight w:val="none"/>
        </w:rPr>
        <w:t>3.4</w:t>
      </w:r>
      <w:r>
        <w:rPr>
          <w:rFonts w:hint="eastAsia" w:ascii="宋体" w:hAnsi="宋体" w:cs="宋体"/>
          <w:color w:val="auto"/>
          <w:highlight w:val="none"/>
        </w:rPr>
        <w:t xml:space="preserve">首次响应文件报价出现前后不一致的，按照下列规定修正： </w:t>
      </w:r>
    </w:p>
    <w:p w14:paraId="06DBE57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（1）响应文件中报价表内容与响应文件中相应内容不一致的，以报价表为准；</w:t>
      </w:r>
    </w:p>
    <w:p w14:paraId="4909B86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（2）大写金额和小写金额不一致的，以大写金额为准；</w:t>
      </w:r>
    </w:p>
    <w:p w14:paraId="27790419">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（3）单价金额小数点或者百分比有明显错位的，以报价表的总价为准，并修改单价；</w:t>
      </w:r>
    </w:p>
    <w:p w14:paraId="16724CA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（4）总价金额与按单价汇总金额不一致的，以单价金额计算结果为准。</w:t>
      </w:r>
    </w:p>
    <w:p w14:paraId="4828448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同时出现两种以上不一致的，按照以上（1）-（4）规定的顺序逐条进行修正。修正后的报价经供应商确认后产生约束力，供应商不确认的，其响应文件按无效响应处理。</w:t>
      </w:r>
    </w:p>
    <w:p w14:paraId="35D6CBC6">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3.5商务技术、报价评审</w:t>
      </w:r>
    </w:p>
    <w:p w14:paraId="2D8A22F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在评审时，如发现下列情形之一的，将被视为响应文件无效处理：</w:t>
      </w:r>
    </w:p>
    <w:p w14:paraId="60748EE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（1）商务技术评审</w:t>
      </w:r>
    </w:p>
    <w:p w14:paraId="66C3FF3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1）响应文件未按磋商文件要求签署、盖章；</w:t>
      </w:r>
    </w:p>
    <w:p w14:paraId="562F96F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 xml:space="preserve">2）委托代理人未能出具有效身份证明或者出具的身份证明与授权委托书中的信息不符； </w:t>
      </w:r>
    </w:p>
    <w:p w14:paraId="6286B7B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3C7DE77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4）商务条款中标“▲”的条款发生负偏离的或者允许负偏离的条款数超过“供应商须知前附表”规定项数的或者标明实质性的要求发生负偏离；</w:t>
      </w:r>
    </w:p>
    <w:p w14:paraId="1CED3B7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5）未对竞标有效期作出响应或者响应文件承诺的竞标有效期不满足磋商文件要求；</w:t>
      </w:r>
    </w:p>
    <w:p w14:paraId="61EDC388">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6）响应文件的实质性内容未使用中文表述、使用计量单位不符合磋商文件要求；</w:t>
      </w:r>
    </w:p>
    <w:p w14:paraId="27C04249">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7）响应文件中的文件资料因填写不齐全或者内容虚假或者出现其他情形而导致被磋商小组认定无效；</w:t>
      </w:r>
    </w:p>
    <w:p w14:paraId="6AA4491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8）响应文件含有采购人不能接受的附加条件；</w:t>
      </w:r>
    </w:p>
    <w:p w14:paraId="6BA144A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9）属于“供应商须知正文”第7.5条情形；</w:t>
      </w:r>
    </w:p>
    <w:p w14:paraId="34B7752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10）技术需求允许负偏离的条款数超过“供应商须知前附表”规定项数；</w:t>
      </w:r>
    </w:p>
    <w:p w14:paraId="08C68E4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11）虚假竞标，或者出现其他情形而导致被磋商小组认定无效；</w:t>
      </w:r>
    </w:p>
    <w:p w14:paraId="3453A30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12）竞标技术方案不明确，磋商文件未允许但响应文件中存在一个或者一个以上备选（替代）竞标方案；</w:t>
      </w:r>
    </w:p>
    <w:p w14:paraId="7D178DB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13）响应文件标注的项目名称或者项目编号与竞争性磋商文件标注的项目名称或者项目编号不一致的；</w:t>
      </w:r>
    </w:p>
    <w:p w14:paraId="2673AC9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14）未响应磋商文件实质性要求；</w:t>
      </w:r>
    </w:p>
    <w:p w14:paraId="23412F4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15）法律、法规和磋商文件规定的其他无效情形。</w:t>
      </w:r>
    </w:p>
    <w:p w14:paraId="2172642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（2）报价评审</w:t>
      </w:r>
    </w:p>
    <w:p w14:paraId="2128DC38">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 响应文件未提供“供应商须知前附表” 报价文件中规定的“响应报价表”；</w:t>
      </w:r>
    </w:p>
    <w:p w14:paraId="2393B2B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2）未采用人民币报价或者未按照磋商文件标明的币种报价；</w:t>
      </w:r>
    </w:p>
    <w:p w14:paraId="68C1A83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59D7214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34B4381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C249B9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6）响应文件响应的标的数量及单位与竞争性磋商采购文件要求实质性不一致的。</w:t>
      </w:r>
    </w:p>
    <w:p w14:paraId="13A32172">
      <w:pPr>
        <w:keepNext w:val="0"/>
        <w:keepLines w:val="0"/>
        <w:pageBreakBefore w:val="0"/>
        <w:kinsoku/>
        <w:wordWrap/>
        <w:overflowPunct/>
        <w:topLinePunct w:val="0"/>
        <w:autoSpaceDE/>
        <w:autoSpaceDN/>
        <w:bidi w:val="0"/>
        <w:spacing w:line="360" w:lineRule="auto"/>
        <w:ind w:firstLine="422" w:firstLineChars="200"/>
        <w:textAlignment w:val="auto"/>
        <w:rPr>
          <w:rFonts w:ascii="宋体" w:hAnsi="宋体"/>
          <w:bCs/>
          <w:color w:val="auto"/>
          <w:szCs w:val="21"/>
          <w:highlight w:val="none"/>
        </w:rPr>
      </w:pPr>
      <w:r>
        <w:rPr>
          <w:rFonts w:hint="eastAsia" w:ascii="宋体" w:hAnsi="宋体" w:cs="宋体"/>
          <w:b/>
          <w:bCs/>
          <w:color w:val="auto"/>
          <w:highlight w:val="none"/>
        </w:rPr>
        <w:t>7）经磋商小组根据本节</w:t>
      </w:r>
    </w:p>
    <w:p w14:paraId="0B3457B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r>
        <w:rPr>
          <w:rFonts w:hint="eastAsia" w:ascii="宋体" w:hAnsi="宋体" w:cs="宋体"/>
          <w:b/>
          <w:bCs/>
          <w:color w:val="auto"/>
          <w:highlight w:val="none"/>
        </w:rPr>
        <w:t>（符合第3.7条情形的可以为2家）</w:t>
      </w:r>
      <w:r>
        <w:rPr>
          <w:rFonts w:hint="eastAsia" w:ascii="宋体" w:hAnsi="宋体" w:cs="宋体"/>
          <w:color w:val="auto"/>
          <w:highlight w:val="none"/>
        </w:rPr>
        <w:t>。</w:t>
      </w:r>
    </w:p>
    <w:p w14:paraId="6FCB490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3.7非政府购买服务项目，通过符合性审查的合格供应商不足3家的，不得进入磋商环节，采购人或者采购代理机构应当重新开展采购活动。政府购买服务项目，</w:t>
      </w:r>
      <w:r>
        <w:rPr>
          <w:rFonts w:hint="eastAsia" w:ascii="宋体" w:hAnsi="宋体" w:cs="宋体"/>
          <w:b/>
          <w:bCs/>
          <w:color w:val="auto"/>
          <w:highlight w:val="none"/>
        </w:rPr>
        <w:t>按《财政部关于政府采购竞争性磋商采购方式管理暂行办法有关问题的补充通知》（财库〔2015〕124号）规定，采购过程中通过符合性审查的供应商（社会资本）只有2家的</w:t>
      </w:r>
      <w:r>
        <w:rPr>
          <w:rFonts w:hint="eastAsia" w:ascii="宋体" w:hAnsi="宋体" w:cs="宋体"/>
          <w:color w:val="auto"/>
          <w:highlight w:val="none"/>
        </w:rPr>
        <w:t>，磋商采购活动可以继续进行。</w:t>
      </w:r>
    </w:p>
    <w:p w14:paraId="0491565E">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4.磋商程序</w:t>
      </w:r>
    </w:p>
    <w:p w14:paraId="64C225B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highlight w:val="none"/>
        </w:rPr>
        <w:t>4.1磋商小组按照“供应商须知前附表”</w:t>
      </w:r>
      <w:r>
        <w:rPr>
          <w:rFonts w:hint="eastAsia" w:ascii="宋体" w:hAnsi="宋体" w:cs="宋体"/>
          <w:color w:val="auto"/>
          <w:highlight w:val="none"/>
        </w:rPr>
        <w:t xml:space="preserve"> </w:t>
      </w:r>
      <w:r>
        <w:rPr>
          <w:rFonts w:hint="eastAsia" w:ascii="宋体" w:hAnsi="宋体" w:cs="宋体"/>
          <w:color w:val="auto"/>
          <w:kern w:val="0"/>
          <w:highlight w:val="none"/>
        </w:rPr>
        <w:t>确定的</w:t>
      </w:r>
      <w:r>
        <w:rPr>
          <w:rFonts w:hint="eastAsia" w:ascii="宋体" w:hAnsi="宋体" w:cs="宋体"/>
          <w:color w:val="auto"/>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177F487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7972A2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4.3对磋商文件作出的实质性变动是磋商文件的有效组成部分，由磋商小组及时以电子澄清函形式同时通知所有参加磋商的供应商。</w:t>
      </w:r>
    </w:p>
    <w:p w14:paraId="12CABF3C">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50FCBE8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4.5磋商中，</w:t>
      </w:r>
      <w:r>
        <w:rPr>
          <w:rFonts w:hint="eastAsia" w:ascii="宋体" w:hAnsi="宋体" w:cs="宋体"/>
          <w:color w:val="auto"/>
          <w:spacing w:val="-6"/>
          <w:highlight w:val="none"/>
        </w:rPr>
        <w:t>磋商的任何一方不得透露与磋商有关的其他供应商的技术资料、价格和其他信息。</w:t>
      </w:r>
    </w:p>
    <w:p w14:paraId="57D10128">
      <w:pPr>
        <w:keepNext w:val="0"/>
        <w:keepLines w:val="0"/>
        <w:pageBreakBefore w:val="0"/>
        <w:kinsoku/>
        <w:wordWrap/>
        <w:overflowPunct/>
        <w:topLinePunct w:val="0"/>
        <w:autoSpaceDE/>
        <w:autoSpaceDN/>
        <w:bidi w:val="0"/>
        <w:spacing w:line="360" w:lineRule="auto"/>
        <w:ind w:firstLine="422" w:firstLineChars="200"/>
        <w:jc w:val="left"/>
        <w:textAlignment w:val="auto"/>
        <w:rPr>
          <w:rFonts w:hint="eastAsia" w:ascii="宋体" w:hAnsi="宋体" w:cs="宋体"/>
          <w:color w:val="auto"/>
          <w:highlight w:val="none"/>
        </w:rPr>
      </w:pPr>
      <w:r>
        <w:rPr>
          <w:rFonts w:hint="eastAsia" w:ascii="宋体" w:hAnsi="宋体" w:cs="宋体"/>
          <w:b/>
          <w:bCs/>
          <w:color w:val="auto"/>
          <w:szCs w:val="21"/>
          <w:highlight w:val="none"/>
        </w:rPr>
        <w:t>4.6供应商未在规定时间内提交最后报价且未按第五章《磋商响应函》第8款进行应答承诺的，视为退出磋商，其响应文件按无效响应处理。供应商因其他原因未在规定时间内提交最后报价但是已经按第五章《磋商响应函》第8款进行应答承诺的，视为供应商默认首次报价为二次（或最终）报价，其《磋商响应函》的承诺作为供应商二次磋商报价或最终磋商报价的重要依据。</w:t>
      </w:r>
    </w:p>
    <w:p w14:paraId="28E18F99">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cs="宋体"/>
          <w:b/>
          <w:color w:val="auto"/>
          <w:highlight w:val="none"/>
        </w:rPr>
      </w:pPr>
      <w:r>
        <w:rPr>
          <w:rFonts w:hint="eastAsia" w:ascii="宋体" w:hAnsi="宋体" w:cs="宋体"/>
          <w:color w:val="auto"/>
          <w:highlight w:val="none"/>
        </w:rPr>
        <w:t>4.7磋商小组应对磋商过程和重要磋商内容进行记录，作为评标报告一部分，磋商小组在记录上签字确认。主要内容包括：</w:t>
      </w:r>
    </w:p>
    <w:p w14:paraId="3FB061DF">
      <w:pPr>
        <w:pStyle w:val="26"/>
        <w:keepNext w:val="0"/>
        <w:keepLines w:val="0"/>
        <w:pageBreakBefore w:val="0"/>
        <w:kinsoku/>
        <w:wordWrap/>
        <w:overflowPunct/>
        <w:topLinePunct w:val="0"/>
        <w:autoSpaceDE/>
        <w:autoSpaceDN/>
        <w:bidi w:val="0"/>
        <w:spacing w:before="0" w:line="360" w:lineRule="auto"/>
        <w:ind w:firstLine="396"/>
        <w:textAlignment w:val="auto"/>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62652AA8">
      <w:pPr>
        <w:pStyle w:val="26"/>
        <w:keepNext w:val="0"/>
        <w:keepLines w:val="0"/>
        <w:pageBreakBefore w:val="0"/>
        <w:kinsoku/>
        <w:wordWrap/>
        <w:overflowPunct/>
        <w:topLinePunct w:val="0"/>
        <w:autoSpaceDE/>
        <w:autoSpaceDN/>
        <w:bidi w:val="0"/>
        <w:spacing w:before="0" w:line="360" w:lineRule="auto"/>
        <w:ind w:firstLine="396"/>
        <w:textAlignment w:val="auto"/>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（2）磋商日期和地点，磋商人员名单；</w:t>
      </w:r>
    </w:p>
    <w:p w14:paraId="541BBCFB">
      <w:pPr>
        <w:pStyle w:val="26"/>
        <w:keepNext w:val="0"/>
        <w:keepLines w:val="0"/>
        <w:pageBreakBefore w:val="0"/>
        <w:kinsoku/>
        <w:wordWrap/>
        <w:overflowPunct/>
        <w:topLinePunct w:val="0"/>
        <w:autoSpaceDE/>
        <w:autoSpaceDN/>
        <w:bidi w:val="0"/>
        <w:spacing w:before="0" w:line="360" w:lineRule="auto"/>
        <w:ind w:firstLine="396"/>
        <w:textAlignment w:val="auto"/>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062DD8A1">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highlight w:val="none"/>
        </w:rPr>
        <w:t>4.8磋商过程中重新提交的响应文件，供应商可以在开启前补充、修改。</w:t>
      </w:r>
    </w:p>
    <w:p w14:paraId="3448B25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4.9对磋商过程提交的响应文件进行有效性、完整性和响应程度审查，通过审查的合格供应商不足3家的，采购人或者采购代理机构应当重新开展采购活动。</w:t>
      </w:r>
    </w:p>
    <w:p w14:paraId="0AC162BA">
      <w:pPr>
        <w:keepNext w:val="0"/>
        <w:keepLines w:val="0"/>
        <w:pageBreakBefore w:val="0"/>
        <w:kinsoku/>
        <w:wordWrap/>
        <w:overflowPunct/>
        <w:topLinePunct w:val="0"/>
        <w:autoSpaceDE/>
        <w:autoSpaceDN/>
        <w:bidi w:val="0"/>
        <w:spacing w:line="360" w:lineRule="auto"/>
        <w:ind w:firstLine="200"/>
        <w:textAlignment w:val="auto"/>
        <w:rPr>
          <w:rFonts w:hint="eastAsia" w:ascii="宋体" w:hAnsi="宋体" w:cs="宋体"/>
          <w:color w:val="auto"/>
          <w:highlight w:val="none"/>
        </w:rPr>
      </w:pPr>
      <w:r>
        <w:rPr>
          <w:rFonts w:hint="eastAsia" w:ascii="宋体" w:hAnsi="宋体" w:cs="宋体"/>
          <w:b/>
          <w:bCs/>
          <w:color w:val="auto"/>
          <w:sz w:val="24"/>
          <w:highlight w:val="none"/>
        </w:rPr>
        <w:t>5. 最后报价</w:t>
      </w:r>
    </w:p>
    <w:p w14:paraId="34974FE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585EB389">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5.2磋商文件不能详细列明采购标的的技术、服务要求，需经磋商由供应商提供最后设计方案或者解决方案的，磋商结束后，由磋商小组按照少数服从多数的原则投票推荐3家以上供应商</w:t>
      </w:r>
      <w:r>
        <w:rPr>
          <w:rFonts w:hint="eastAsia" w:ascii="宋体" w:hAnsi="宋体" w:cs="宋体"/>
          <w:b/>
          <w:bCs/>
          <w:color w:val="auto"/>
          <w:highlight w:val="none"/>
        </w:rPr>
        <w:t>（符合第3.7条、5.3条情形的可以为2家）</w:t>
      </w:r>
      <w:r>
        <w:rPr>
          <w:rFonts w:hint="eastAsia" w:ascii="宋体" w:hAnsi="宋体" w:cs="宋体"/>
          <w:color w:val="auto"/>
          <w:highlight w:val="none"/>
        </w:rPr>
        <w:t>的设计方案或者解决方案，并要求其在规定时间内密封提交最后报价。</w:t>
      </w:r>
    </w:p>
    <w:p w14:paraId="10E8E8D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2647705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5.4已经提交响应文件的供应商，在提交最后报价之前，可以根据磋商情况退出磋商，退出磋商的供应商的响应文件按无效响应处理。</w:t>
      </w:r>
    </w:p>
    <w:p w14:paraId="1152277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5.5供应商未在规定时间内提交最后报价的，视同退出磋商。</w:t>
      </w:r>
    </w:p>
    <w:p w14:paraId="69083046">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5.6磋商小组收齐某一分标最后报价后统一开启，磋商小组对最后报价进行有效性、完整性和响应程度的审查。</w:t>
      </w:r>
    </w:p>
    <w:p w14:paraId="4B29D30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 xml:space="preserve">5.7最终响应文件的报价出现前后不一致的，按照本章第3.4条的规定修正。 </w:t>
      </w:r>
    </w:p>
    <w:p w14:paraId="3D030FF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5.8修正后的最终报价出现下列情形的，按无效响应处理：</w:t>
      </w:r>
    </w:p>
    <w:p w14:paraId="4E3A0EF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（1）供应商不确认的（全流程电子化评标采取在线确认）；</w:t>
      </w:r>
    </w:p>
    <w:p w14:paraId="1F04E83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（2）经供应商确认修正后的响应报价（包含首次报价、最后报价）超过所竞标分标规定的采购预算金额或者最高限价的（如本项目公布了最高限价）；</w:t>
      </w:r>
    </w:p>
    <w:p w14:paraId="278E869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（3）经供应商确认修正后的响应报价（包含首次报价、最后报价）超过分项采购预算金额或者最高限价的（如本项目公布了最高限价）。</w:t>
      </w:r>
    </w:p>
    <w:p w14:paraId="55E26F4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5.9经供应商确认修正后的最后报价作为评审及签订合同的依据。</w:t>
      </w:r>
    </w:p>
    <w:p w14:paraId="26A7B85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5.10供应商出现最后报价按无效响应处理或者响应文件按无效处理时</w:t>
      </w:r>
      <w:r>
        <w:rPr>
          <w:rFonts w:hint="eastAsia" w:ascii="宋体" w:hAnsi="宋体" w:cs="宋体"/>
          <w:color w:val="auto"/>
          <w:sz w:val="22"/>
          <w:szCs w:val="22"/>
          <w:highlight w:val="none"/>
        </w:rPr>
        <w:t>，磋商小组应当告知有关供应商</w:t>
      </w:r>
      <w:r>
        <w:rPr>
          <w:rFonts w:hint="eastAsia" w:ascii="宋体" w:hAnsi="宋体" w:cs="宋体"/>
          <w:color w:val="auto"/>
          <w:highlight w:val="none"/>
        </w:rPr>
        <w:t>。</w:t>
      </w:r>
    </w:p>
    <w:p w14:paraId="2A4E1B5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5.11最后报价结束后，磋商小组不得再与供应商进行任何形式的商谈。</w:t>
      </w:r>
    </w:p>
    <w:p w14:paraId="7BCCD8AE">
      <w:pPr>
        <w:keepNext w:val="0"/>
        <w:keepLines w:val="0"/>
        <w:pageBreakBefore w:val="0"/>
        <w:kinsoku/>
        <w:wordWrap/>
        <w:overflowPunct/>
        <w:topLinePunct w:val="0"/>
        <w:autoSpaceDE/>
        <w:autoSpaceDN/>
        <w:bidi w:val="0"/>
        <w:spacing w:line="360" w:lineRule="auto"/>
        <w:ind w:firstLine="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6.比较与评价</w:t>
      </w:r>
    </w:p>
    <w:p w14:paraId="3562DE6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6.1评审方法：综合评分法。</w:t>
      </w:r>
    </w:p>
    <w:p w14:paraId="593B090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6.2经磋商确定最终采购需求和提交最后报价的供应商后，由磋商小组采用综合评分法对提交最后报价的供应商的响应文件和最后报价进行综合评分。</w:t>
      </w:r>
    </w:p>
    <w:p w14:paraId="0F0131F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6.3评审时，磋商小组各成员应当独立对每个有效响应的文件进行评价、打分，然后汇总每个供应商每项评分因素的得分。</w:t>
      </w:r>
    </w:p>
    <w:p w14:paraId="46F0F5F8">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6087CD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（2）磋商小组按照磋商文件中规定的评审标准计算各供应商的报价得分。项目评审过程中，不得去掉最后报价中的最高报价和最低报价。</w:t>
      </w:r>
    </w:p>
    <w:p w14:paraId="5FE28DA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（3）各供应商的得分为磋商小组所有成员的有效评分的算术平均数。</w:t>
      </w:r>
    </w:p>
    <w:p w14:paraId="580CDD2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6.4评审价为供应商的最后报价进行政策性扣除后的价格，评审价只是作为评审时使用。最终成交供应商的成交金额等于最后报价（如有修正，以确认修正后的最后报价为准）。</w:t>
      </w:r>
    </w:p>
    <w:p w14:paraId="68D3D02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kern w:val="0"/>
          <w:highlight w:val="none"/>
        </w:rPr>
      </w:pPr>
      <w:r>
        <w:rPr>
          <w:rFonts w:hint="eastAsia" w:ascii="宋体" w:hAnsi="宋体" w:cs="宋体"/>
          <w:color w:val="auto"/>
          <w:highlight w:val="none"/>
        </w:rPr>
        <w:t>6.5由磋商小组根据综合评分情况，按照评审得分由高到低顺序推荐3名以上成交候选供应商，并编写评</w:t>
      </w:r>
      <w:r>
        <w:rPr>
          <w:rFonts w:hint="eastAsia" w:ascii="宋体" w:hAnsi="宋体" w:cs="宋体"/>
          <w:color w:val="auto"/>
          <w:kern w:val="0"/>
          <w:highlight w:val="none"/>
        </w:rPr>
        <w:t>审报告。符合本章第</w:t>
      </w:r>
      <w:r>
        <w:rPr>
          <w:rFonts w:hint="eastAsia" w:ascii="宋体" w:hAnsi="宋体" w:cs="宋体"/>
          <w:color w:val="auto"/>
          <w:highlight w:val="none"/>
        </w:rPr>
        <w:t>3.7、5.3</w:t>
      </w:r>
      <w:r>
        <w:rPr>
          <w:rFonts w:hint="eastAsia" w:ascii="宋体" w:hAnsi="宋体" w:cs="宋体"/>
          <w:color w:val="auto"/>
          <w:kern w:val="0"/>
          <w:highlight w:val="none"/>
        </w:rPr>
        <w:t>条情形的，可以推荐2家成交候选供应商。评审得分相同的，按照最后报价由低到高的顺序推荐。评审得分且最后报价相同的，按照技术指标优劣顺序推荐。</w:t>
      </w:r>
    </w:p>
    <w:p w14:paraId="5F43733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kern w:val="0"/>
          <w:highlight w:val="none"/>
        </w:rPr>
      </w:pPr>
      <w:r>
        <w:rPr>
          <w:rFonts w:hint="eastAsia" w:ascii="宋体" w:hAnsi="宋体" w:cs="宋体"/>
          <w:color w:val="auto"/>
          <w:kern w:val="0"/>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5AB1777">
      <w:pPr>
        <w:keepNext w:val="0"/>
        <w:keepLines w:val="0"/>
        <w:pageBreakBefore w:val="0"/>
        <w:kinsoku/>
        <w:wordWrap/>
        <w:overflowPunct/>
        <w:topLinePunct w:val="0"/>
        <w:autoSpaceDE/>
        <w:autoSpaceDN/>
        <w:bidi w:val="0"/>
        <w:spacing w:line="360" w:lineRule="auto"/>
        <w:ind w:firstLine="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7.评审复核</w:t>
      </w:r>
    </w:p>
    <w:p w14:paraId="1F58A44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highlight w:val="none"/>
        </w:rPr>
        <w:t>7.1评审报告签署前，评审委员会要对评审结果进行复核，复核意见要体现在评审报告中。</w:t>
      </w:r>
    </w:p>
    <w:p w14:paraId="4423D91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3F64EFBF">
      <w:pPr>
        <w:keepNext w:val="0"/>
        <w:keepLines w:val="0"/>
        <w:pageBreakBefore w:val="0"/>
        <w:kinsoku/>
        <w:wordWrap/>
        <w:overflowPunct/>
        <w:topLinePunct w:val="0"/>
        <w:autoSpaceDE/>
        <w:autoSpaceDN/>
        <w:bidi w:val="0"/>
        <w:spacing w:line="360" w:lineRule="auto"/>
        <w:ind w:firstLine="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8.异常低价投标（响应）审查程序的</w:t>
      </w:r>
    </w:p>
    <w:p w14:paraId="51F2B9C9">
      <w:pPr>
        <w:keepNext w:val="0"/>
        <w:keepLines w:val="0"/>
        <w:pageBreakBefore w:val="0"/>
        <w:kinsoku/>
        <w:wordWrap/>
        <w:overflowPunct/>
        <w:topLinePunct w:val="0"/>
        <w:autoSpaceDE/>
        <w:autoSpaceDN/>
        <w:bidi w:val="0"/>
        <w:spacing w:line="360" w:lineRule="auto"/>
        <w:ind w:firstLine="422" w:firstLineChars="200"/>
        <w:textAlignment w:val="auto"/>
        <w:rPr>
          <w:rFonts w:ascii="宋体" w:hAnsi="宋体"/>
          <w:bCs/>
          <w:color w:val="auto"/>
          <w:szCs w:val="21"/>
          <w:highlight w:val="none"/>
        </w:rPr>
      </w:pPr>
      <w:r>
        <w:rPr>
          <w:rFonts w:hint="eastAsia" w:ascii="宋体" w:hAnsi="宋体"/>
          <w:b/>
          <w:color w:val="auto"/>
          <w:szCs w:val="21"/>
          <w:highlight w:val="none"/>
        </w:rPr>
        <w:t>8.1</w:t>
      </w:r>
      <w:r>
        <w:rPr>
          <w:rFonts w:ascii="宋体" w:hAnsi="宋体"/>
          <w:b/>
          <w:color w:val="auto"/>
          <w:szCs w:val="21"/>
          <w:highlight w:val="none"/>
        </w:rPr>
        <w:t>政府采购评审中出现下列情形之一的，评审委员会应当启动异常低价投标（响应）审查程序：</w:t>
      </w:r>
    </w:p>
    <w:p w14:paraId="3D524E06">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（1）</w:t>
      </w:r>
      <w:r>
        <w:rPr>
          <w:rFonts w:ascii="宋体" w:hAnsi="宋体"/>
          <w:bCs/>
          <w:color w:val="auto"/>
          <w:szCs w:val="21"/>
          <w:highlight w:val="none"/>
        </w:rPr>
        <w:t>投标（响应）报价低于全部通过符合性审查供应商投标（响应）报价平均值</w:t>
      </w:r>
      <w:r>
        <w:rPr>
          <w:rFonts w:hint="eastAsia" w:ascii="宋体" w:hAnsi="宋体"/>
          <w:bCs/>
          <w:color w:val="auto"/>
          <w:szCs w:val="21"/>
          <w:highlight w:val="none"/>
          <w:lang w:val="en-US" w:eastAsia="zh-CN"/>
        </w:rPr>
        <w:t>65</w:t>
      </w:r>
      <w:r>
        <w:rPr>
          <w:rFonts w:ascii="宋体" w:hAnsi="宋体"/>
          <w:bCs/>
          <w:color w:val="auto"/>
          <w:szCs w:val="21"/>
          <w:highlight w:val="none"/>
        </w:rPr>
        <w:t>%的，即投标（响应）报价&lt;全部通过符合性审查供应商投标（响应）报价平均值×</w:t>
      </w:r>
      <w:r>
        <w:rPr>
          <w:rFonts w:hint="eastAsia" w:ascii="宋体" w:hAnsi="宋体"/>
          <w:bCs/>
          <w:color w:val="auto"/>
          <w:szCs w:val="21"/>
          <w:highlight w:val="none"/>
        </w:rPr>
        <w:t>65</w:t>
      </w:r>
      <w:r>
        <w:rPr>
          <w:rFonts w:ascii="宋体" w:hAnsi="宋体"/>
          <w:bCs/>
          <w:color w:val="auto"/>
          <w:szCs w:val="21"/>
          <w:highlight w:val="none"/>
        </w:rPr>
        <w:t>%；</w:t>
      </w:r>
    </w:p>
    <w:p w14:paraId="1F4CC80A">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（2）</w:t>
      </w:r>
      <w:r>
        <w:rPr>
          <w:rFonts w:ascii="宋体" w:hAnsi="宋体"/>
          <w:bCs/>
          <w:color w:val="auto"/>
          <w:szCs w:val="21"/>
          <w:highlight w:val="none"/>
        </w:rPr>
        <w:t>投标（响应）报价低于通过符合性审查的次低报价供应商投标（响应）报价</w:t>
      </w:r>
      <w:r>
        <w:rPr>
          <w:rFonts w:hint="eastAsia" w:ascii="宋体" w:hAnsi="宋体"/>
          <w:bCs/>
          <w:color w:val="auto"/>
          <w:szCs w:val="21"/>
          <w:highlight w:val="none"/>
        </w:rPr>
        <w:t>65</w:t>
      </w:r>
      <w:r>
        <w:rPr>
          <w:rFonts w:ascii="宋体" w:hAnsi="宋体"/>
          <w:bCs/>
          <w:color w:val="auto"/>
          <w:szCs w:val="21"/>
          <w:highlight w:val="none"/>
        </w:rPr>
        <w:t>%的，即投标（响应）报价&lt;通过符合性审查的次低报价供应商投标（响应）报价×</w:t>
      </w:r>
      <w:r>
        <w:rPr>
          <w:rFonts w:hint="eastAsia" w:ascii="宋体" w:hAnsi="宋体"/>
          <w:bCs/>
          <w:color w:val="auto"/>
          <w:szCs w:val="21"/>
          <w:highlight w:val="none"/>
        </w:rPr>
        <w:t>65</w:t>
      </w:r>
      <w:r>
        <w:rPr>
          <w:rFonts w:ascii="宋体" w:hAnsi="宋体"/>
          <w:bCs/>
          <w:color w:val="auto"/>
          <w:szCs w:val="21"/>
          <w:highlight w:val="none"/>
        </w:rPr>
        <w:t>%；</w:t>
      </w:r>
    </w:p>
    <w:p w14:paraId="7A6A0CF0">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（3）</w:t>
      </w:r>
      <w:r>
        <w:rPr>
          <w:rFonts w:ascii="宋体" w:hAnsi="宋体"/>
          <w:bCs/>
          <w:color w:val="auto"/>
          <w:szCs w:val="21"/>
          <w:highlight w:val="none"/>
        </w:rPr>
        <w:t>投标（响应）报价低于采购项目最高限价</w:t>
      </w:r>
      <w:r>
        <w:rPr>
          <w:rFonts w:hint="eastAsia" w:ascii="宋体" w:hAnsi="宋体"/>
          <w:bCs/>
          <w:color w:val="auto"/>
          <w:szCs w:val="21"/>
          <w:highlight w:val="none"/>
        </w:rPr>
        <w:t>65</w:t>
      </w:r>
      <w:r>
        <w:rPr>
          <w:rFonts w:ascii="宋体" w:hAnsi="宋体"/>
          <w:bCs/>
          <w:color w:val="auto"/>
          <w:szCs w:val="21"/>
          <w:highlight w:val="none"/>
        </w:rPr>
        <w:t>%的，即投标（响应）报价&lt;采购项目最高限价×</w:t>
      </w:r>
      <w:r>
        <w:rPr>
          <w:rFonts w:hint="eastAsia" w:ascii="宋体" w:hAnsi="宋体"/>
          <w:bCs/>
          <w:color w:val="auto"/>
          <w:szCs w:val="21"/>
          <w:highlight w:val="none"/>
        </w:rPr>
        <w:t>65</w:t>
      </w:r>
      <w:r>
        <w:rPr>
          <w:rFonts w:ascii="宋体" w:hAnsi="宋体"/>
          <w:bCs/>
          <w:color w:val="auto"/>
          <w:szCs w:val="21"/>
          <w:highlight w:val="none"/>
        </w:rPr>
        <w:t xml:space="preserve">%； </w:t>
      </w:r>
    </w:p>
    <w:p w14:paraId="62C8C1C2">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（4）</w:t>
      </w:r>
      <w:r>
        <w:rPr>
          <w:rFonts w:ascii="宋体" w:hAnsi="宋体"/>
          <w:bCs/>
          <w:color w:val="auto"/>
          <w:szCs w:val="21"/>
          <w:highlight w:val="none"/>
        </w:rPr>
        <w:t>评审委员会基于专业判断，认为供应商报价过低，有可能影响产品质量或者不能诚信履约的其他情形。</w:t>
      </w:r>
    </w:p>
    <w:p w14:paraId="2619D4EE">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w:t>
      </w:r>
      <w:r>
        <w:rPr>
          <w:rFonts w:ascii="宋体" w:hAnsi="宋体"/>
          <w:bCs/>
          <w:color w:val="auto"/>
          <w:szCs w:val="21"/>
          <w:highlight w:val="none"/>
        </w:rPr>
        <w:t>采购人可以结合具体项目实际情况，提高上述第1项至第3项中启动异常低价投标（响应）审查的数值标准，但是最高不得超过65%。</w:t>
      </w:r>
      <w:r>
        <w:rPr>
          <w:rFonts w:hint="eastAsia" w:ascii="宋体" w:hAnsi="宋体"/>
          <w:bCs/>
          <w:color w:val="auto"/>
          <w:szCs w:val="21"/>
          <w:highlight w:val="none"/>
        </w:rPr>
        <w:t>】</w:t>
      </w:r>
    </w:p>
    <w:p w14:paraId="78FD38F9">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（5）</w:t>
      </w:r>
      <w:r>
        <w:rPr>
          <w:rFonts w:ascii="宋体" w:hAnsi="宋体"/>
          <w:bCs/>
          <w:color w:val="auto"/>
          <w:szCs w:val="21"/>
          <w:highlight w:val="none"/>
        </w:rPr>
        <w:t>相关法律法规对供应商报价有规定的，从其规定。</w:t>
      </w:r>
    </w:p>
    <w:p w14:paraId="0B670D4D">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8.2</w:t>
      </w:r>
      <w:r>
        <w:rPr>
          <w:rFonts w:ascii="宋体" w:hAnsi="宋体"/>
          <w:bCs/>
          <w:color w:val="auto"/>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4EAA7DE">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
          <w:color w:val="auto"/>
          <w:szCs w:val="21"/>
          <w:highlight w:val="none"/>
        </w:rPr>
      </w:pPr>
      <w:r>
        <w:rPr>
          <w:rFonts w:hint="eastAsia" w:ascii="宋体" w:hAnsi="宋体"/>
          <w:bCs/>
          <w:color w:val="auto"/>
          <w:szCs w:val="21"/>
          <w:highlight w:val="none"/>
        </w:rPr>
        <w:t>8.3</w:t>
      </w:r>
      <w:r>
        <w:rPr>
          <w:rFonts w:ascii="宋体" w:hAnsi="宋体"/>
          <w:bCs/>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w:t>
      </w:r>
      <w:r>
        <w:rPr>
          <w:rFonts w:ascii="宋体" w:hAnsi="宋体"/>
          <w:b/>
          <w:color w:val="auto"/>
          <w:szCs w:val="21"/>
          <w:highlight w:val="none"/>
        </w:rPr>
        <w:t>投标（响应）供应商不能提供书面说明、证明材料，或者提供的书面说明、证明材料不能证明其报价合理性的，评审委员会应当将其作为无效投标（响应）处理。</w:t>
      </w:r>
    </w:p>
    <w:p w14:paraId="71DD06A5">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ascii="宋体" w:hAnsi="宋体"/>
          <w:bCs/>
          <w:color w:val="auto"/>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D57EFE8">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bCs/>
          <w:color w:val="auto"/>
          <w:szCs w:val="21"/>
          <w:highlight w:val="none"/>
        </w:rPr>
      </w:pPr>
      <w:r>
        <w:rPr>
          <w:rFonts w:ascii="宋体" w:hAnsi="宋体"/>
          <w:bCs/>
          <w:color w:val="auto"/>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372E0BBA">
      <w:pPr>
        <w:keepNext w:val="0"/>
        <w:keepLines w:val="0"/>
        <w:pageBreakBefore w:val="0"/>
        <w:kinsoku/>
        <w:wordWrap/>
        <w:overflowPunct/>
        <w:topLinePunct w:val="0"/>
        <w:autoSpaceDE/>
        <w:autoSpaceDN/>
        <w:bidi w:val="0"/>
        <w:spacing w:line="360" w:lineRule="auto"/>
        <w:textAlignment w:val="auto"/>
        <w:rPr>
          <w:color w:val="auto"/>
          <w:highlight w:val="none"/>
        </w:rPr>
      </w:pPr>
    </w:p>
    <w:p w14:paraId="0B0F4BAA">
      <w:pPr>
        <w:keepNext w:val="0"/>
        <w:keepLines w:val="0"/>
        <w:pageBreakBefore w:val="0"/>
        <w:kinsoku/>
        <w:wordWrap/>
        <w:overflowPunct/>
        <w:topLinePunct w:val="0"/>
        <w:autoSpaceDE/>
        <w:autoSpaceDN/>
        <w:bidi w:val="0"/>
        <w:spacing w:line="360" w:lineRule="auto"/>
        <w:ind w:firstLine="200"/>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9.评审标准</w:t>
      </w:r>
    </w:p>
    <w:p w14:paraId="64B62730">
      <w:pPr>
        <w:spacing w:line="360" w:lineRule="auto"/>
        <w:jc w:val="center"/>
        <w:rPr>
          <w:rFonts w:hint="eastAsia"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一、评标方法</w:t>
      </w:r>
    </w:p>
    <w:p w14:paraId="67EB3A8B">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磋商小组将以磋商响应文件为评审依据，对供应商的报价、技术、商务等方面内容按百分制打分。（计分方法按四舍五入取至百分位）</w:t>
      </w:r>
    </w:p>
    <w:p w14:paraId="477610B1">
      <w:pPr>
        <w:spacing w:line="360" w:lineRule="auto"/>
        <w:ind w:firstLine="420" w:firstLineChars="200"/>
        <w:rPr>
          <w:rFonts w:hint="eastAsia" w:ascii="宋体" w:hAnsi="宋体" w:cs="宋体"/>
          <w:bCs/>
          <w:color w:val="auto"/>
          <w:szCs w:val="21"/>
          <w:highlight w:val="none"/>
        </w:rPr>
      </w:pPr>
    </w:p>
    <w:p w14:paraId="1E27E976">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二、评审标准</w:t>
      </w:r>
    </w:p>
    <w:p w14:paraId="0BE9448D">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w:t>
      </w:r>
      <w:r>
        <w:rPr>
          <w:rFonts w:ascii="宋体" w:hAnsi="宋体"/>
          <w:bCs/>
          <w:color w:val="auto"/>
          <w:szCs w:val="21"/>
          <w:highlight w:val="none"/>
        </w:rPr>
        <w:t>.</w:t>
      </w: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129"/>
        <w:gridCol w:w="6643"/>
        <w:gridCol w:w="853"/>
      </w:tblGrid>
      <w:tr w14:paraId="594A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4" w:type="pct"/>
            <w:noWrap w:val="0"/>
            <w:vAlign w:val="center"/>
          </w:tcPr>
          <w:p w14:paraId="0B014000">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序号</w:t>
            </w:r>
          </w:p>
        </w:tc>
        <w:tc>
          <w:tcPr>
            <w:tcW w:w="611" w:type="pct"/>
            <w:noWrap w:val="0"/>
            <w:vAlign w:val="center"/>
          </w:tcPr>
          <w:p w14:paraId="5C3A662A">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评审因素</w:t>
            </w:r>
          </w:p>
        </w:tc>
        <w:tc>
          <w:tcPr>
            <w:tcW w:w="3594" w:type="pct"/>
            <w:noWrap w:val="0"/>
            <w:vAlign w:val="center"/>
          </w:tcPr>
          <w:p w14:paraId="35B788B4">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评审因素具体内容</w:t>
            </w:r>
          </w:p>
        </w:tc>
        <w:tc>
          <w:tcPr>
            <w:tcW w:w="458" w:type="pct"/>
            <w:noWrap w:val="0"/>
            <w:vAlign w:val="center"/>
          </w:tcPr>
          <w:p w14:paraId="10EA5CBC">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分值</w:t>
            </w:r>
          </w:p>
        </w:tc>
      </w:tr>
      <w:tr w14:paraId="5912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334" w:type="pct"/>
            <w:noWrap w:val="0"/>
            <w:vAlign w:val="center"/>
          </w:tcPr>
          <w:p w14:paraId="127B0A1F">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w:t>
            </w:r>
          </w:p>
        </w:tc>
        <w:tc>
          <w:tcPr>
            <w:tcW w:w="611" w:type="pct"/>
            <w:noWrap w:val="0"/>
            <w:vAlign w:val="center"/>
          </w:tcPr>
          <w:p w14:paraId="2481AE30">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价格分</w:t>
            </w:r>
          </w:p>
        </w:tc>
        <w:tc>
          <w:tcPr>
            <w:tcW w:w="3594" w:type="pct"/>
            <w:noWrap w:val="0"/>
            <w:vAlign w:val="top"/>
          </w:tcPr>
          <w:p w14:paraId="4733B6A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通过资格审查、符合性审查以及报价通过合理性评审的供应商，方可进入价格分评审。</w:t>
            </w:r>
          </w:p>
          <w:p w14:paraId="2AD7A6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（1）根据《政府采购促进中小企业发展管理办法》（财库〔2020〕46 号）、《广西壮族自治区财政厅关于贯彻落实政府采购支持中小企业发展政策的通知》（桂财采〔2022〕</w:t>
            </w:r>
            <w:r>
              <w:rPr>
                <w:rFonts w:hint="eastAsia" w:ascii="宋体" w:hAnsi="宋体" w:cs="宋体"/>
                <w:color w:val="auto"/>
                <w:sz w:val="21"/>
                <w:szCs w:val="21"/>
                <w:highlight w:val="none"/>
                <w:lang w:val="en-US" w:eastAsia="zh-CN"/>
              </w:rPr>
              <w:t>31</w:t>
            </w:r>
            <w:r>
              <w:rPr>
                <w:rFonts w:hint="eastAsia" w:ascii="宋体" w:hAnsi="宋体" w:cs="宋体"/>
                <w:color w:val="auto"/>
                <w:sz w:val="21"/>
                <w:szCs w:val="21"/>
                <w:highlight w:val="none"/>
              </w:rPr>
              <w:t>号）、《广西壮族自治区财政厅关于持续优化政府采购营商环境推动高质量发展的通知》（桂财采〔2024〕55 号），本项目服务对</w:t>
            </w:r>
            <w:r>
              <w:rPr>
                <w:rFonts w:hint="eastAsia" w:ascii="宋体" w:hAnsi="宋体" w:cs="宋体"/>
                <w:b/>
                <w:bCs/>
                <w:color w:val="auto"/>
                <w:sz w:val="21"/>
                <w:szCs w:val="21"/>
                <w:highlight w:val="none"/>
              </w:rPr>
              <w:t>小微企业给予</w:t>
            </w:r>
            <w:r>
              <w:rPr>
                <w:rFonts w:hint="eastAsia" w:ascii="宋体" w:hAnsi="宋体" w:cs="宋体"/>
                <w:b/>
                <w:bCs/>
                <w:color w:val="auto"/>
                <w:sz w:val="21"/>
                <w:szCs w:val="21"/>
                <w:highlight w:val="none"/>
                <w:lang w:val="en-US" w:eastAsia="zh-CN"/>
              </w:rPr>
              <w:t>10</w:t>
            </w:r>
            <w:r>
              <w:rPr>
                <w:rFonts w:hint="eastAsia" w:ascii="宋体" w:hAnsi="宋体" w:cs="宋体"/>
                <w:b/>
                <w:bCs/>
                <w:color w:val="auto"/>
                <w:sz w:val="21"/>
                <w:szCs w:val="21"/>
                <w:highlight w:val="none"/>
              </w:rPr>
              <w:t>%</w:t>
            </w:r>
            <w:r>
              <w:rPr>
                <w:rFonts w:hint="eastAsia" w:ascii="宋体" w:hAnsi="宋体" w:cs="宋体"/>
                <w:b/>
                <w:bCs/>
                <w:color w:val="auto"/>
                <w:sz w:val="21"/>
                <w:szCs w:val="21"/>
                <w:highlight w:val="none"/>
                <w:lang w:val="en-US" w:eastAsia="zh-CN"/>
              </w:rPr>
              <w:t>的</w:t>
            </w:r>
            <w:r>
              <w:rPr>
                <w:rFonts w:hint="eastAsia" w:ascii="宋体" w:hAnsi="宋体" w:cs="宋体"/>
                <w:b/>
                <w:bCs/>
                <w:color w:val="auto"/>
                <w:sz w:val="21"/>
                <w:szCs w:val="21"/>
                <w:highlight w:val="none"/>
              </w:rPr>
              <w:t>价格扣除</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联合体全体成员均为</w:t>
            </w:r>
            <w:r>
              <w:rPr>
                <w:rFonts w:hint="eastAsia" w:ascii="宋体" w:hAnsi="宋体" w:cs="宋体"/>
                <w:b/>
                <w:bCs/>
                <w:color w:val="auto"/>
                <w:sz w:val="21"/>
                <w:szCs w:val="21"/>
                <w:highlight w:val="none"/>
              </w:rPr>
              <w:t>小微企业</w:t>
            </w:r>
            <w:r>
              <w:rPr>
                <w:rFonts w:hint="eastAsia" w:ascii="宋体" w:hAnsi="宋体" w:cs="宋体"/>
                <w:b/>
                <w:bCs/>
                <w:color w:val="auto"/>
                <w:sz w:val="21"/>
                <w:szCs w:val="21"/>
                <w:highlight w:val="none"/>
                <w:lang w:val="en-US" w:eastAsia="zh-CN"/>
              </w:rPr>
              <w:t>的，联合体视同</w:t>
            </w:r>
            <w:r>
              <w:rPr>
                <w:rFonts w:hint="eastAsia" w:ascii="宋体" w:hAnsi="宋体" w:cs="宋体"/>
                <w:b/>
                <w:bCs/>
                <w:color w:val="auto"/>
                <w:sz w:val="21"/>
                <w:szCs w:val="21"/>
                <w:highlight w:val="none"/>
              </w:rPr>
              <w:t>小微企业</w:t>
            </w:r>
            <w:r>
              <w:rPr>
                <w:rFonts w:hint="eastAsia" w:ascii="宋体" w:hAnsi="宋体" w:cs="宋体"/>
                <w:b/>
                <w:bCs/>
                <w:color w:val="auto"/>
                <w:sz w:val="21"/>
                <w:szCs w:val="21"/>
                <w:highlight w:val="none"/>
                <w:lang w:eastAsia="zh-CN"/>
              </w:rPr>
              <w:t>。</w:t>
            </w:r>
            <w:r>
              <w:rPr>
                <w:rFonts w:hint="eastAsia" w:ascii="宋体" w:hAnsi="宋体" w:cs="宋体"/>
                <w:color w:val="auto"/>
                <w:sz w:val="21"/>
                <w:szCs w:val="21"/>
                <w:highlight w:val="none"/>
              </w:rPr>
              <w:t>扣除后的价格为评标价，即评标价＝竞标报价×（1-</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w:t>
            </w:r>
          </w:p>
          <w:p w14:paraId="5BF0F6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（2）联合体由大中型企业+小微企业组成</w:t>
            </w:r>
            <w:r>
              <w:rPr>
                <w:rFonts w:hint="eastAsia" w:ascii="宋体" w:hAnsi="宋体" w:cs="宋体"/>
                <w:color w:val="auto"/>
                <w:sz w:val="21"/>
                <w:szCs w:val="21"/>
                <w:highlight w:val="none"/>
                <w:lang w:val="en-US" w:eastAsia="zh-CN"/>
              </w:rPr>
              <w:t>的</w:t>
            </w:r>
            <w:r>
              <w:rPr>
                <w:rFonts w:hint="eastAsia" w:ascii="宋体" w:hAnsi="宋体" w:cs="宋体"/>
                <w:color w:val="auto"/>
                <w:sz w:val="21"/>
                <w:szCs w:val="21"/>
                <w:highlight w:val="none"/>
              </w:rPr>
              <w:t>，联合体协议</w:t>
            </w:r>
            <w:r>
              <w:rPr>
                <w:rFonts w:hint="eastAsia" w:ascii="宋体" w:hAnsi="宋体" w:cs="宋体"/>
                <w:color w:val="auto"/>
                <w:sz w:val="21"/>
                <w:szCs w:val="21"/>
                <w:highlight w:val="none"/>
                <w:lang w:val="en-US" w:eastAsia="zh-CN"/>
              </w:rPr>
              <w:t>书</w:t>
            </w:r>
            <w:r>
              <w:rPr>
                <w:rFonts w:hint="eastAsia" w:ascii="宋体" w:hAnsi="宋体" w:cs="宋体"/>
                <w:color w:val="auto"/>
                <w:sz w:val="21"/>
                <w:szCs w:val="21"/>
                <w:highlight w:val="none"/>
              </w:rPr>
              <w:t>明确小微企业承担本项目</w:t>
            </w:r>
            <w:r>
              <w:rPr>
                <w:rFonts w:hint="eastAsia" w:ascii="宋体" w:hAnsi="宋体" w:cs="宋体"/>
                <w:color w:val="auto"/>
                <w:sz w:val="21"/>
                <w:szCs w:val="21"/>
                <w:highlight w:val="none"/>
                <w:lang w:val="en-US" w:eastAsia="zh-CN"/>
              </w:rPr>
              <w:t>服务</w:t>
            </w:r>
            <w:r>
              <w:rPr>
                <w:rFonts w:hint="eastAsia" w:ascii="宋体" w:hAnsi="宋体" w:cs="宋体"/>
                <w:color w:val="auto"/>
                <w:sz w:val="21"/>
                <w:szCs w:val="21"/>
                <w:highlight w:val="none"/>
              </w:rPr>
              <w:t>合同金额占比≥30%的</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给予4%的</w:t>
            </w:r>
            <w:r>
              <w:rPr>
                <w:rFonts w:hint="eastAsia" w:ascii="宋体" w:hAnsi="宋体" w:cs="宋体"/>
                <w:color w:val="auto"/>
                <w:sz w:val="21"/>
                <w:szCs w:val="21"/>
                <w:highlight w:val="none"/>
                <w:lang w:val="en-US" w:eastAsia="zh-CN"/>
              </w:rPr>
              <w:t>价格</w:t>
            </w:r>
            <w:r>
              <w:rPr>
                <w:rFonts w:hint="eastAsia" w:ascii="宋体" w:hAnsi="宋体" w:cs="宋体"/>
                <w:color w:val="auto"/>
                <w:sz w:val="21"/>
                <w:szCs w:val="21"/>
                <w:highlight w:val="none"/>
              </w:rPr>
              <w:t>扣除。扣除后的价格为评标价，即评标价＝竞标报价×（1-</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；小微企业合同份额不足30%的，不享受价格扣除</w:t>
            </w:r>
            <w:r>
              <w:rPr>
                <w:rFonts w:hint="eastAsia" w:ascii="宋体" w:hAnsi="宋体" w:cs="宋体"/>
                <w:color w:val="auto"/>
                <w:sz w:val="21"/>
                <w:szCs w:val="21"/>
                <w:highlight w:val="none"/>
              </w:rPr>
              <w:t>。</w:t>
            </w:r>
          </w:p>
          <w:p w14:paraId="425EE7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）联合体全部成员为大中型企业，不享受价格扣除。</w:t>
            </w:r>
          </w:p>
          <w:p w14:paraId="6801A1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竞标服务提供企业按《关于政府采购支持监狱企业发展有关问题的通知》(财库[2014]68号)认定为监狱企业的，在政府采购活动中，监狱企业视同小型、微型企业。（以供应商按要求提供的省级以上监狱管理局、戒毒管理局(含新疆生产建设兵团)出具的属于监狱企业的证明文件为评分依据。</w:t>
            </w:r>
          </w:p>
          <w:p w14:paraId="5FBFAE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竞标服务提供企业按《关于促进残疾人就业政府采购政策的通知》(财库〔2017〕141号)认定为残疾人福利性单位的，在政府采购活动中，残疾人福利性单位视同小型、微型企业。残疾人福利性单位参加政府采购活动时，应当提供该通知规定的，并提交残疾人证及在本企业缴纳社保证明。（以供应商按要求提供的《残疾人福利性单位声明函》为评分依据）</w:t>
            </w:r>
          </w:p>
          <w:p w14:paraId="34AD1E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）除上述情况外，评标价＝</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报价；</w:t>
            </w:r>
          </w:p>
          <w:p w14:paraId="74D0581B">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kern w:val="2"/>
                <w:sz w:val="21"/>
                <w:szCs w:val="21"/>
                <w:highlight w:val="none"/>
                <w:u w:val="none"/>
              </w:rPr>
            </w:pPr>
            <w:r>
              <w:rPr>
                <w:rFonts w:hint="eastAsia" w:hAnsi="宋体" w:cs="宋体"/>
                <w:color w:val="auto"/>
                <w:kern w:val="2"/>
                <w:sz w:val="21"/>
                <w:szCs w:val="21"/>
                <w:highlight w:val="none"/>
                <w:u w:val="none"/>
              </w:rPr>
              <w:t>（</w:t>
            </w:r>
            <w:r>
              <w:rPr>
                <w:rFonts w:hint="eastAsia" w:hAnsi="宋体" w:cs="宋体"/>
                <w:color w:val="auto"/>
                <w:kern w:val="2"/>
                <w:sz w:val="21"/>
                <w:szCs w:val="21"/>
                <w:highlight w:val="none"/>
                <w:u w:val="none"/>
                <w:lang w:val="en-US" w:eastAsia="zh-CN"/>
              </w:rPr>
              <w:t>7</w:t>
            </w:r>
            <w:r>
              <w:rPr>
                <w:rFonts w:hint="eastAsia" w:hAnsi="宋体" w:cs="宋体"/>
                <w:color w:val="auto"/>
                <w:kern w:val="2"/>
                <w:sz w:val="21"/>
                <w:szCs w:val="21"/>
                <w:highlight w:val="none"/>
                <w:u w:val="none"/>
              </w:rPr>
              <w:t>）以进入比较与评价环节的最低的评审报价为基准价，基准价得分为10分。</w:t>
            </w:r>
          </w:p>
          <w:p w14:paraId="4DDD3898">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kern w:val="2"/>
                <w:sz w:val="21"/>
                <w:szCs w:val="21"/>
                <w:highlight w:val="none"/>
              </w:rPr>
            </w:pPr>
            <w:r>
              <w:rPr>
                <w:rFonts w:hint="eastAsia" w:hAnsi="宋体" w:cs="宋体"/>
                <w:color w:val="auto"/>
                <w:kern w:val="2"/>
                <w:sz w:val="21"/>
                <w:szCs w:val="21"/>
                <w:highlight w:val="none"/>
              </w:rPr>
              <w:t>（</w:t>
            </w:r>
            <w:r>
              <w:rPr>
                <w:rFonts w:hint="eastAsia" w:hAnsi="宋体" w:cs="宋体"/>
                <w:color w:val="auto"/>
                <w:kern w:val="2"/>
                <w:sz w:val="21"/>
                <w:szCs w:val="21"/>
                <w:highlight w:val="none"/>
                <w:lang w:val="en-US" w:eastAsia="zh-CN"/>
              </w:rPr>
              <w:t>8</w:t>
            </w:r>
            <w:r>
              <w:rPr>
                <w:rFonts w:hint="eastAsia" w:hAnsi="宋体" w:cs="宋体"/>
                <w:color w:val="auto"/>
                <w:kern w:val="2"/>
                <w:sz w:val="21"/>
                <w:szCs w:val="21"/>
                <w:highlight w:val="none"/>
              </w:rPr>
              <w:t>）价格分计算公式：</w:t>
            </w:r>
          </w:p>
          <w:p w14:paraId="61B29506">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kern w:val="2"/>
                <w:sz w:val="21"/>
                <w:szCs w:val="21"/>
                <w:highlight w:val="none"/>
                <w:u w:val="none"/>
              </w:rPr>
            </w:pPr>
            <w:r>
              <w:rPr>
                <w:rFonts w:hint="eastAsia" w:hAnsi="宋体" w:cs="宋体"/>
                <w:color w:val="auto"/>
                <w:kern w:val="2"/>
                <w:sz w:val="21"/>
                <w:szCs w:val="21"/>
                <w:highlight w:val="none"/>
                <w:u w:val="none"/>
              </w:rPr>
              <w:t>报价得分=（基准价/</w:t>
            </w:r>
            <w:r>
              <w:rPr>
                <w:rFonts w:hint="eastAsia" w:hAnsi="宋体" w:cs="宋体"/>
                <w:color w:val="auto"/>
                <w:sz w:val="21"/>
                <w:szCs w:val="21"/>
                <w:highlight w:val="none"/>
                <w:u w:val="none"/>
              </w:rPr>
              <w:t>评标价</w:t>
            </w:r>
            <w:r>
              <w:rPr>
                <w:rFonts w:hint="eastAsia" w:hAnsi="宋体" w:cs="宋体"/>
                <w:color w:val="auto"/>
                <w:kern w:val="2"/>
                <w:sz w:val="21"/>
                <w:szCs w:val="21"/>
                <w:highlight w:val="none"/>
                <w:u w:val="none"/>
              </w:rPr>
              <w:t>）×10分</w:t>
            </w:r>
          </w:p>
          <w:p w14:paraId="2530F81D">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Ansi="宋体" w:cs="宋体"/>
                <w:color w:val="auto"/>
                <w:kern w:val="2"/>
                <w:sz w:val="21"/>
                <w:szCs w:val="21"/>
                <w:highlight w:val="none"/>
              </w:rPr>
            </w:pPr>
            <w:r>
              <w:rPr>
                <w:rFonts w:hint="eastAsia" w:hAnsi="宋体" w:cs="宋体"/>
                <w:color w:val="auto"/>
                <w:kern w:val="2"/>
                <w:sz w:val="21"/>
                <w:szCs w:val="21"/>
                <w:highlight w:val="none"/>
                <w:u w:val="none"/>
              </w:rPr>
              <w:t>【备注：本项目为</w:t>
            </w:r>
            <w:r>
              <w:rPr>
                <w:rFonts w:hint="eastAsia" w:hAnsi="宋体" w:cs="宋体"/>
                <w:color w:val="auto"/>
                <w:sz w:val="21"/>
                <w:szCs w:val="21"/>
                <w:highlight w:val="none"/>
                <w:u w:val="none"/>
              </w:rPr>
              <w:t>非专门面向中小企业采购的项目</w:t>
            </w:r>
            <w:r>
              <w:rPr>
                <w:rFonts w:hint="eastAsia" w:hAnsi="宋体" w:cs="宋体"/>
                <w:color w:val="auto"/>
                <w:kern w:val="2"/>
                <w:sz w:val="21"/>
                <w:szCs w:val="21"/>
                <w:highlight w:val="none"/>
                <w:u w:val="none"/>
              </w:rPr>
              <w:t>】</w:t>
            </w:r>
          </w:p>
        </w:tc>
        <w:tc>
          <w:tcPr>
            <w:tcW w:w="458" w:type="pct"/>
            <w:noWrap w:val="0"/>
            <w:vAlign w:val="center"/>
          </w:tcPr>
          <w:p w14:paraId="61AAFCAE">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10分</w:t>
            </w:r>
          </w:p>
        </w:tc>
      </w:tr>
      <w:tr w14:paraId="3A79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4" w:type="pct"/>
            <w:noWrap w:val="0"/>
            <w:vAlign w:val="center"/>
          </w:tcPr>
          <w:p w14:paraId="5E21F61A">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w:t>
            </w:r>
          </w:p>
        </w:tc>
        <w:tc>
          <w:tcPr>
            <w:tcW w:w="611" w:type="pct"/>
            <w:noWrap w:val="0"/>
            <w:vAlign w:val="center"/>
          </w:tcPr>
          <w:p w14:paraId="71AE1217">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技术分</w:t>
            </w:r>
          </w:p>
        </w:tc>
        <w:tc>
          <w:tcPr>
            <w:tcW w:w="3594" w:type="pct"/>
            <w:noWrap w:val="0"/>
            <w:vAlign w:val="top"/>
          </w:tcPr>
          <w:p w14:paraId="3C3D4D0D">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评审因素</w:t>
            </w:r>
          </w:p>
        </w:tc>
        <w:tc>
          <w:tcPr>
            <w:tcW w:w="458" w:type="pct"/>
            <w:noWrap w:val="0"/>
            <w:vAlign w:val="top"/>
          </w:tcPr>
          <w:p w14:paraId="14C2C827">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82</w:t>
            </w:r>
            <w:r>
              <w:rPr>
                <w:rFonts w:hint="eastAsia" w:ascii="宋体" w:hAnsi="宋体" w:cs="宋体"/>
                <w:color w:val="auto"/>
                <w:kern w:val="0"/>
                <w:sz w:val="21"/>
                <w:szCs w:val="21"/>
                <w:highlight w:val="none"/>
              </w:rPr>
              <w:t>分</w:t>
            </w:r>
          </w:p>
        </w:tc>
      </w:tr>
      <w:tr w14:paraId="5FAE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334" w:type="pct"/>
            <w:noWrap w:val="0"/>
            <w:vAlign w:val="center"/>
          </w:tcPr>
          <w:p w14:paraId="22EBA422">
            <w:pPr>
              <w:keepNext w:val="0"/>
              <w:keepLines w:val="0"/>
              <w:pageBreakBefore w:val="0"/>
              <w:kinsoku/>
              <w:wordWrap/>
              <w:overflowPunct/>
              <w:topLinePunct w:val="0"/>
              <w:autoSpaceDE/>
              <w:autoSpaceDN/>
              <w:bidi w:val="0"/>
              <w:adjustRightInd w:val="0"/>
              <w:spacing w:line="360" w:lineRule="exact"/>
              <w:jc w:val="center"/>
              <w:textAlignment w:val="baseline"/>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2.1</w:t>
            </w:r>
          </w:p>
        </w:tc>
        <w:tc>
          <w:tcPr>
            <w:tcW w:w="611" w:type="pct"/>
            <w:noWrap w:val="0"/>
            <w:vAlign w:val="center"/>
          </w:tcPr>
          <w:p w14:paraId="10BB13B0">
            <w:pPr>
              <w:keepNext w:val="0"/>
              <w:keepLines w:val="0"/>
              <w:pageBreakBefore w:val="0"/>
              <w:kinsoku/>
              <w:wordWrap/>
              <w:overflowPunct/>
              <w:topLinePunct w:val="0"/>
              <w:autoSpaceDE/>
              <w:autoSpaceDN/>
              <w:bidi w:val="0"/>
              <w:spacing w:before="120" w:after="120"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项目整体实施方案</w:t>
            </w:r>
          </w:p>
        </w:tc>
        <w:tc>
          <w:tcPr>
            <w:tcW w:w="3594" w:type="pct"/>
            <w:noWrap w:val="0"/>
            <w:vAlign w:val="center"/>
          </w:tcPr>
          <w:p w14:paraId="742014A2">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项目整体实施方案（20分）</w:t>
            </w:r>
          </w:p>
          <w:p w14:paraId="27A8DE29">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根据供应商针对本项目房屋安全鉴定、使用功能检测编制的整体实施方案，重点围绕项目重难点分析、整体工作流程、现场实施部署、工期保障计划、质量管控措施、安全文明施工措施、成果交付保障七大核心内容，结合方案完整性、针对性、专业性、落地性综合评审，按照五档细化分值打分：</w:t>
            </w:r>
          </w:p>
          <w:p w14:paraId="01416355">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优秀（20分）</w:t>
            </w:r>
            <w:r>
              <w:rPr>
                <w:rFonts w:hint="eastAsia" w:ascii="宋体" w:hAnsi="宋体" w:cs="宋体"/>
                <w:color w:val="auto"/>
                <w:sz w:val="21"/>
                <w:szCs w:val="21"/>
                <w:highlight w:val="none"/>
              </w:rPr>
              <w:t>：七大核心内容齐全无缺项；精准结合本项目33层高层住宅、多楼栋、大面积检测特点，重难点分析透彻、贴合项目实际，针对性解决措施科学可行；工作流程清晰闭环、贴合广西地方检测规范；现场部署科学合理、人员设备配置适配项目规模；工期保障、质量管控、安全文明施工、成果交付保障体系完善、措施具体、可落地性极强，完全满足</w:t>
            </w:r>
            <w:r>
              <w:rPr>
                <w:rFonts w:hint="eastAsia" w:ascii="宋体" w:hAnsi="宋体" w:cs="宋体"/>
                <w:color w:val="auto"/>
                <w:sz w:val="21"/>
                <w:szCs w:val="21"/>
                <w:highlight w:val="none"/>
                <w:lang w:eastAsia="zh-CN"/>
              </w:rPr>
              <w:t>采购文件</w:t>
            </w:r>
            <w:r>
              <w:rPr>
                <w:rFonts w:hint="eastAsia" w:ascii="宋体" w:hAnsi="宋体" w:cs="宋体"/>
                <w:color w:val="auto"/>
                <w:sz w:val="21"/>
                <w:szCs w:val="21"/>
                <w:highlight w:val="none"/>
              </w:rPr>
              <w:t>及桂建发〔2022〕8号、桂建发〔2025〕5号等全部规范要求。</w:t>
            </w:r>
          </w:p>
          <w:p w14:paraId="0748F763">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良好（16分）</w:t>
            </w:r>
            <w:r>
              <w:rPr>
                <w:rFonts w:hint="eastAsia" w:ascii="宋体" w:hAnsi="宋体" w:cs="宋体"/>
                <w:color w:val="auto"/>
                <w:sz w:val="21"/>
                <w:szCs w:val="21"/>
                <w:highlight w:val="none"/>
              </w:rPr>
              <w:t>：七大核心内容齐全；能够结合本项目特点开展重难点分析，问题识别准确，应对措施合理；工作流程完整、现场部署规范；工期、质量、安全、交付保障措施齐全、逻辑清晰、具备较强落地性；整体方案符合项目需求及相关规范要求，仅存在细微优化空间，无缺陷问题。</w:t>
            </w:r>
          </w:p>
          <w:p w14:paraId="7A3B8F4D">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中等（12分）</w:t>
            </w:r>
            <w:r>
              <w:rPr>
                <w:rFonts w:hint="eastAsia" w:ascii="宋体" w:hAnsi="宋体" w:cs="宋体"/>
                <w:color w:val="auto"/>
                <w:sz w:val="21"/>
                <w:szCs w:val="21"/>
                <w:highlight w:val="none"/>
              </w:rPr>
              <w:t>：七大核心内容基本齐全，无关键缺项；可识别项目基本重难点，但分析深度一般，应对措施针对性一般；工作流程、现场部署基本合理；各项保障措施基本完善，能够满足项目基础实施需求；方案整体合规，但细节细化不足、针对性较弱，存在少量非关键性瑕疵。</w:t>
            </w:r>
          </w:p>
          <w:p w14:paraId="5DB7573C">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一般（8分）</w:t>
            </w:r>
            <w:r>
              <w:rPr>
                <w:rFonts w:hint="eastAsia" w:ascii="宋体" w:hAnsi="宋体" w:cs="宋体"/>
                <w:color w:val="auto"/>
                <w:sz w:val="21"/>
                <w:szCs w:val="21"/>
                <w:highlight w:val="none"/>
              </w:rPr>
              <w:t>：核心内容基本覆盖，存在少量次要内容缺项；重难点分析较为浅显、贴合度不足；实施流程、部署、保障措施基本完整但较为笼统，无具体落地细节；仅能满足项目最低实施标准，无违规问题，方案整体通用性强、项目针对性弱，存在明显瑕疵。</w:t>
            </w:r>
          </w:p>
          <w:p w14:paraId="08A35F54">
            <w:pPr>
              <w:pStyle w:val="14"/>
              <w:keepNext w:val="0"/>
              <w:keepLines w:val="0"/>
              <w:pageBreakBefore w:val="0"/>
              <w:kinsoku/>
              <w:wordWrap/>
              <w:overflowPunct/>
              <w:topLinePunct w:val="0"/>
              <w:autoSpaceDE/>
              <w:autoSpaceDN/>
              <w:bidi w:val="0"/>
              <w:spacing w:line="360" w:lineRule="exact"/>
              <w:rPr>
                <w:rFonts w:hint="eastAsia" w:hAnsi="宋体" w:cs="宋体"/>
                <w:color w:val="auto"/>
                <w:kern w:val="2"/>
                <w:sz w:val="21"/>
                <w:szCs w:val="21"/>
                <w:highlight w:val="none"/>
              </w:rPr>
            </w:pPr>
            <w:r>
              <w:rPr>
                <w:rFonts w:hint="eastAsia" w:hAnsi="宋体" w:cs="宋体"/>
                <w:b/>
                <w:color w:val="auto"/>
                <w:sz w:val="21"/>
                <w:szCs w:val="21"/>
                <w:highlight w:val="none"/>
              </w:rPr>
              <w:t>差（4分）</w:t>
            </w:r>
            <w:r>
              <w:rPr>
                <w:rFonts w:hint="eastAsia" w:hAnsi="宋体" w:cs="宋体"/>
                <w:color w:val="auto"/>
                <w:sz w:val="21"/>
                <w:szCs w:val="21"/>
                <w:highlight w:val="none"/>
              </w:rPr>
              <w:t>：核心内容缺失较多，关键实施模块缺项严重；未结合本项目实际特点分析重难点，方案完全通用化；实施流程混乱、部署不合理，工期、质量、安全、交付保障措施缺失或无效；方案不合理、不满足项目实施需求</w:t>
            </w:r>
            <w:r>
              <w:rPr>
                <w:rFonts w:ascii="Arial" w:hAnsi="Arial" w:eastAsia="等线" w:cs="Arial"/>
                <w:color w:val="auto"/>
                <w:sz w:val="21"/>
                <w:szCs w:val="21"/>
                <w:highlight w:val="none"/>
              </w:rPr>
              <w:t>。</w:t>
            </w:r>
          </w:p>
          <w:p w14:paraId="4A883A62">
            <w:pPr>
              <w:pStyle w:val="14"/>
              <w:keepNext w:val="0"/>
              <w:keepLines w:val="0"/>
              <w:pageBreakBefore w:val="0"/>
              <w:kinsoku/>
              <w:wordWrap/>
              <w:overflowPunct/>
              <w:topLinePunct w:val="0"/>
              <w:autoSpaceDE/>
              <w:autoSpaceDN/>
              <w:bidi w:val="0"/>
              <w:spacing w:line="360" w:lineRule="exact"/>
              <w:rPr>
                <w:rFonts w:hint="eastAsia" w:hAnsi="宋体" w:cs="宋体"/>
                <w:color w:val="auto"/>
                <w:kern w:val="2"/>
                <w:sz w:val="21"/>
                <w:szCs w:val="21"/>
                <w:highlight w:val="none"/>
              </w:rPr>
            </w:pPr>
            <w:r>
              <w:rPr>
                <w:rFonts w:hint="eastAsia" w:hAnsi="宋体" w:cs="宋体"/>
                <w:color w:val="auto"/>
                <w:kern w:val="2"/>
                <w:sz w:val="21"/>
                <w:szCs w:val="21"/>
                <w:highlight w:val="none"/>
              </w:rPr>
              <w:t>不提供得0分。</w:t>
            </w:r>
          </w:p>
        </w:tc>
        <w:tc>
          <w:tcPr>
            <w:tcW w:w="458" w:type="pct"/>
            <w:noWrap w:val="0"/>
            <w:vAlign w:val="center"/>
          </w:tcPr>
          <w:p w14:paraId="14862B07">
            <w:pPr>
              <w:keepNext w:val="0"/>
              <w:keepLines w:val="0"/>
              <w:pageBreakBefore w:val="0"/>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20分</w:t>
            </w:r>
          </w:p>
        </w:tc>
      </w:tr>
      <w:tr w14:paraId="530D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334" w:type="pct"/>
            <w:noWrap w:val="0"/>
            <w:vAlign w:val="center"/>
          </w:tcPr>
          <w:p w14:paraId="4ABE6411">
            <w:pPr>
              <w:keepNext w:val="0"/>
              <w:keepLines w:val="0"/>
              <w:pageBreakBefore w:val="0"/>
              <w:kinsoku/>
              <w:wordWrap/>
              <w:overflowPunct/>
              <w:topLinePunct w:val="0"/>
              <w:autoSpaceDE/>
              <w:autoSpaceDN/>
              <w:bidi w:val="0"/>
              <w:adjustRightInd w:val="0"/>
              <w:spacing w:line="360" w:lineRule="exact"/>
              <w:jc w:val="center"/>
              <w:textAlignment w:val="baseline"/>
              <w:rPr>
                <w:rFonts w:ascii="宋体" w:hAnsi="宋体" w:cs="宋体"/>
                <w:b w:val="0"/>
                <w:bCs w:val="0"/>
                <w:color w:val="auto"/>
                <w:kern w:val="0"/>
                <w:sz w:val="21"/>
                <w:szCs w:val="21"/>
                <w:highlight w:val="none"/>
              </w:rPr>
            </w:pPr>
            <w:r>
              <w:rPr>
                <w:rFonts w:hint="eastAsia" w:ascii="宋体" w:hAnsi="宋体" w:cs="宋体"/>
                <w:b w:val="0"/>
                <w:bCs w:val="0"/>
                <w:color w:val="auto"/>
                <w:kern w:val="0"/>
                <w:sz w:val="21"/>
                <w:szCs w:val="21"/>
                <w:highlight w:val="none"/>
              </w:rPr>
              <w:t>2.2</w:t>
            </w:r>
          </w:p>
        </w:tc>
        <w:tc>
          <w:tcPr>
            <w:tcW w:w="611" w:type="pct"/>
            <w:noWrap w:val="0"/>
            <w:vAlign w:val="center"/>
          </w:tcPr>
          <w:p w14:paraId="5156774B">
            <w:pPr>
              <w:keepNext w:val="0"/>
              <w:keepLines w:val="0"/>
              <w:pageBreakBefore w:val="0"/>
              <w:kinsoku/>
              <w:wordWrap/>
              <w:overflowPunct/>
              <w:topLinePunct w:val="0"/>
              <w:autoSpaceDE/>
              <w:autoSpaceDN/>
              <w:bidi w:val="0"/>
              <w:spacing w:before="120" w:after="120" w:line="360" w:lineRule="exact"/>
              <w:jc w:val="cente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房屋安全鉴定专项技术方案</w:t>
            </w:r>
          </w:p>
        </w:tc>
        <w:tc>
          <w:tcPr>
            <w:tcW w:w="3594" w:type="pct"/>
            <w:noWrap w:val="0"/>
            <w:vAlign w:val="center"/>
          </w:tcPr>
          <w:p w14:paraId="1C9E96E2">
            <w:pPr>
              <w:keepNext w:val="0"/>
              <w:keepLines w:val="0"/>
              <w:pageBreakBefore w:val="0"/>
              <w:kinsoku/>
              <w:wordWrap/>
              <w:overflowPunct/>
              <w:topLinePunct w:val="0"/>
              <w:autoSpaceDE/>
              <w:autoSpaceDN/>
              <w:bidi w:val="0"/>
              <w:spacing w:before="0" w:after="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房屋安全鉴定专项技术方案（18分）</w:t>
            </w:r>
          </w:p>
          <w:p w14:paraId="28036E29">
            <w:pPr>
              <w:keepNext w:val="0"/>
              <w:keepLines w:val="0"/>
              <w:pageBreakBefore w:val="0"/>
              <w:kinsoku/>
              <w:wordWrap/>
              <w:overflowPunct/>
              <w:topLinePunct w:val="0"/>
              <w:autoSpaceDE/>
              <w:autoSpaceDN/>
              <w:bidi w:val="0"/>
              <w:spacing w:before="0" w:after="0" w:line="360" w:lineRule="exact"/>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依据桂建发〔2022〕8号、《既有建筑鉴定与加固通用规范》（GB55021）、《民用建筑可靠性鉴定标准》（GB50292）、《建筑抗震鉴定标准》（GB50023）等国家及自治区现行规范标准，对供应商提交的资料调查、现场查勘、仪器检测、结构复核验算、房屋安全等级评级、建筑抗震鉴定、检测监管系统信息化上传、二维码防伪合规报告出具、重大安全隐患排查及上报处置等全套专项方案的完整性、合规性、专业性、落地性进行综合评审，按照五档细化分值独立打分：</w:t>
            </w:r>
          </w:p>
          <w:p w14:paraId="17B5E8AC">
            <w:pPr>
              <w:keepNext w:val="0"/>
              <w:keepLines w:val="0"/>
              <w:pageBreakBefore w:val="0"/>
              <w:kinsoku/>
              <w:wordWrap/>
              <w:overflowPunct/>
              <w:topLinePunct w:val="0"/>
              <w:autoSpaceDE/>
              <w:autoSpaceDN/>
              <w:bidi w:val="0"/>
              <w:spacing w:before="0" w:after="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优秀（18分）</w:t>
            </w:r>
            <w:r>
              <w:rPr>
                <w:rFonts w:hint="eastAsia" w:ascii="宋体" w:hAnsi="宋体" w:cs="宋体"/>
                <w:color w:val="auto"/>
                <w:sz w:val="21"/>
                <w:szCs w:val="21"/>
                <w:highlight w:val="none"/>
              </w:rPr>
              <w:t>：方案内容完整全覆盖，无任何缺项；完全贴合本项目多楼栋、高层安置房源检测特点，严格对标桂建发〔2022〕8号及对应国标规范所有条款；资料核查、现场检测、结构验算、安全抗震评级、信息化上传、防伪报告出具、隐患处置全流程逻辑闭环、技术标准精准；专项技术措施针对性极强、专业度高、落地性极强，可完全保障项目合规、高质量完成鉴定工作。</w:t>
            </w:r>
          </w:p>
          <w:p w14:paraId="5027FF02">
            <w:pPr>
              <w:keepNext w:val="0"/>
              <w:keepLines w:val="0"/>
              <w:pageBreakBefore w:val="0"/>
              <w:kinsoku/>
              <w:wordWrap/>
              <w:overflowPunct/>
              <w:topLinePunct w:val="0"/>
              <w:autoSpaceDE/>
              <w:autoSpaceDN/>
              <w:bidi w:val="0"/>
              <w:spacing w:before="0" w:after="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良好（14分）</w:t>
            </w:r>
            <w:r>
              <w:rPr>
                <w:rFonts w:hint="eastAsia" w:ascii="宋体" w:hAnsi="宋体" w:cs="宋体"/>
                <w:color w:val="auto"/>
                <w:sz w:val="21"/>
                <w:szCs w:val="21"/>
                <w:highlight w:val="none"/>
              </w:rPr>
              <w:t>：方案核心内容齐全，覆盖全部鉴定关键环节；严格契合主要规范要求，适配本项目检测工作需求；各鉴定流程技术方案合理、标准清晰、流程规范；信息化上传、防伪报告、隐患上报等关键合规环节措施完善；整体方案专业性、落地性较强，仅存在细微优化空间，无实质性缺陷及合规问题。</w:t>
            </w:r>
          </w:p>
          <w:p w14:paraId="710F2C83">
            <w:pPr>
              <w:keepNext w:val="0"/>
              <w:keepLines w:val="0"/>
              <w:pageBreakBefore w:val="0"/>
              <w:kinsoku/>
              <w:wordWrap/>
              <w:overflowPunct/>
              <w:topLinePunct w:val="0"/>
              <w:autoSpaceDE/>
              <w:autoSpaceDN/>
              <w:bidi w:val="0"/>
              <w:spacing w:before="0" w:after="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中等（10分）</w:t>
            </w:r>
            <w:r>
              <w:rPr>
                <w:rFonts w:hint="eastAsia" w:ascii="宋体" w:hAnsi="宋体" w:cs="宋体"/>
                <w:color w:val="auto"/>
                <w:sz w:val="21"/>
                <w:szCs w:val="21"/>
                <w:highlight w:val="none"/>
              </w:rPr>
              <w:t>：方案主要鉴定内容基本齐全，无关键缺项；基本符合桂建发〔2022〕8号及相关国标规范要求；各鉴定环节技术流程、操作标准基本可行；信息化、防伪报告、隐患处置等配套措施基本完整；但方案细化程度不足，项目针对性一般，技术措施较为通用，存在少量非关键性瑕疵，可满足项目基础鉴定需求。</w:t>
            </w:r>
          </w:p>
          <w:p w14:paraId="485466A6">
            <w:pPr>
              <w:keepNext w:val="0"/>
              <w:keepLines w:val="0"/>
              <w:pageBreakBefore w:val="0"/>
              <w:kinsoku/>
              <w:wordWrap/>
              <w:overflowPunct/>
              <w:topLinePunct w:val="0"/>
              <w:autoSpaceDE/>
              <w:autoSpaceDN/>
              <w:bidi w:val="0"/>
              <w:spacing w:before="0" w:after="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一般（7分）</w:t>
            </w:r>
            <w:r>
              <w:rPr>
                <w:rFonts w:hint="eastAsia" w:ascii="宋体" w:hAnsi="宋体" w:cs="宋体"/>
                <w:color w:val="auto"/>
                <w:sz w:val="21"/>
                <w:szCs w:val="21"/>
                <w:highlight w:val="none"/>
              </w:rPr>
              <w:t>：方案基本覆盖房屋安全鉴定核心工作，存在少量次要环节缺项；基本满足规范最低要求，无违规、错误技术内容；各鉴定环节技术方案笼统、细节缺失，信息化上传、防伪报告、隐患处置等配套保障措施不完善；方案通用性强、贴合本项目程度低，仅能满足最低鉴定工作要求，存在明显瑕疵。</w:t>
            </w:r>
          </w:p>
          <w:p w14:paraId="3B8D8B2B">
            <w:pPr>
              <w:keepNext w:val="0"/>
              <w:keepLines w:val="0"/>
              <w:pageBreakBefore w:val="0"/>
              <w:kinsoku/>
              <w:wordWrap/>
              <w:overflowPunct/>
              <w:topLinePunct w:val="0"/>
              <w:autoSpaceDE/>
              <w:autoSpaceDN/>
              <w:bidi w:val="0"/>
              <w:spacing w:before="0" w:after="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差（3分）</w:t>
            </w:r>
            <w:r>
              <w:rPr>
                <w:rFonts w:hint="eastAsia" w:ascii="宋体" w:hAnsi="宋体" w:cs="宋体"/>
                <w:color w:val="auto"/>
                <w:sz w:val="21"/>
                <w:szCs w:val="21"/>
                <w:highlight w:val="none"/>
              </w:rPr>
              <w:t>：方案关键鉴定环节严重缺项，未覆盖安全评级、抗震鉴定、信息化上传、防伪报告、隐患处置等核心内容；存在不符合桂建发〔2022〕8号及国标规范的技术内容；技术方案不合理、不专业、无落地性，无法满足本项目房屋安全鉴定工作需求，或未提供本项专项技术方案。</w:t>
            </w:r>
          </w:p>
          <w:p w14:paraId="6A59A5C3">
            <w:pPr>
              <w:keepNext w:val="0"/>
              <w:keepLines w:val="0"/>
              <w:pageBreakBefore w:val="0"/>
              <w:kinsoku/>
              <w:wordWrap/>
              <w:overflowPunct/>
              <w:topLinePunct w:val="0"/>
              <w:autoSpaceDE/>
              <w:autoSpaceDN/>
              <w:bidi w:val="0"/>
              <w:spacing w:line="360" w:lineRule="exact"/>
              <w:rPr>
                <w:rFonts w:hint="eastAsia" w:ascii="Arial" w:hAnsi="Arial" w:eastAsia="等线" w:cs="Arial"/>
                <w:color w:val="auto"/>
                <w:sz w:val="21"/>
                <w:szCs w:val="21"/>
                <w:highlight w:val="none"/>
              </w:rPr>
            </w:pPr>
            <w:r>
              <w:rPr>
                <w:rFonts w:hint="eastAsia" w:hAnsi="宋体" w:cs="宋体"/>
                <w:color w:val="auto"/>
                <w:sz w:val="21"/>
                <w:szCs w:val="21"/>
                <w:highlight w:val="none"/>
              </w:rPr>
              <w:t>不提供得0分。</w:t>
            </w:r>
          </w:p>
        </w:tc>
        <w:tc>
          <w:tcPr>
            <w:tcW w:w="458" w:type="pct"/>
            <w:noWrap w:val="0"/>
            <w:vAlign w:val="center"/>
          </w:tcPr>
          <w:p w14:paraId="65DA5068">
            <w:pPr>
              <w:keepNext w:val="0"/>
              <w:keepLines w:val="0"/>
              <w:pageBreakBefore w:val="0"/>
              <w:kinsoku/>
              <w:wordWrap/>
              <w:overflowPunct/>
              <w:topLinePunct w:val="0"/>
              <w:autoSpaceDE/>
              <w:autoSpaceDN/>
              <w:bidi w:val="0"/>
              <w:spacing w:line="360" w:lineRule="exact"/>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18分</w:t>
            </w:r>
          </w:p>
        </w:tc>
      </w:tr>
      <w:tr w14:paraId="3398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34" w:type="pct"/>
            <w:noWrap w:val="0"/>
            <w:vAlign w:val="center"/>
          </w:tcPr>
          <w:p w14:paraId="4605CC45">
            <w:pPr>
              <w:keepNext w:val="0"/>
              <w:keepLines w:val="0"/>
              <w:pageBreakBefore w:val="0"/>
              <w:kinsoku/>
              <w:wordWrap/>
              <w:overflowPunct/>
              <w:topLinePunct w:val="0"/>
              <w:autoSpaceDE/>
              <w:autoSpaceDN/>
              <w:bidi w:val="0"/>
              <w:adjustRightInd w:val="0"/>
              <w:spacing w:line="360" w:lineRule="exact"/>
              <w:jc w:val="center"/>
              <w:textAlignment w:val="baseline"/>
              <w:rPr>
                <w:rFonts w:ascii="宋体" w:hAnsi="宋体" w:cs="宋体"/>
                <w:b w:val="0"/>
                <w:bCs w:val="0"/>
                <w:color w:val="auto"/>
                <w:kern w:val="0"/>
                <w:sz w:val="21"/>
                <w:szCs w:val="21"/>
                <w:highlight w:val="none"/>
              </w:rPr>
            </w:pPr>
            <w:r>
              <w:rPr>
                <w:rFonts w:hint="eastAsia" w:ascii="宋体" w:hAnsi="宋体" w:cs="宋体"/>
                <w:b w:val="0"/>
                <w:bCs w:val="0"/>
                <w:color w:val="auto"/>
                <w:kern w:val="0"/>
                <w:sz w:val="21"/>
                <w:szCs w:val="21"/>
                <w:highlight w:val="none"/>
              </w:rPr>
              <w:t>2.3</w:t>
            </w:r>
          </w:p>
        </w:tc>
        <w:tc>
          <w:tcPr>
            <w:tcW w:w="611" w:type="pct"/>
            <w:noWrap w:val="0"/>
            <w:vAlign w:val="center"/>
          </w:tcPr>
          <w:p w14:paraId="33FF9063">
            <w:pPr>
              <w:keepNext w:val="0"/>
              <w:keepLines w:val="0"/>
              <w:pageBreakBefore w:val="0"/>
              <w:kinsoku/>
              <w:wordWrap/>
              <w:overflowPunct/>
              <w:topLinePunct w:val="0"/>
              <w:autoSpaceDE/>
              <w:autoSpaceDN/>
              <w:bidi w:val="0"/>
              <w:spacing w:before="120" w:after="120" w:line="360" w:lineRule="exact"/>
              <w:jc w:val="cente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房屋使用功能检测方案</w:t>
            </w:r>
          </w:p>
        </w:tc>
        <w:tc>
          <w:tcPr>
            <w:tcW w:w="3594" w:type="pct"/>
            <w:noWrap w:val="0"/>
            <w:vAlign w:val="center"/>
          </w:tcPr>
          <w:p w14:paraId="513590EF">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房屋使用功能检测方案（15分）</w:t>
            </w:r>
          </w:p>
          <w:p w14:paraId="6665F687">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依据</w:t>
            </w:r>
            <w:r>
              <w:rPr>
                <w:rFonts w:hint="eastAsia" w:ascii="宋体" w:hAnsi="宋体" w:cs="宋体"/>
                <w:color w:val="auto"/>
                <w:sz w:val="21"/>
                <w:szCs w:val="21"/>
                <w:highlight w:val="none"/>
                <w:lang w:eastAsia="zh-CN"/>
              </w:rPr>
              <w:t>《广西壮族自治区住宅工程质量分户验收管理规定》（桂建发〔2020〕6号）</w:t>
            </w:r>
            <w:r>
              <w:rPr>
                <w:rFonts w:hint="eastAsia" w:ascii="宋体" w:hAnsi="宋体" w:cs="宋体"/>
                <w:color w:val="auto"/>
                <w:sz w:val="21"/>
                <w:szCs w:val="21"/>
                <w:highlight w:val="none"/>
              </w:rPr>
              <w:t>分户验收管理要求，对供应商编制的房屋使用功能检测方案进行综合评审，重点评审室内空间尺寸、门窗及玻璃安装、墙面顶棚面层、地面面层、防水工程、给排水系统、室内电气工程、细部工程等全部检测内容完整性、检测方法科学性、验收标准规范性、成果整编规范性、缺漏项自查及整改保障措施，结合方案专业性、针对性、落地性。按照五档细化分值独立打分：</w:t>
            </w:r>
          </w:p>
          <w:p w14:paraId="6BA28DE1">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优秀（15分）</w:t>
            </w:r>
            <w:r>
              <w:rPr>
                <w:rFonts w:hint="eastAsia" w:ascii="宋体" w:hAnsi="宋体" w:cs="宋体"/>
                <w:color w:val="auto"/>
                <w:sz w:val="21"/>
                <w:szCs w:val="21"/>
                <w:highlight w:val="none"/>
              </w:rPr>
              <w:t>：完全覆盖八大分户验收检测内容，无任何缺项；检测方法、验收标准完全对标桂建质〔2007〕16号及现行国家规范，贴合本项目多楼栋、大面积安置房源分户检测特点；成果整编流程规范、资料清单清晰完整；建立完善的自查、补漏、整改闭环机制，针对性、专业性、落地性极强，可全面保障分户验收成果合规、完整、合格。</w:t>
            </w:r>
          </w:p>
          <w:p w14:paraId="64B53CA3">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良好（12分）</w:t>
            </w:r>
            <w:r>
              <w:rPr>
                <w:rFonts w:hint="eastAsia" w:ascii="宋体" w:hAnsi="宋体" w:cs="宋体"/>
                <w:color w:val="auto"/>
                <w:sz w:val="21"/>
                <w:szCs w:val="21"/>
                <w:highlight w:val="none"/>
              </w:rPr>
              <w:t>：完整覆盖全部检测内容，检测方法、验收标准符合规范要求；成果整编体系完善，具备完整的资料整理流程；设有缺漏项整改保障措施，方案整体合理、落地性较强，贴合本项目检测需求，仅存在细微优化空间，无实质性缺陷。</w:t>
            </w:r>
          </w:p>
          <w:p w14:paraId="25EA1285">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中等（9分）</w:t>
            </w:r>
            <w:r>
              <w:rPr>
                <w:rFonts w:hint="eastAsia" w:ascii="宋体" w:hAnsi="宋体" w:cs="宋体"/>
                <w:color w:val="auto"/>
                <w:sz w:val="21"/>
                <w:szCs w:val="21"/>
                <w:highlight w:val="none"/>
              </w:rPr>
              <w:t>：基本覆盖全部核心检测内容，无关键缺项；检测方法、验收标准基本符合规范要求；成果整编流程基本完整，但细节梳理不足；整改保障措施较为常规，项目针对性一般，存在少量非关键性瑕疵，可满足项目基础分户检测需求。</w:t>
            </w:r>
          </w:p>
          <w:p w14:paraId="30C33090">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一般（6分）</w:t>
            </w:r>
            <w:r>
              <w:rPr>
                <w:rFonts w:hint="eastAsia" w:ascii="宋体" w:hAnsi="宋体" w:cs="宋体"/>
                <w:color w:val="auto"/>
                <w:sz w:val="21"/>
                <w:szCs w:val="21"/>
                <w:highlight w:val="none"/>
              </w:rPr>
              <w:t>：基本覆盖主要检测内容，存在少量次要检测项缺漏；检测方式、验收标准基本合规但表述笼统；成果整编、整改保障措施不完善，通用性强、项目贴合度低，仅能满足最低检测验收要求，存在明显瑕疵。</w:t>
            </w:r>
          </w:p>
          <w:p w14:paraId="7F621FA0">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差（3分）</w:t>
            </w:r>
            <w:r>
              <w:rPr>
                <w:rFonts w:hint="eastAsia" w:ascii="宋体" w:hAnsi="宋体" w:cs="宋体"/>
                <w:color w:val="auto"/>
                <w:sz w:val="21"/>
                <w:szCs w:val="21"/>
                <w:highlight w:val="none"/>
              </w:rPr>
              <w:t>：核心检测内容缺项严重，未严格按照桂建质〔2007〕16号分户验收要求编制方案；检测方法、验收标准存在不规范内容；无成果整编、缺漏整改保障措施，方案无法满足本项目房屋使用功能分户检测需求，或未提供本项方案。</w:t>
            </w:r>
          </w:p>
          <w:p w14:paraId="5BE4291D">
            <w:pPr>
              <w:pStyle w:val="14"/>
              <w:keepNext w:val="0"/>
              <w:keepLines w:val="0"/>
              <w:pageBreakBefore w:val="0"/>
              <w:kinsoku/>
              <w:wordWrap/>
              <w:overflowPunct/>
              <w:topLinePunct w:val="0"/>
              <w:autoSpaceDE/>
              <w:autoSpaceDN/>
              <w:bidi w:val="0"/>
              <w:spacing w:line="360" w:lineRule="exact"/>
              <w:rPr>
                <w:rFonts w:hint="eastAsia" w:hAnsi="宋体" w:cs="宋体"/>
                <w:color w:val="auto"/>
                <w:kern w:val="2"/>
                <w:sz w:val="21"/>
                <w:szCs w:val="21"/>
                <w:highlight w:val="none"/>
              </w:rPr>
            </w:pPr>
            <w:r>
              <w:rPr>
                <w:rFonts w:hint="eastAsia" w:hAnsi="宋体" w:cs="宋体"/>
                <w:color w:val="auto"/>
                <w:kern w:val="2"/>
                <w:sz w:val="21"/>
                <w:szCs w:val="21"/>
                <w:highlight w:val="none"/>
              </w:rPr>
              <w:t>不提供得0分。</w:t>
            </w:r>
          </w:p>
        </w:tc>
        <w:tc>
          <w:tcPr>
            <w:tcW w:w="458" w:type="pct"/>
            <w:noWrap w:val="0"/>
            <w:vAlign w:val="center"/>
          </w:tcPr>
          <w:p w14:paraId="03C82E15">
            <w:pPr>
              <w:keepNext w:val="0"/>
              <w:keepLines w:val="0"/>
              <w:pageBreakBefore w:val="0"/>
              <w:kinsoku/>
              <w:wordWrap/>
              <w:overflowPunct/>
              <w:topLinePunct w:val="0"/>
              <w:autoSpaceDE/>
              <w:autoSpaceDN/>
              <w:bidi w:val="0"/>
              <w:spacing w:line="360" w:lineRule="exact"/>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15分</w:t>
            </w:r>
          </w:p>
        </w:tc>
      </w:tr>
      <w:tr w14:paraId="34A3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334" w:type="pct"/>
            <w:noWrap w:val="0"/>
            <w:vAlign w:val="center"/>
          </w:tcPr>
          <w:p w14:paraId="31F68F89">
            <w:pPr>
              <w:keepNext w:val="0"/>
              <w:keepLines w:val="0"/>
              <w:pageBreakBefore w:val="0"/>
              <w:kinsoku/>
              <w:wordWrap/>
              <w:overflowPunct/>
              <w:topLinePunct w:val="0"/>
              <w:autoSpaceDE/>
              <w:autoSpaceDN/>
              <w:bidi w:val="0"/>
              <w:adjustRightInd w:val="0"/>
              <w:spacing w:line="360" w:lineRule="exact"/>
              <w:jc w:val="center"/>
              <w:textAlignment w:val="baseline"/>
              <w:rPr>
                <w:rFonts w:ascii="宋体" w:hAnsi="宋体" w:cs="宋体"/>
                <w:b w:val="0"/>
                <w:bCs w:val="0"/>
                <w:color w:val="auto"/>
                <w:kern w:val="0"/>
                <w:sz w:val="21"/>
                <w:szCs w:val="21"/>
                <w:highlight w:val="none"/>
              </w:rPr>
            </w:pPr>
            <w:r>
              <w:rPr>
                <w:rFonts w:hint="eastAsia" w:ascii="宋体" w:hAnsi="宋体" w:cs="宋体"/>
                <w:b w:val="0"/>
                <w:bCs w:val="0"/>
                <w:color w:val="auto"/>
                <w:kern w:val="0"/>
                <w:sz w:val="21"/>
                <w:szCs w:val="21"/>
                <w:highlight w:val="none"/>
              </w:rPr>
              <w:t>2.4</w:t>
            </w:r>
          </w:p>
        </w:tc>
        <w:tc>
          <w:tcPr>
            <w:tcW w:w="611" w:type="pct"/>
            <w:noWrap w:val="0"/>
            <w:vAlign w:val="center"/>
          </w:tcPr>
          <w:p w14:paraId="00436BD6">
            <w:pPr>
              <w:keepNext w:val="0"/>
              <w:keepLines w:val="0"/>
              <w:pageBreakBefore w:val="0"/>
              <w:kinsoku/>
              <w:wordWrap/>
              <w:overflowPunct/>
              <w:topLinePunct w:val="0"/>
              <w:autoSpaceDE/>
              <w:autoSpaceDN/>
              <w:bidi w:val="0"/>
              <w:spacing w:before="120" w:after="120" w:line="360" w:lineRule="exact"/>
              <w:jc w:val="cente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售后服务及质保保障方案</w:t>
            </w:r>
          </w:p>
        </w:tc>
        <w:tc>
          <w:tcPr>
            <w:tcW w:w="3594" w:type="pct"/>
            <w:noWrap w:val="0"/>
            <w:vAlign w:val="center"/>
          </w:tcPr>
          <w:p w14:paraId="3D067A8F">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售后服务及质保保障方案（10分）</w:t>
            </w:r>
          </w:p>
          <w:p w14:paraId="711F4922">
            <w:pPr>
              <w:keepNext w:val="0"/>
              <w:keepLines w:val="0"/>
              <w:pageBreakBefore w:val="0"/>
              <w:kinsoku/>
              <w:wordWrap/>
              <w:overflowPunct/>
              <w:topLinePunct w:val="0"/>
              <w:autoSpaceDE/>
              <w:autoSpaceDN/>
              <w:bidi w:val="0"/>
              <w:spacing w:before="120" w:after="120" w:line="36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依据本项目售后服务及质保要求，对供应商提交的服务方案进行综合评审，重点评审成果终身质量责任落实机制、24小时响应及48小时答疑整改保障、成果异议复核与第三方复检配合、项目资料归档与行业备案配合、1年质保期专项服务、全过程合规履约管控等服务体系的完整性、规范性、落地性、保障性等。根据供应商承诺的成果终身责任、24小时响应、48小时答疑整改、异议复检配合、资料归档备案、质保期服务、合规履约保障等售后服务体系及保障措施综合评审。按5个档次对应独立打分：</w:t>
            </w:r>
          </w:p>
          <w:p w14:paraId="2CDC8E20">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优秀（10分）</w:t>
            </w:r>
            <w:r>
              <w:rPr>
                <w:rFonts w:hint="eastAsia" w:ascii="宋体" w:hAnsi="宋体" w:cs="宋体"/>
                <w:color w:val="auto"/>
                <w:sz w:val="21"/>
                <w:szCs w:val="21"/>
                <w:highlight w:val="none"/>
              </w:rPr>
              <w:t>：完整覆盖全部售后服务及质保要求，体系完善、权责清晰；终身质量责任机制健全，响应、答疑、整改、复核、归档、备案全流程闭环可控；完全贴合桂建发〔2022〕8号主体责任要求，服务措施具体、针对性强、落地性极高，可全方位保障项目成果长期合规、可追溯、可核查。</w:t>
            </w:r>
          </w:p>
          <w:p w14:paraId="3FB1B5DE">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良好（8分）</w:t>
            </w:r>
            <w:r>
              <w:rPr>
                <w:rFonts w:hint="eastAsia" w:ascii="宋体" w:hAnsi="宋体" w:cs="宋体"/>
                <w:color w:val="auto"/>
                <w:sz w:val="21"/>
                <w:szCs w:val="21"/>
                <w:highlight w:val="none"/>
              </w:rPr>
              <w:t>：售后服务内容齐全，各项服务保障措施完整规范；响应及整改时效、复检配合、归档备案、终身责任承诺均落实到位；方案合规、逻辑清晰、落地性较强，仅存在细微优化空间，无服务短板及缺陷。</w:t>
            </w:r>
          </w:p>
          <w:p w14:paraId="79D281A0">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中等（6分）</w:t>
            </w:r>
            <w:r>
              <w:rPr>
                <w:rFonts w:hint="eastAsia" w:ascii="宋体" w:hAnsi="宋体" w:cs="宋体"/>
                <w:color w:val="auto"/>
                <w:sz w:val="21"/>
                <w:szCs w:val="21"/>
                <w:highlight w:val="none"/>
              </w:rPr>
              <w:t>：基本覆盖全部售后服务内容，无关键服务缺项；各项服务保障措施基本可行，能够满足基础质保及履约需求；但服务方案细化不足、针对性一般，措施较为通用，存在少量非关键性瑕疵。</w:t>
            </w:r>
          </w:p>
          <w:p w14:paraId="01917A0E">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一般（4分）</w:t>
            </w:r>
            <w:r>
              <w:rPr>
                <w:rFonts w:hint="eastAsia" w:ascii="宋体" w:hAnsi="宋体" w:cs="宋体"/>
                <w:color w:val="auto"/>
                <w:sz w:val="21"/>
                <w:szCs w:val="21"/>
                <w:highlight w:val="none"/>
              </w:rPr>
              <w:t>：基本覆盖核心售后服务内容，存在少量次要服务条款响应不全；服务保障措施笼统、无具体落地细则，仅能满足最低售后服务及履约要求，方案贴合项目程度低，存在明显瑕疵。</w:t>
            </w:r>
          </w:p>
          <w:p w14:paraId="51CE5966">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差（2分）</w:t>
            </w:r>
            <w:r>
              <w:rPr>
                <w:rFonts w:hint="eastAsia" w:ascii="宋体" w:hAnsi="宋体" w:cs="宋体"/>
                <w:color w:val="auto"/>
                <w:sz w:val="21"/>
                <w:szCs w:val="21"/>
                <w:highlight w:val="none"/>
              </w:rPr>
              <w:t>：核心售后服务内容严重缺项，未落实终身责任、时效服务、复检配合、归档备案等关键要求；服务体系缺失、措施无效，无法满足本项目质保及售后履约需求，或未提供本项服务方案。</w:t>
            </w:r>
          </w:p>
          <w:p w14:paraId="0DB706FC">
            <w:pPr>
              <w:pStyle w:val="14"/>
              <w:keepNext w:val="0"/>
              <w:keepLines w:val="0"/>
              <w:pageBreakBefore w:val="0"/>
              <w:kinsoku/>
              <w:wordWrap/>
              <w:overflowPunct/>
              <w:topLinePunct w:val="0"/>
              <w:autoSpaceDE/>
              <w:autoSpaceDN/>
              <w:bidi w:val="0"/>
              <w:spacing w:line="360" w:lineRule="exact"/>
              <w:rPr>
                <w:rFonts w:hint="eastAsia" w:hAnsi="宋体" w:cs="宋体"/>
                <w:color w:val="auto"/>
                <w:kern w:val="2"/>
                <w:sz w:val="21"/>
                <w:szCs w:val="21"/>
                <w:highlight w:val="none"/>
              </w:rPr>
            </w:pPr>
            <w:r>
              <w:rPr>
                <w:rFonts w:hint="eastAsia" w:hAnsi="宋体" w:cs="宋体"/>
                <w:color w:val="auto"/>
                <w:kern w:val="2"/>
                <w:sz w:val="21"/>
                <w:szCs w:val="21"/>
                <w:highlight w:val="none"/>
              </w:rPr>
              <w:t>不提供得0分。</w:t>
            </w:r>
          </w:p>
        </w:tc>
        <w:tc>
          <w:tcPr>
            <w:tcW w:w="458" w:type="pct"/>
            <w:noWrap w:val="0"/>
            <w:vAlign w:val="center"/>
          </w:tcPr>
          <w:p w14:paraId="18C43811">
            <w:pPr>
              <w:keepNext w:val="0"/>
              <w:keepLines w:val="0"/>
              <w:pageBreakBefore w:val="0"/>
              <w:kinsoku/>
              <w:wordWrap/>
              <w:overflowPunct/>
              <w:topLinePunct w:val="0"/>
              <w:autoSpaceDE/>
              <w:autoSpaceDN/>
              <w:bidi w:val="0"/>
              <w:spacing w:line="360" w:lineRule="exact"/>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10分</w:t>
            </w:r>
          </w:p>
        </w:tc>
      </w:tr>
      <w:tr w14:paraId="407E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334" w:type="pct"/>
            <w:noWrap w:val="0"/>
            <w:vAlign w:val="center"/>
          </w:tcPr>
          <w:p w14:paraId="0E94A4DE">
            <w:pPr>
              <w:keepNext w:val="0"/>
              <w:keepLines w:val="0"/>
              <w:pageBreakBefore w:val="0"/>
              <w:kinsoku/>
              <w:wordWrap/>
              <w:overflowPunct/>
              <w:topLinePunct w:val="0"/>
              <w:autoSpaceDE/>
              <w:autoSpaceDN/>
              <w:bidi w:val="0"/>
              <w:adjustRightInd w:val="0"/>
              <w:spacing w:line="360" w:lineRule="exact"/>
              <w:jc w:val="center"/>
              <w:textAlignment w:val="baseline"/>
              <w:rPr>
                <w:rFonts w:ascii="宋体" w:hAnsi="宋体" w:cs="宋体"/>
                <w:b w:val="0"/>
                <w:bCs w:val="0"/>
                <w:color w:val="auto"/>
                <w:kern w:val="0"/>
                <w:sz w:val="21"/>
                <w:szCs w:val="21"/>
                <w:highlight w:val="none"/>
              </w:rPr>
            </w:pPr>
            <w:r>
              <w:rPr>
                <w:rFonts w:hint="eastAsia" w:ascii="宋体" w:hAnsi="宋体" w:cs="宋体"/>
                <w:b w:val="0"/>
                <w:bCs w:val="0"/>
                <w:color w:val="auto"/>
                <w:kern w:val="0"/>
                <w:sz w:val="21"/>
                <w:szCs w:val="21"/>
                <w:highlight w:val="none"/>
              </w:rPr>
              <w:t>2.5</w:t>
            </w:r>
          </w:p>
        </w:tc>
        <w:tc>
          <w:tcPr>
            <w:tcW w:w="611" w:type="pct"/>
            <w:noWrap w:val="0"/>
            <w:vAlign w:val="center"/>
          </w:tcPr>
          <w:p w14:paraId="78C53222">
            <w:pPr>
              <w:keepNext w:val="0"/>
              <w:keepLines w:val="0"/>
              <w:pageBreakBefore w:val="0"/>
              <w:kinsoku/>
              <w:wordWrap/>
              <w:overflowPunct/>
              <w:topLinePunct w:val="0"/>
              <w:autoSpaceDE/>
              <w:autoSpaceDN/>
              <w:bidi w:val="0"/>
              <w:spacing w:before="120" w:after="120" w:line="360" w:lineRule="exact"/>
              <w:jc w:val="cente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项目风险防控及应急保障方案</w:t>
            </w:r>
          </w:p>
        </w:tc>
        <w:tc>
          <w:tcPr>
            <w:tcW w:w="3594" w:type="pct"/>
            <w:noWrap w:val="0"/>
            <w:vAlign w:val="center"/>
          </w:tcPr>
          <w:p w14:paraId="4D371509">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项目风险防控及应急保障方案（7分）</w:t>
            </w:r>
          </w:p>
          <w:p w14:paraId="1DA84E85">
            <w:pPr>
              <w:keepNext w:val="0"/>
              <w:keepLines w:val="0"/>
              <w:pageBreakBefore w:val="0"/>
              <w:kinsoku/>
              <w:wordWrap/>
              <w:overflowPunct/>
              <w:topLinePunct w:val="0"/>
              <w:autoSpaceDE/>
              <w:autoSpaceDN/>
              <w:bidi w:val="0"/>
              <w:spacing w:before="120" w:after="120" w:line="36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针对本项目多楼栋大面积检测、工期紧、监管严格、成果终身追责的特点，对供应商编制的风险防控及应急保障方案进行综合评审，重点评审现场检测安全风险、检测数据偏差风险、工期延误风险、成果整改瑕疵风险、行业监管核查风险的识别能力、防控措施、应急处置预案、整改保障机制、追责补救措施。按照五档细化分值独立打分：</w:t>
            </w:r>
          </w:p>
          <w:p w14:paraId="0A22C97E">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优秀（7分）</w:t>
            </w:r>
            <w:r>
              <w:rPr>
                <w:rFonts w:hint="eastAsia" w:ascii="宋体" w:hAnsi="宋体" w:cs="宋体"/>
                <w:color w:val="auto"/>
                <w:sz w:val="21"/>
                <w:szCs w:val="21"/>
                <w:highlight w:val="none"/>
              </w:rPr>
              <w:t>：全面识别本项目全部关键风险点，贴合项目高层、多楼栋、大面积检测实际情况；各类风险防控措施精准、细化、可落地；应急预案完整、流程清晰、处置高效；建立完善的整改复核、追责补救机制，风险管控体系完善，可全方位规避项目履约及成果质量风险。</w:t>
            </w:r>
          </w:p>
          <w:p w14:paraId="53916A3E">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良好（5.5分）</w:t>
            </w:r>
            <w:r>
              <w:rPr>
                <w:rFonts w:hint="eastAsia" w:ascii="宋体" w:hAnsi="宋体" w:cs="宋体"/>
                <w:color w:val="auto"/>
                <w:sz w:val="21"/>
                <w:szCs w:val="21"/>
                <w:highlight w:val="none"/>
              </w:rPr>
              <w:t>：全面覆盖项目主要风险点，风险识别准确；各项防控措施、应急预案齐全合理；整改及保障机制完善，整体管控能力强，可有效应对项目各类履约风险，仅存在细微优化空间，无实质性缺陷。</w:t>
            </w:r>
          </w:p>
          <w:p w14:paraId="3137F8AC">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中等（4分）</w:t>
            </w:r>
            <w:r>
              <w:rPr>
                <w:rFonts w:hint="eastAsia" w:ascii="宋体" w:hAnsi="宋体" w:cs="宋体"/>
                <w:color w:val="auto"/>
                <w:sz w:val="21"/>
                <w:szCs w:val="21"/>
                <w:highlight w:val="none"/>
              </w:rPr>
              <w:t>：基本识别项目主要风险点，无关键风险遗漏；防控措施、应急预案基本可行，能够满足基础风险管控需求；但方案细化不足、针对性一般，管控措施较为通用，存在少量非关键性瑕疵。</w:t>
            </w:r>
          </w:p>
          <w:p w14:paraId="0E2AC174">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一般（2.5分）</w:t>
            </w:r>
            <w:r>
              <w:rPr>
                <w:rFonts w:hint="eastAsia" w:ascii="宋体" w:hAnsi="宋体" w:cs="宋体"/>
                <w:color w:val="auto"/>
                <w:sz w:val="21"/>
                <w:szCs w:val="21"/>
                <w:highlight w:val="none"/>
              </w:rPr>
              <w:t>：仅覆盖部分核心风险点，风险识别不全面；防控措施、应急预案笼统简单，无具体落地细节；仅能满足最低风险防控要求，项目适配性差，存在明显瑕疵。</w:t>
            </w:r>
          </w:p>
          <w:p w14:paraId="2A40D353">
            <w:pPr>
              <w:keepNext w:val="0"/>
              <w:keepLines w:val="0"/>
              <w:pageBreakBefore w:val="0"/>
              <w:kinsoku/>
              <w:wordWrap/>
              <w:overflowPunct/>
              <w:topLinePunct w:val="0"/>
              <w:autoSpaceDE/>
              <w:autoSpaceDN/>
              <w:bidi w:val="0"/>
              <w:spacing w:before="120" w:after="120" w:line="360" w:lineRule="exact"/>
              <w:jc w:val="left"/>
              <w:rPr>
                <w:rFonts w:hint="eastAsia" w:ascii="宋体" w:hAnsi="宋体" w:cs="宋体"/>
                <w:color w:val="auto"/>
                <w:sz w:val="21"/>
                <w:szCs w:val="21"/>
                <w:highlight w:val="none"/>
              </w:rPr>
            </w:pPr>
            <w:r>
              <w:rPr>
                <w:rFonts w:hint="eastAsia" w:ascii="宋体" w:hAnsi="宋体" w:cs="宋体"/>
                <w:b/>
                <w:color w:val="auto"/>
                <w:sz w:val="21"/>
                <w:szCs w:val="21"/>
                <w:highlight w:val="none"/>
              </w:rPr>
              <w:t>差（1分）</w:t>
            </w:r>
            <w:r>
              <w:rPr>
                <w:rFonts w:hint="eastAsia" w:ascii="宋体" w:hAnsi="宋体" w:cs="宋体"/>
                <w:color w:val="auto"/>
                <w:sz w:val="21"/>
                <w:szCs w:val="21"/>
                <w:highlight w:val="none"/>
              </w:rPr>
              <w:t>：关键风险点识别缺失严重，无有效防控措施及应急预案；风险管控体系空白、措施无效，无法保障项目平稳合规履约，或未提供本项风险防控方案。</w:t>
            </w:r>
          </w:p>
          <w:p w14:paraId="74D1FF9D">
            <w:pPr>
              <w:pStyle w:val="14"/>
              <w:keepNext w:val="0"/>
              <w:keepLines w:val="0"/>
              <w:pageBreakBefore w:val="0"/>
              <w:kinsoku/>
              <w:wordWrap/>
              <w:overflowPunct/>
              <w:topLinePunct w:val="0"/>
              <w:autoSpaceDE/>
              <w:autoSpaceDN/>
              <w:bidi w:val="0"/>
              <w:spacing w:line="360" w:lineRule="exact"/>
              <w:rPr>
                <w:rFonts w:hint="eastAsia"/>
                <w:color w:val="auto"/>
                <w:sz w:val="21"/>
                <w:szCs w:val="21"/>
                <w:highlight w:val="none"/>
              </w:rPr>
            </w:pPr>
            <w:r>
              <w:rPr>
                <w:rFonts w:hint="eastAsia" w:hAnsi="宋体" w:cs="宋体"/>
                <w:color w:val="auto"/>
                <w:kern w:val="2"/>
                <w:sz w:val="21"/>
                <w:szCs w:val="21"/>
                <w:highlight w:val="none"/>
              </w:rPr>
              <w:t>不提供得0分。</w:t>
            </w:r>
          </w:p>
        </w:tc>
        <w:tc>
          <w:tcPr>
            <w:tcW w:w="458" w:type="pct"/>
            <w:noWrap w:val="0"/>
            <w:vAlign w:val="center"/>
          </w:tcPr>
          <w:p w14:paraId="227E2C99">
            <w:pPr>
              <w:keepNext w:val="0"/>
              <w:keepLines w:val="0"/>
              <w:pageBreakBefore w:val="0"/>
              <w:kinsoku/>
              <w:wordWrap/>
              <w:overflowPunct/>
              <w:topLinePunct w:val="0"/>
              <w:autoSpaceDE/>
              <w:autoSpaceDN/>
              <w:bidi w:val="0"/>
              <w:spacing w:line="360" w:lineRule="exact"/>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7分</w:t>
            </w:r>
          </w:p>
        </w:tc>
      </w:tr>
      <w:tr w14:paraId="1A1F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334" w:type="pct"/>
            <w:noWrap w:val="0"/>
            <w:vAlign w:val="center"/>
          </w:tcPr>
          <w:p w14:paraId="49BCFF52">
            <w:pPr>
              <w:keepNext w:val="0"/>
              <w:keepLines w:val="0"/>
              <w:pageBreakBefore w:val="0"/>
              <w:kinsoku/>
              <w:wordWrap/>
              <w:overflowPunct/>
              <w:topLinePunct w:val="0"/>
              <w:autoSpaceDE/>
              <w:autoSpaceDN/>
              <w:bidi w:val="0"/>
              <w:adjustRightInd w:val="0"/>
              <w:spacing w:line="360" w:lineRule="exact"/>
              <w:jc w:val="center"/>
              <w:textAlignment w:val="baseline"/>
              <w:rPr>
                <w:rFonts w:hint="eastAsia" w:ascii="宋体" w:hAnsi="宋体" w:cs="宋体"/>
                <w:b w:val="0"/>
                <w:bCs w:val="0"/>
                <w:color w:val="auto"/>
                <w:kern w:val="0"/>
                <w:sz w:val="21"/>
                <w:szCs w:val="21"/>
                <w:highlight w:val="none"/>
              </w:rPr>
            </w:pPr>
            <w:r>
              <w:rPr>
                <w:rFonts w:hint="eastAsia" w:ascii="宋体" w:hAnsi="宋体" w:cs="宋体"/>
                <w:b w:val="0"/>
                <w:bCs w:val="0"/>
                <w:color w:val="auto"/>
                <w:kern w:val="0"/>
                <w:sz w:val="21"/>
                <w:szCs w:val="21"/>
                <w:highlight w:val="none"/>
              </w:rPr>
              <w:t>2.6</w:t>
            </w:r>
          </w:p>
        </w:tc>
        <w:tc>
          <w:tcPr>
            <w:tcW w:w="611" w:type="pct"/>
            <w:noWrap w:val="0"/>
            <w:vAlign w:val="center"/>
          </w:tcPr>
          <w:p w14:paraId="7AA2DE79">
            <w:pPr>
              <w:keepNext w:val="0"/>
              <w:keepLines w:val="0"/>
              <w:pageBreakBefore w:val="0"/>
              <w:kinsoku/>
              <w:wordWrap/>
              <w:overflowPunct/>
              <w:topLinePunct w:val="0"/>
              <w:autoSpaceDE/>
              <w:autoSpaceDN/>
              <w:bidi w:val="0"/>
              <w:spacing w:line="360" w:lineRule="exact"/>
              <w:jc w:val="center"/>
              <w:rPr>
                <w:rFonts w:hint="eastAsia" w:ascii="宋体" w:hAnsi="宋体" w:cs="宋体"/>
                <w:b w:val="0"/>
                <w:bCs w:val="0"/>
                <w:color w:val="auto"/>
                <w:kern w:val="0"/>
                <w:sz w:val="21"/>
                <w:szCs w:val="21"/>
                <w:highlight w:val="none"/>
              </w:rPr>
            </w:pPr>
            <w:r>
              <w:rPr>
                <w:rFonts w:hint="eastAsia" w:ascii="宋体" w:hAnsi="宋体" w:cs="宋体"/>
                <w:b w:val="0"/>
                <w:bCs w:val="0"/>
                <w:color w:val="auto"/>
                <w:sz w:val="21"/>
                <w:szCs w:val="21"/>
                <w:highlight w:val="none"/>
              </w:rPr>
              <w:t>拟投入项目实施人员</w:t>
            </w:r>
          </w:p>
        </w:tc>
        <w:tc>
          <w:tcPr>
            <w:tcW w:w="3594" w:type="pct"/>
            <w:noWrap w:val="0"/>
            <w:vAlign w:val="top"/>
          </w:tcPr>
          <w:p w14:paraId="3C703BBA">
            <w:pPr>
              <w:keepNext w:val="0"/>
              <w:keepLines w:val="0"/>
              <w:pageBreakBefore w:val="0"/>
              <w:kinsoku/>
              <w:wordWrap/>
              <w:overflowPunct/>
              <w:topLinePunct w:val="0"/>
              <w:autoSpaceDE/>
              <w:autoSpaceDN/>
              <w:bidi w:val="0"/>
              <w:snapToGrid w:val="0"/>
              <w:spacing w:line="360" w:lineRule="exact"/>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拟投入项目实施人员（满分</w:t>
            </w:r>
            <w:r>
              <w:rPr>
                <w:rFonts w:hint="eastAsia" w:ascii="宋体" w:hAnsi="宋体" w:cs="宋体"/>
                <w:b/>
                <w:bCs/>
                <w:color w:val="auto"/>
                <w:sz w:val="21"/>
                <w:szCs w:val="21"/>
                <w:highlight w:val="none"/>
                <w:lang w:val="en-US" w:eastAsia="zh-CN"/>
              </w:rPr>
              <w:t>12</w:t>
            </w:r>
            <w:r>
              <w:rPr>
                <w:rFonts w:hint="eastAsia" w:ascii="宋体" w:hAnsi="宋体" w:cs="宋体"/>
                <w:b/>
                <w:bCs/>
                <w:color w:val="auto"/>
                <w:sz w:val="21"/>
                <w:szCs w:val="21"/>
                <w:highlight w:val="none"/>
              </w:rPr>
              <w:t>分）</w:t>
            </w:r>
          </w:p>
          <w:p w14:paraId="2E394773">
            <w:pPr>
              <w:keepNext w:val="0"/>
              <w:keepLines w:val="0"/>
              <w:pageBreakBefore w:val="0"/>
              <w:kinsoku/>
              <w:wordWrap/>
              <w:overflowPunct/>
              <w:topLinePunct w:val="0"/>
              <w:autoSpaceDE/>
              <w:autoSpaceDN/>
              <w:bidi w:val="0"/>
              <w:snapToGrid w:val="0"/>
              <w:spacing w:line="360" w:lineRule="exact"/>
              <w:ind w:firstLine="422" w:firstLineChars="200"/>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rPr>
              <w:t>结合本项目大规模特点需要，供应商应当同时拟派多组现场鉴定检测人员小组，否则无法确保按期完成本项目的安全鉴定、检测工作。</w:t>
            </w:r>
            <w:r>
              <w:rPr>
                <w:rFonts w:hint="eastAsia" w:ascii="宋体" w:hAnsi="宋体" w:cs="宋体"/>
                <w:b/>
                <w:bCs/>
                <w:color w:val="auto"/>
                <w:sz w:val="21"/>
                <w:szCs w:val="21"/>
                <w:highlight w:val="none"/>
                <w:lang w:val="en-US" w:eastAsia="zh-CN"/>
              </w:rPr>
              <w:t xml:space="preserve">  </w:t>
            </w:r>
          </w:p>
          <w:p w14:paraId="560A495A">
            <w:pPr>
              <w:keepNext w:val="0"/>
              <w:keepLines w:val="0"/>
              <w:pageBreakBefore w:val="0"/>
              <w:numPr>
                <w:ilvl w:val="0"/>
                <w:numId w:val="0"/>
              </w:numPr>
              <w:kinsoku/>
              <w:wordWrap/>
              <w:overflowPunct/>
              <w:topLinePunct w:val="0"/>
              <w:autoSpaceDE/>
              <w:autoSpaceDN/>
              <w:bidi w:val="0"/>
              <w:snapToGrid w:val="0"/>
              <w:spacing w:line="360" w:lineRule="exact"/>
              <w:ind w:firstLine="422" w:firstLineChars="200"/>
              <w:rPr>
                <w:rFonts w:ascii="宋体" w:hAnsi="宋体" w:cs="宋体"/>
                <w:b/>
                <w:bCs/>
                <w:color w:val="auto"/>
                <w:sz w:val="21"/>
                <w:szCs w:val="21"/>
                <w:highlight w:val="none"/>
              </w:rPr>
            </w:pPr>
            <w:r>
              <w:rPr>
                <w:rFonts w:hint="eastAsia" w:ascii="宋体" w:hAnsi="宋体" w:cs="宋体"/>
                <w:b/>
                <w:bCs/>
                <w:color w:val="auto"/>
                <w:sz w:val="21"/>
                <w:szCs w:val="21"/>
                <w:highlight w:val="none"/>
              </w:rPr>
              <w:t>在满足“服务需求一览表”要求的“房屋安全鉴定机构人员要求”基础上，供应商拟</w:t>
            </w:r>
            <w:r>
              <w:rPr>
                <w:rFonts w:hint="eastAsia" w:ascii="宋体" w:hAnsi="宋体" w:cs="宋体"/>
                <w:b/>
                <w:bCs/>
                <w:color w:val="auto"/>
                <w:sz w:val="21"/>
                <w:szCs w:val="21"/>
                <w:highlight w:val="none"/>
                <w:lang w:val="en-US" w:eastAsia="zh-CN"/>
              </w:rPr>
              <w:t>增加</w:t>
            </w:r>
            <w:r>
              <w:rPr>
                <w:rFonts w:hint="eastAsia" w:ascii="宋体" w:hAnsi="宋体" w:cs="宋体"/>
                <w:b/>
                <w:bCs/>
                <w:color w:val="auto"/>
                <w:sz w:val="21"/>
                <w:szCs w:val="21"/>
                <w:highlight w:val="none"/>
              </w:rPr>
              <w:t>配置的其他鉴定检测人员、使用功能检测人员评分。</w:t>
            </w:r>
          </w:p>
          <w:p w14:paraId="48F699C8">
            <w:pPr>
              <w:keepNext w:val="0"/>
              <w:keepLines w:val="0"/>
              <w:pageBreakBefore w:val="0"/>
              <w:kinsoku/>
              <w:wordWrap/>
              <w:overflowPunct/>
              <w:topLinePunct w:val="0"/>
              <w:autoSpaceDE/>
              <w:autoSpaceDN/>
              <w:bidi w:val="0"/>
              <w:snapToGrid w:val="0"/>
              <w:spacing w:line="36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w:t>
            </w:r>
            <w:r>
              <w:rPr>
                <w:rFonts w:hint="eastAsia" w:ascii="宋体" w:hAnsi="宋体" w:cs="宋体"/>
                <w:b/>
                <w:bCs/>
                <w:color w:val="auto"/>
                <w:sz w:val="21"/>
                <w:szCs w:val="21"/>
                <w:highlight w:val="none"/>
              </w:rPr>
              <w:t>现场鉴定检测人员</w:t>
            </w:r>
            <w:r>
              <w:rPr>
                <w:rFonts w:hint="eastAsia" w:ascii="宋体" w:hAnsi="宋体" w:cs="宋体"/>
                <w:b/>
                <w:bCs/>
                <w:color w:val="auto"/>
                <w:sz w:val="21"/>
                <w:szCs w:val="21"/>
                <w:highlight w:val="none"/>
                <w:lang w:val="en-US" w:eastAsia="zh-CN"/>
              </w:rPr>
              <w:t>组</w:t>
            </w:r>
            <w:r>
              <w:rPr>
                <w:rFonts w:hint="eastAsia" w:ascii="宋体" w:hAnsi="宋体" w:cs="宋体"/>
                <w:color w:val="auto"/>
                <w:sz w:val="21"/>
                <w:szCs w:val="21"/>
                <w:highlight w:val="none"/>
              </w:rPr>
              <w:t>（每组不少于2人，其中至少1人具备土木工程类中级及以上职称或注册结构工程师资格</w:t>
            </w:r>
            <w:r>
              <w:rPr>
                <w:rFonts w:hint="eastAsia" w:ascii="宋体" w:hAnsi="宋体" w:cs="宋体"/>
                <w:color w:val="auto"/>
                <w:sz w:val="21"/>
                <w:szCs w:val="21"/>
                <w:highlight w:val="none"/>
                <w:lang w:eastAsia="zh-CN"/>
              </w:rPr>
              <w:t>，</w:t>
            </w:r>
            <w:r>
              <w:rPr>
                <w:rFonts w:hint="eastAsia" w:ascii="宋体" w:hAnsi="宋体" w:cs="宋体"/>
                <w:b/>
                <w:bCs/>
                <w:color w:val="auto"/>
                <w:sz w:val="21"/>
                <w:szCs w:val="21"/>
                <w:highlight w:val="none"/>
                <w:lang w:val="en-US" w:eastAsia="zh-CN"/>
              </w:rPr>
              <w:t>提供</w:t>
            </w:r>
            <w:r>
              <w:rPr>
                <w:rFonts w:hint="eastAsia" w:ascii="宋体" w:hAnsi="宋体" w:eastAsia="宋体" w:cs="宋体"/>
                <w:b/>
                <w:bCs/>
                <w:color w:val="auto"/>
                <w:sz w:val="21"/>
                <w:szCs w:val="21"/>
                <w:highlight w:val="none"/>
              </w:rPr>
              <w:t>土木工程类中级及以上职称或注册结构工程师资格证书</w:t>
            </w:r>
            <w:r>
              <w:rPr>
                <w:rFonts w:hint="eastAsia" w:ascii="宋体" w:hAnsi="宋体" w:eastAsia="宋体" w:cs="宋体"/>
                <w:b/>
                <w:bCs/>
                <w:color w:val="auto"/>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b/>
                <w:bCs/>
                <w:color w:val="auto"/>
                <w:sz w:val="21"/>
                <w:szCs w:val="21"/>
                <w:highlight w:val="none"/>
              </w:rPr>
              <w:t>现场鉴定检测人员</w:t>
            </w:r>
            <w:r>
              <w:rPr>
                <w:rFonts w:hint="eastAsia" w:ascii="宋体" w:hAnsi="宋体" w:cs="宋体"/>
                <w:b/>
                <w:bCs/>
                <w:color w:val="auto"/>
                <w:sz w:val="21"/>
                <w:szCs w:val="21"/>
                <w:highlight w:val="none"/>
                <w:lang w:val="en-US" w:eastAsia="zh-CN"/>
              </w:rPr>
              <w:t>组从第2组开始计分，每增加一组得1.2分，满分6分。</w:t>
            </w:r>
            <w:r>
              <w:rPr>
                <w:rFonts w:hint="eastAsia" w:ascii="宋体" w:hAnsi="宋体" w:cs="宋体"/>
                <w:color w:val="auto"/>
                <w:sz w:val="21"/>
                <w:szCs w:val="21"/>
                <w:highlight w:val="none"/>
              </w:rPr>
              <w:t>提供分组的现场鉴定检测人员名单及其人员</w:t>
            </w:r>
            <w:r>
              <w:rPr>
                <w:rFonts w:hint="eastAsia" w:ascii="宋体" w:hAnsi="宋体" w:cs="宋体"/>
                <w:color w:val="auto"/>
                <w:sz w:val="21"/>
                <w:szCs w:val="21"/>
                <w:highlight w:val="none"/>
                <w:lang w:val="en-US" w:eastAsia="zh-CN"/>
              </w:rPr>
              <w:t>证明</w:t>
            </w:r>
            <w:r>
              <w:rPr>
                <w:rFonts w:hint="eastAsia" w:ascii="宋体" w:hAnsi="宋体" w:cs="宋体"/>
                <w:color w:val="auto"/>
                <w:sz w:val="21"/>
                <w:szCs w:val="21"/>
                <w:highlight w:val="none"/>
              </w:rPr>
              <w:t>资料</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职称证或注册证复印件)</w:t>
            </w:r>
            <w:r>
              <w:rPr>
                <w:rFonts w:hint="eastAsia" w:ascii="宋体" w:hAnsi="宋体" w:cs="宋体"/>
                <w:color w:val="auto"/>
                <w:sz w:val="21"/>
                <w:szCs w:val="21"/>
                <w:highlight w:val="none"/>
              </w:rPr>
              <w:t>方可计分。</w:t>
            </w:r>
          </w:p>
          <w:p w14:paraId="2F98BE57">
            <w:pPr>
              <w:keepNext w:val="0"/>
              <w:keepLines w:val="0"/>
              <w:pageBreakBefore w:val="0"/>
              <w:kinsoku/>
              <w:wordWrap/>
              <w:overflowPunct/>
              <w:topLinePunct w:val="0"/>
              <w:autoSpaceDE/>
              <w:autoSpaceDN/>
              <w:bidi w:val="0"/>
              <w:snapToGrid w:val="0"/>
              <w:spacing w:line="36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2.现场鉴定检测每组人员配置的其他检测或鉴定技术人员（即除土木工程师或注册结构工程师本人以外的组员）</w:t>
            </w:r>
          </w:p>
          <w:p w14:paraId="4D364E6C">
            <w:pPr>
              <w:keepNext w:val="0"/>
              <w:keepLines w:val="0"/>
              <w:pageBreakBefore w:val="0"/>
              <w:kinsoku/>
              <w:wordWrap/>
              <w:overflowPunct/>
              <w:topLinePunct w:val="0"/>
              <w:autoSpaceDE/>
              <w:autoSpaceDN/>
              <w:bidi w:val="0"/>
              <w:snapToGrid w:val="0"/>
              <w:spacing w:line="360" w:lineRule="exact"/>
              <w:ind w:firstLine="422" w:firstLineChars="200"/>
              <w:rPr>
                <w:rFonts w:hint="default" w:ascii="宋体" w:hAnsi="宋体" w:cs="宋体"/>
                <w:color w:val="auto"/>
                <w:sz w:val="21"/>
                <w:szCs w:val="21"/>
                <w:highlight w:val="none"/>
                <w:lang w:val="en-US" w:eastAsia="zh-CN"/>
              </w:rPr>
            </w:pP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1</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rPr>
              <w:t>同时配备</w:t>
            </w:r>
            <w:r>
              <w:rPr>
                <w:rFonts w:hint="eastAsia" w:ascii="宋体" w:hAnsi="宋体" w:cs="宋体"/>
                <w:b/>
                <w:bCs/>
                <w:color w:val="auto"/>
                <w:sz w:val="21"/>
                <w:szCs w:val="21"/>
                <w:highlight w:val="none"/>
                <w:lang w:val="en-US" w:eastAsia="zh-CN"/>
              </w:rPr>
              <w:t>其他</w:t>
            </w:r>
            <w:r>
              <w:rPr>
                <w:rFonts w:hint="eastAsia" w:ascii="宋体" w:hAnsi="宋体" w:cs="宋体"/>
                <w:b/>
                <w:bCs/>
                <w:color w:val="auto"/>
                <w:sz w:val="21"/>
                <w:szCs w:val="21"/>
                <w:highlight w:val="none"/>
              </w:rPr>
              <w:t>检测</w:t>
            </w:r>
            <w:r>
              <w:rPr>
                <w:rFonts w:hint="eastAsia" w:ascii="宋体" w:hAnsi="宋体" w:cs="宋体"/>
                <w:b/>
                <w:bCs/>
                <w:color w:val="auto"/>
                <w:sz w:val="21"/>
                <w:szCs w:val="21"/>
                <w:highlight w:val="none"/>
                <w:lang w:val="en-US" w:eastAsia="zh-CN"/>
              </w:rPr>
              <w:t>技术</w:t>
            </w:r>
            <w:r>
              <w:rPr>
                <w:rFonts w:hint="eastAsia" w:ascii="宋体" w:hAnsi="宋体" w:cs="宋体"/>
                <w:b/>
                <w:bCs/>
                <w:color w:val="auto"/>
                <w:sz w:val="21"/>
                <w:szCs w:val="21"/>
                <w:highlight w:val="none"/>
              </w:rPr>
              <w:t>人员</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要求</w:t>
            </w:r>
            <w:r>
              <w:rPr>
                <w:rFonts w:hint="eastAsia" w:ascii="宋体" w:hAnsi="宋体" w:cs="宋体"/>
                <w:b/>
                <w:bCs/>
                <w:color w:val="auto"/>
                <w:sz w:val="21"/>
                <w:szCs w:val="21"/>
                <w:highlight w:val="none"/>
              </w:rPr>
              <w:t>持有检测上岗证</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2人及以上的，</w:t>
            </w:r>
            <w:r>
              <w:rPr>
                <w:rFonts w:hint="eastAsia" w:ascii="宋体" w:hAnsi="宋体" w:eastAsia="宋体" w:cs="宋体"/>
                <w:b/>
                <w:bCs/>
                <w:color w:val="auto"/>
                <w:sz w:val="21"/>
                <w:szCs w:val="21"/>
                <w:highlight w:val="none"/>
                <w:lang w:val="en-US" w:eastAsia="zh-CN"/>
              </w:rPr>
              <w:t>每组</w:t>
            </w:r>
            <w:r>
              <w:rPr>
                <w:rFonts w:hint="eastAsia" w:ascii="宋体" w:hAnsi="宋体" w:cs="宋体"/>
                <w:b/>
                <w:bCs/>
                <w:color w:val="auto"/>
                <w:sz w:val="21"/>
                <w:szCs w:val="21"/>
                <w:highlight w:val="none"/>
              </w:rPr>
              <w:t>得</w:t>
            </w:r>
            <w:r>
              <w:rPr>
                <w:rFonts w:hint="eastAsia" w:ascii="宋体" w:hAnsi="宋体" w:cs="宋体"/>
                <w:b/>
                <w:bCs/>
                <w:color w:val="auto"/>
                <w:sz w:val="21"/>
                <w:szCs w:val="21"/>
                <w:highlight w:val="none"/>
                <w:lang w:val="en-US" w:eastAsia="zh-CN"/>
              </w:rPr>
              <w:t>0.5</w:t>
            </w:r>
            <w:r>
              <w:rPr>
                <w:rFonts w:hint="eastAsia" w:ascii="宋体" w:hAnsi="宋体" w:cs="宋体"/>
                <w:b/>
                <w:bCs/>
                <w:color w:val="auto"/>
                <w:sz w:val="21"/>
                <w:szCs w:val="21"/>
                <w:highlight w:val="none"/>
              </w:rPr>
              <w:t>分</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最多计分1.5分。</w:t>
            </w:r>
          </w:p>
          <w:p w14:paraId="49B9FA65">
            <w:pPr>
              <w:keepNext w:val="0"/>
              <w:keepLines w:val="0"/>
              <w:pageBreakBefore w:val="0"/>
              <w:kinsoku/>
              <w:wordWrap/>
              <w:overflowPunct/>
              <w:topLinePunct w:val="0"/>
              <w:autoSpaceDE/>
              <w:autoSpaceDN/>
              <w:bidi w:val="0"/>
              <w:snapToGrid w:val="0"/>
              <w:spacing w:line="360" w:lineRule="exact"/>
              <w:ind w:firstLine="422" w:firstLineChars="200"/>
              <w:rPr>
                <w:rFonts w:hint="eastAsia" w:ascii="宋体" w:hAnsi="宋体" w:cs="宋体"/>
                <w:color w:val="auto"/>
                <w:sz w:val="21"/>
                <w:szCs w:val="21"/>
                <w:highlight w:val="none"/>
                <w:lang w:eastAsia="zh-CN"/>
              </w:rPr>
            </w:pP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2</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rPr>
              <w:t>同时配备</w:t>
            </w:r>
            <w:r>
              <w:rPr>
                <w:rFonts w:hint="eastAsia" w:ascii="宋体" w:hAnsi="宋体" w:cs="宋体"/>
                <w:b/>
                <w:bCs/>
                <w:color w:val="auto"/>
                <w:sz w:val="21"/>
                <w:szCs w:val="21"/>
                <w:highlight w:val="none"/>
                <w:lang w:val="en-US" w:eastAsia="zh-CN"/>
              </w:rPr>
              <w:t>其他</w:t>
            </w:r>
            <w:r>
              <w:rPr>
                <w:rFonts w:hint="eastAsia" w:ascii="宋体" w:hAnsi="宋体" w:cs="宋体"/>
                <w:b/>
                <w:bCs/>
                <w:color w:val="auto"/>
                <w:sz w:val="21"/>
                <w:szCs w:val="21"/>
                <w:highlight w:val="none"/>
              </w:rPr>
              <w:t>检测</w:t>
            </w:r>
            <w:r>
              <w:rPr>
                <w:rFonts w:hint="eastAsia" w:ascii="宋体" w:hAnsi="宋体" w:cs="宋体"/>
                <w:b/>
                <w:bCs/>
                <w:color w:val="auto"/>
                <w:sz w:val="21"/>
                <w:szCs w:val="21"/>
                <w:highlight w:val="none"/>
                <w:lang w:val="en-US" w:eastAsia="zh-CN"/>
              </w:rPr>
              <w:t>技术</w:t>
            </w:r>
            <w:r>
              <w:rPr>
                <w:rFonts w:hint="eastAsia" w:ascii="宋体" w:hAnsi="宋体" w:cs="宋体"/>
                <w:b/>
                <w:bCs/>
                <w:color w:val="auto"/>
                <w:sz w:val="21"/>
                <w:szCs w:val="21"/>
                <w:highlight w:val="none"/>
              </w:rPr>
              <w:t>人员</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要求</w:t>
            </w:r>
            <w:r>
              <w:rPr>
                <w:rFonts w:hint="eastAsia" w:ascii="宋体" w:hAnsi="宋体" w:cs="宋体"/>
                <w:b/>
                <w:bCs/>
                <w:color w:val="auto"/>
                <w:sz w:val="21"/>
                <w:szCs w:val="21"/>
                <w:highlight w:val="none"/>
              </w:rPr>
              <w:t>持有检测上岗证</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其中1人</w:t>
            </w:r>
            <w:r>
              <w:rPr>
                <w:rFonts w:hint="eastAsia" w:ascii="宋体" w:hAnsi="宋体" w:cs="宋体"/>
                <w:b/>
                <w:bCs/>
                <w:color w:val="auto"/>
                <w:sz w:val="21"/>
                <w:szCs w:val="21"/>
                <w:highlight w:val="none"/>
              </w:rPr>
              <w:t>具有建筑类中级</w:t>
            </w:r>
            <w:r>
              <w:rPr>
                <w:rFonts w:hint="eastAsia" w:ascii="宋体" w:hAnsi="宋体" w:cs="宋体"/>
                <w:b/>
                <w:bCs/>
                <w:color w:val="auto"/>
                <w:sz w:val="21"/>
                <w:szCs w:val="21"/>
                <w:highlight w:val="none"/>
                <w:lang w:val="en-US" w:eastAsia="zh-CN"/>
              </w:rPr>
              <w:t>及</w:t>
            </w:r>
            <w:r>
              <w:rPr>
                <w:rFonts w:hint="eastAsia" w:ascii="宋体" w:hAnsi="宋体" w:cs="宋体"/>
                <w:b/>
                <w:bCs/>
                <w:color w:val="auto"/>
                <w:sz w:val="21"/>
                <w:szCs w:val="21"/>
                <w:highlight w:val="none"/>
              </w:rPr>
              <w:t>以上职称</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2人的，</w:t>
            </w:r>
            <w:r>
              <w:rPr>
                <w:rFonts w:hint="eastAsia" w:ascii="宋体" w:hAnsi="宋体" w:eastAsia="宋体" w:cs="宋体"/>
                <w:b/>
                <w:bCs/>
                <w:color w:val="auto"/>
                <w:sz w:val="21"/>
                <w:szCs w:val="21"/>
                <w:highlight w:val="none"/>
                <w:lang w:val="en-US" w:eastAsia="zh-CN"/>
              </w:rPr>
              <w:t>每组</w:t>
            </w:r>
            <w:r>
              <w:rPr>
                <w:rFonts w:hint="eastAsia" w:ascii="宋体" w:hAnsi="宋体" w:cs="宋体"/>
                <w:b/>
                <w:bCs/>
                <w:color w:val="auto"/>
                <w:sz w:val="21"/>
                <w:szCs w:val="21"/>
                <w:highlight w:val="none"/>
              </w:rPr>
              <w:t>得</w:t>
            </w:r>
            <w:r>
              <w:rPr>
                <w:rFonts w:hint="eastAsia" w:ascii="宋体" w:hAnsi="宋体" w:cs="宋体"/>
                <w:b/>
                <w:bCs/>
                <w:color w:val="auto"/>
                <w:sz w:val="21"/>
                <w:szCs w:val="21"/>
                <w:highlight w:val="none"/>
                <w:lang w:val="en-US" w:eastAsia="zh-CN"/>
              </w:rPr>
              <w:t>1</w:t>
            </w:r>
            <w:r>
              <w:rPr>
                <w:rFonts w:hint="eastAsia" w:ascii="宋体" w:hAnsi="宋体" w:cs="宋体"/>
                <w:b/>
                <w:bCs/>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b/>
                <w:bCs/>
                <w:color w:val="auto"/>
                <w:sz w:val="21"/>
                <w:szCs w:val="21"/>
                <w:highlight w:val="none"/>
                <w:lang w:val="en-US" w:eastAsia="zh-CN"/>
              </w:rPr>
              <w:t>最多计分3分。</w:t>
            </w:r>
          </w:p>
          <w:p w14:paraId="76FAFB9B">
            <w:pPr>
              <w:keepNext w:val="0"/>
              <w:keepLines w:val="0"/>
              <w:pageBreakBefore w:val="0"/>
              <w:kinsoku/>
              <w:wordWrap/>
              <w:overflowPunct/>
              <w:topLinePunct w:val="0"/>
              <w:autoSpaceDE/>
              <w:autoSpaceDN/>
              <w:bidi w:val="0"/>
              <w:snapToGrid w:val="0"/>
              <w:spacing w:line="36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3</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rPr>
              <w:t>同时配备</w:t>
            </w:r>
            <w:r>
              <w:rPr>
                <w:rFonts w:hint="eastAsia" w:ascii="宋体" w:hAnsi="宋体" w:cs="宋体"/>
                <w:b/>
                <w:bCs/>
                <w:color w:val="auto"/>
                <w:sz w:val="21"/>
                <w:szCs w:val="21"/>
                <w:highlight w:val="none"/>
                <w:lang w:val="en-US" w:eastAsia="zh-CN"/>
              </w:rPr>
              <w:t>其他</w:t>
            </w:r>
            <w:r>
              <w:rPr>
                <w:rFonts w:hint="eastAsia" w:ascii="宋体" w:hAnsi="宋体" w:cs="宋体"/>
                <w:b/>
                <w:bCs/>
                <w:color w:val="auto"/>
                <w:sz w:val="21"/>
                <w:szCs w:val="21"/>
                <w:highlight w:val="none"/>
              </w:rPr>
              <w:t>检测</w:t>
            </w:r>
            <w:r>
              <w:rPr>
                <w:rFonts w:hint="eastAsia" w:ascii="宋体" w:hAnsi="宋体" w:cs="宋体"/>
                <w:b/>
                <w:bCs/>
                <w:color w:val="auto"/>
                <w:sz w:val="21"/>
                <w:szCs w:val="21"/>
                <w:highlight w:val="none"/>
                <w:lang w:val="en-US" w:eastAsia="zh-CN"/>
              </w:rPr>
              <w:t>技术</w:t>
            </w:r>
            <w:r>
              <w:rPr>
                <w:rFonts w:hint="eastAsia" w:ascii="宋体" w:hAnsi="宋体" w:cs="宋体"/>
                <w:b/>
                <w:bCs/>
                <w:color w:val="auto"/>
                <w:sz w:val="21"/>
                <w:szCs w:val="21"/>
                <w:highlight w:val="none"/>
              </w:rPr>
              <w:t>人员</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要求</w:t>
            </w:r>
            <w:r>
              <w:rPr>
                <w:rFonts w:hint="eastAsia" w:ascii="宋体" w:hAnsi="宋体" w:cs="宋体"/>
                <w:b/>
                <w:bCs/>
                <w:color w:val="auto"/>
                <w:sz w:val="21"/>
                <w:szCs w:val="21"/>
                <w:highlight w:val="none"/>
              </w:rPr>
              <w:t>持有检测上岗证</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其中2人及以上</w:t>
            </w:r>
            <w:r>
              <w:rPr>
                <w:rFonts w:hint="eastAsia" w:ascii="宋体" w:hAnsi="宋体" w:cs="宋体"/>
                <w:b/>
                <w:bCs/>
                <w:color w:val="auto"/>
                <w:sz w:val="21"/>
                <w:szCs w:val="21"/>
                <w:highlight w:val="none"/>
              </w:rPr>
              <w:t>具有建筑类中级</w:t>
            </w:r>
            <w:r>
              <w:rPr>
                <w:rFonts w:hint="eastAsia" w:ascii="宋体" w:hAnsi="宋体" w:cs="宋体"/>
                <w:b/>
                <w:bCs/>
                <w:color w:val="auto"/>
                <w:sz w:val="21"/>
                <w:szCs w:val="21"/>
                <w:highlight w:val="none"/>
                <w:lang w:val="en-US" w:eastAsia="zh-CN"/>
              </w:rPr>
              <w:t>及</w:t>
            </w:r>
            <w:r>
              <w:rPr>
                <w:rFonts w:hint="eastAsia" w:ascii="宋体" w:hAnsi="宋体" w:cs="宋体"/>
                <w:b/>
                <w:bCs/>
                <w:color w:val="auto"/>
                <w:sz w:val="21"/>
                <w:szCs w:val="21"/>
                <w:highlight w:val="none"/>
              </w:rPr>
              <w:t>以上职称</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3人及以上的，</w:t>
            </w:r>
            <w:r>
              <w:rPr>
                <w:rFonts w:hint="eastAsia" w:ascii="宋体" w:hAnsi="宋体" w:eastAsia="宋体" w:cs="宋体"/>
                <w:b/>
                <w:bCs/>
                <w:color w:val="auto"/>
                <w:sz w:val="21"/>
                <w:szCs w:val="21"/>
                <w:highlight w:val="none"/>
                <w:lang w:val="en-US" w:eastAsia="zh-CN"/>
              </w:rPr>
              <w:t>每组</w:t>
            </w:r>
            <w:r>
              <w:rPr>
                <w:rFonts w:hint="eastAsia" w:ascii="宋体" w:hAnsi="宋体" w:cs="宋体"/>
                <w:b/>
                <w:bCs/>
                <w:color w:val="auto"/>
                <w:sz w:val="21"/>
                <w:szCs w:val="21"/>
                <w:highlight w:val="none"/>
              </w:rPr>
              <w:t>得</w:t>
            </w:r>
            <w:r>
              <w:rPr>
                <w:rFonts w:hint="eastAsia" w:ascii="宋体" w:hAnsi="宋体" w:cs="宋体"/>
                <w:b/>
                <w:bCs/>
                <w:color w:val="auto"/>
                <w:sz w:val="21"/>
                <w:szCs w:val="21"/>
                <w:highlight w:val="none"/>
                <w:lang w:val="en-US" w:eastAsia="zh-CN"/>
              </w:rPr>
              <w:t>1.5</w:t>
            </w:r>
            <w:r>
              <w:rPr>
                <w:rFonts w:hint="eastAsia" w:ascii="宋体" w:hAnsi="宋体" w:cs="宋体"/>
                <w:b/>
                <w:bCs/>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b/>
                <w:bCs/>
                <w:color w:val="auto"/>
                <w:sz w:val="21"/>
                <w:szCs w:val="21"/>
                <w:highlight w:val="none"/>
                <w:lang w:val="en-US" w:eastAsia="zh-CN"/>
              </w:rPr>
              <w:t>最多计分6分。</w:t>
            </w:r>
          </w:p>
          <w:p w14:paraId="2EC3504D">
            <w:pPr>
              <w:keepNext w:val="0"/>
              <w:keepLines w:val="0"/>
              <w:pageBreakBefore w:val="0"/>
              <w:kinsoku/>
              <w:wordWrap/>
              <w:overflowPunct/>
              <w:topLinePunct w:val="0"/>
              <w:autoSpaceDE/>
              <w:autoSpaceDN/>
              <w:bidi w:val="0"/>
              <w:snapToGrid w:val="0"/>
              <w:spacing w:line="360" w:lineRule="exact"/>
              <w:ind w:firstLine="422" w:firstLineChars="200"/>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每组计分时按照最高分值计分，不重复计分。上述合计满分6分。</w:t>
            </w:r>
          </w:p>
          <w:p w14:paraId="553CCEF8">
            <w:pPr>
              <w:keepNext w:val="0"/>
              <w:keepLines w:val="0"/>
              <w:pageBreakBefore w:val="0"/>
              <w:kinsoku/>
              <w:wordWrap/>
              <w:overflowPunct/>
              <w:topLinePunct w:val="0"/>
              <w:autoSpaceDE/>
              <w:autoSpaceDN/>
              <w:bidi w:val="0"/>
              <w:snapToGrid w:val="0"/>
              <w:spacing w:line="360" w:lineRule="exact"/>
              <w:ind w:firstLine="420" w:firstLineChars="200"/>
              <w:rPr>
                <w:rFonts w:hint="eastAsia" w:ascii="宋体" w:hAnsi="宋体" w:cs="宋体"/>
                <w:b w:val="0"/>
                <w:bCs w:val="0"/>
                <w:color w:val="auto"/>
                <w:kern w:val="0"/>
                <w:sz w:val="21"/>
                <w:szCs w:val="21"/>
                <w:highlight w:val="none"/>
                <w:lang w:val="en-US" w:eastAsia="zh-CN"/>
              </w:rPr>
            </w:pPr>
            <w:r>
              <w:rPr>
                <w:rFonts w:hint="eastAsia" w:ascii="宋体" w:hAnsi="宋体" w:cs="宋体"/>
                <w:color w:val="auto"/>
                <w:sz w:val="21"/>
                <w:szCs w:val="21"/>
                <w:highlight w:val="none"/>
              </w:rPr>
              <w:t>提供分组的现场鉴定检测人员名单及其人员</w:t>
            </w:r>
            <w:r>
              <w:rPr>
                <w:rFonts w:hint="eastAsia" w:ascii="宋体" w:hAnsi="宋体" w:cs="宋体"/>
                <w:color w:val="auto"/>
                <w:sz w:val="21"/>
                <w:szCs w:val="21"/>
                <w:highlight w:val="none"/>
                <w:lang w:val="en-US" w:eastAsia="zh-CN"/>
              </w:rPr>
              <w:t>证明</w:t>
            </w:r>
            <w:r>
              <w:rPr>
                <w:rFonts w:hint="eastAsia" w:ascii="宋体" w:hAnsi="宋体" w:cs="宋体"/>
                <w:color w:val="auto"/>
                <w:sz w:val="21"/>
                <w:szCs w:val="21"/>
                <w:highlight w:val="none"/>
              </w:rPr>
              <w:t>资料</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检测上岗证、职称证（如有）的复印件</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方可计分。</w:t>
            </w:r>
          </w:p>
          <w:p w14:paraId="75F8D7E1">
            <w:pPr>
              <w:keepNext w:val="0"/>
              <w:keepLines w:val="0"/>
              <w:pageBreakBefore w:val="0"/>
              <w:kinsoku/>
              <w:wordWrap/>
              <w:overflowPunct/>
              <w:topLinePunct w:val="0"/>
              <w:autoSpaceDE/>
              <w:autoSpaceDN/>
              <w:bidi w:val="0"/>
              <w:snapToGrid w:val="0"/>
              <w:spacing w:line="360" w:lineRule="exact"/>
              <w:ind w:firstLine="420" w:firstLineChars="200"/>
              <w:rPr>
                <w:rFonts w:hint="eastAsia" w:ascii="宋体" w:hAnsi="宋体" w:cs="宋体"/>
                <w:color w:val="auto"/>
                <w:sz w:val="21"/>
                <w:szCs w:val="21"/>
                <w:highlight w:val="none"/>
              </w:rPr>
            </w:pPr>
            <w:r>
              <w:rPr>
                <w:rFonts w:hint="eastAsia" w:ascii="宋体" w:hAnsi="宋体" w:cs="宋体"/>
                <w:b w:val="0"/>
                <w:bCs w:val="0"/>
                <w:color w:val="auto"/>
                <w:kern w:val="0"/>
                <w:sz w:val="21"/>
                <w:szCs w:val="21"/>
                <w:highlight w:val="none"/>
                <w:lang w:val="en-US" w:eastAsia="zh-CN"/>
              </w:rPr>
              <w:t>3.备注</w:t>
            </w:r>
            <w:r>
              <w:rPr>
                <w:rFonts w:hint="eastAsia" w:ascii="宋体" w:hAnsi="宋体" w:cs="宋体"/>
                <w:b w:val="0"/>
                <w:bCs w:val="0"/>
                <w:color w:val="auto"/>
                <w:kern w:val="0"/>
                <w:sz w:val="21"/>
                <w:szCs w:val="21"/>
                <w:highlight w:val="none"/>
              </w:rPr>
              <w:t>：</w:t>
            </w:r>
            <w:r>
              <w:rPr>
                <w:rFonts w:hint="eastAsia" w:ascii="宋体" w:hAnsi="宋体" w:cs="宋体"/>
                <w:b w:val="0"/>
                <w:bCs w:val="0"/>
                <w:color w:val="auto"/>
                <w:kern w:val="0"/>
                <w:sz w:val="21"/>
                <w:szCs w:val="21"/>
                <w:highlight w:val="none"/>
                <w:lang w:val="en-US" w:eastAsia="zh-CN"/>
              </w:rPr>
              <w:t>上述评分点，</w:t>
            </w:r>
            <w:r>
              <w:rPr>
                <w:rFonts w:hint="eastAsia" w:ascii="宋体" w:hAnsi="宋体" w:cs="宋体"/>
                <w:b w:val="0"/>
                <w:bCs w:val="0"/>
                <w:color w:val="auto"/>
                <w:sz w:val="21"/>
                <w:szCs w:val="21"/>
                <w:highlight w:val="none"/>
              </w:rPr>
              <w:t>分组的现场鉴定检测人员名单</w:t>
            </w:r>
            <w:r>
              <w:rPr>
                <w:rFonts w:hint="eastAsia" w:ascii="宋体" w:hAnsi="宋体" w:cs="宋体"/>
                <w:b w:val="0"/>
                <w:bCs w:val="0"/>
                <w:color w:val="auto"/>
                <w:kern w:val="0"/>
                <w:sz w:val="21"/>
                <w:szCs w:val="21"/>
                <w:highlight w:val="none"/>
              </w:rPr>
              <w:t>包括姓名、性别、</w:t>
            </w:r>
            <w:r>
              <w:rPr>
                <w:rFonts w:hint="eastAsia" w:ascii="宋体" w:hAnsi="宋体" w:cs="宋体"/>
                <w:b w:val="0"/>
                <w:bCs w:val="0"/>
                <w:color w:val="auto"/>
                <w:kern w:val="0"/>
                <w:sz w:val="21"/>
                <w:szCs w:val="21"/>
                <w:highlight w:val="none"/>
                <w:lang w:val="en-US" w:eastAsia="zh-CN"/>
              </w:rPr>
              <w:t>证书</w:t>
            </w:r>
            <w:r>
              <w:rPr>
                <w:rFonts w:hint="eastAsia" w:ascii="宋体" w:hAnsi="宋体" w:cs="宋体"/>
                <w:b w:val="0"/>
                <w:bCs w:val="0"/>
                <w:color w:val="auto"/>
                <w:kern w:val="0"/>
                <w:sz w:val="21"/>
                <w:szCs w:val="21"/>
                <w:highlight w:val="none"/>
                <w:lang w:eastAsia="zh-CN"/>
              </w:rPr>
              <w:t>情况、</w:t>
            </w:r>
            <w:r>
              <w:rPr>
                <w:rFonts w:hint="eastAsia" w:ascii="宋体" w:hAnsi="宋体" w:cs="宋体"/>
                <w:b w:val="0"/>
                <w:bCs w:val="0"/>
                <w:color w:val="auto"/>
                <w:kern w:val="0"/>
                <w:sz w:val="21"/>
                <w:szCs w:val="21"/>
                <w:highlight w:val="none"/>
                <w:lang w:val="en-US" w:eastAsia="zh-CN"/>
              </w:rPr>
              <w:t>工作年限（从事工程检测或房屋现场鉴定等）</w:t>
            </w:r>
            <w:r>
              <w:rPr>
                <w:rFonts w:hint="eastAsia" w:ascii="宋体" w:hAnsi="宋体" w:cs="宋体"/>
                <w:b w:val="0"/>
                <w:bCs w:val="0"/>
                <w:color w:val="auto"/>
                <w:kern w:val="0"/>
                <w:sz w:val="21"/>
                <w:szCs w:val="21"/>
                <w:highlight w:val="none"/>
                <w:lang w:eastAsia="zh-CN"/>
              </w:rPr>
              <w:t>等</w:t>
            </w:r>
            <w:r>
              <w:rPr>
                <w:rFonts w:hint="eastAsia" w:ascii="宋体" w:hAnsi="宋体" w:cs="宋体"/>
                <w:b w:val="0"/>
                <w:bCs w:val="0"/>
                <w:color w:val="auto"/>
                <w:kern w:val="0"/>
                <w:sz w:val="21"/>
                <w:szCs w:val="21"/>
                <w:highlight w:val="none"/>
                <w:lang w:val="en-US" w:eastAsia="zh-CN"/>
              </w:rPr>
              <w:t>信息</w:t>
            </w:r>
            <w:r>
              <w:rPr>
                <w:rFonts w:hint="eastAsia" w:ascii="宋体" w:hAnsi="宋体" w:cs="宋体"/>
                <w:b w:val="0"/>
                <w:bCs w:val="0"/>
                <w:color w:val="auto"/>
                <w:kern w:val="0"/>
                <w:sz w:val="21"/>
                <w:szCs w:val="21"/>
                <w:highlight w:val="none"/>
              </w:rPr>
              <w:t>，</w:t>
            </w:r>
            <w:r>
              <w:rPr>
                <w:rFonts w:hint="eastAsia" w:ascii="宋体" w:hAnsi="宋体" w:cs="宋体"/>
                <w:b w:val="0"/>
                <w:bCs w:val="0"/>
                <w:color w:val="auto"/>
                <w:kern w:val="0"/>
                <w:sz w:val="21"/>
                <w:szCs w:val="21"/>
                <w:highlight w:val="none"/>
                <w:lang w:val="en-US" w:eastAsia="zh-CN"/>
              </w:rPr>
              <w:t>同时附人员证明资料复印件（复印件必须加盖供应商公章或电子章，联合体竞标的，联合体各方提供的人员均可）、</w:t>
            </w:r>
            <w:r>
              <w:rPr>
                <w:rFonts w:hint="eastAsia" w:ascii="宋体" w:hAnsi="宋体" w:cs="宋体"/>
                <w:b w:val="0"/>
                <w:bCs w:val="0"/>
                <w:color w:val="auto"/>
                <w:kern w:val="0"/>
                <w:sz w:val="21"/>
                <w:szCs w:val="21"/>
                <w:highlight w:val="none"/>
              </w:rPr>
              <w:t>双方签订的劳动合同或劳务合同或聘用协议或</w:t>
            </w:r>
            <w:r>
              <w:rPr>
                <w:rFonts w:hint="eastAsia" w:ascii="宋体" w:hAnsi="宋体" w:cs="宋体"/>
                <w:b w:val="0"/>
                <w:bCs w:val="0"/>
                <w:color w:val="auto"/>
                <w:kern w:val="0"/>
                <w:sz w:val="21"/>
                <w:szCs w:val="21"/>
                <w:highlight w:val="none"/>
                <w:lang w:val="en-US" w:eastAsia="zh-CN"/>
              </w:rPr>
              <w:t>供应商为其</w:t>
            </w:r>
            <w:r>
              <w:rPr>
                <w:rFonts w:hint="eastAsia" w:ascii="宋体" w:hAnsi="宋体" w:cs="宋体"/>
                <w:b w:val="0"/>
                <w:bCs w:val="0"/>
                <w:color w:val="auto"/>
                <w:kern w:val="0"/>
                <w:sz w:val="21"/>
                <w:szCs w:val="21"/>
                <w:highlight w:val="none"/>
              </w:rPr>
              <w:t>缴纳的</w:t>
            </w:r>
            <w:r>
              <w:rPr>
                <w:rFonts w:hint="eastAsia" w:ascii="宋体" w:hAnsi="宋体" w:cs="宋体"/>
                <w:b w:val="0"/>
                <w:bCs w:val="0"/>
                <w:color w:val="auto"/>
                <w:kern w:val="0"/>
                <w:sz w:val="21"/>
                <w:szCs w:val="21"/>
                <w:highlight w:val="none"/>
                <w:lang w:val="en-US" w:eastAsia="zh-CN"/>
              </w:rPr>
              <w:t>2026年6月以来任意一个月的</w:t>
            </w:r>
            <w:r>
              <w:rPr>
                <w:rFonts w:hint="eastAsia" w:ascii="宋体" w:hAnsi="宋体" w:cs="宋体"/>
                <w:b w:val="0"/>
                <w:bCs w:val="0"/>
                <w:color w:val="auto"/>
                <w:kern w:val="0"/>
                <w:sz w:val="21"/>
                <w:szCs w:val="21"/>
                <w:highlight w:val="none"/>
              </w:rPr>
              <w:t>社保证明</w:t>
            </w:r>
            <w:r>
              <w:rPr>
                <w:rFonts w:hint="eastAsia" w:ascii="宋体" w:hAnsi="宋体" w:cs="宋体"/>
                <w:b w:val="0"/>
                <w:bCs w:val="0"/>
                <w:color w:val="auto"/>
                <w:kern w:val="0"/>
                <w:sz w:val="21"/>
                <w:szCs w:val="21"/>
                <w:highlight w:val="none"/>
                <w:lang w:val="en-US" w:eastAsia="zh-CN"/>
              </w:rPr>
              <w:t>复印件（复印件必须加盖供应商公章或电子章，联合体竞标的，联合体各方提供的人员均可）</w:t>
            </w:r>
            <w:r>
              <w:rPr>
                <w:rFonts w:hint="eastAsia" w:ascii="宋体" w:hAnsi="宋体" w:cs="宋体"/>
                <w:b w:val="0"/>
                <w:bCs w:val="0"/>
                <w:color w:val="auto"/>
                <w:kern w:val="0"/>
                <w:sz w:val="21"/>
                <w:szCs w:val="21"/>
                <w:highlight w:val="none"/>
              </w:rPr>
              <w:t>，不提供</w:t>
            </w:r>
            <w:r>
              <w:rPr>
                <w:rFonts w:hint="eastAsia" w:ascii="宋体" w:hAnsi="宋体" w:cs="宋体"/>
                <w:b w:val="0"/>
                <w:bCs w:val="0"/>
                <w:color w:val="auto"/>
                <w:kern w:val="0"/>
                <w:sz w:val="21"/>
                <w:szCs w:val="21"/>
                <w:highlight w:val="none"/>
                <w:lang w:val="en-US" w:eastAsia="zh-CN"/>
              </w:rPr>
              <w:t>或者不符合要求的</w:t>
            </w:r>
            <w:r>
              <w:rPr>
                <w:rFonts w:hint="eastAsia" w:ascii="宋体" w:hAnsi="宋体" w:cs="宋体"/>
                <w:b w:val="0"/>
                <w:bCs w:val="0"/>
                <w:color w:val="auto"/>
                <w:kern w:val="0"/>
                <w:sz w:val="21"/>
                <w:szCs w:val="21"/>
                <w:highlight w:val="none"/>
              </w:rPr>
              <w:t>不得分。</w:t>
            </w:r>
          </w:p>
        </w:tc>
        <w:tc>
          <w:tcPr>
            <w:tcW w:w="458" w:type="pct"/>
            <w:noWrap w:val="0"/>
            <w:vAlign w:val="center"/>
          </w:tcPr>
          <w:p w14:paraId="664BE76F">
            <w:pPr>
              <w:keepNext w:val="0"/>
              <w:keepLines w:val="0"/>
              <w:pageBreakBefore w:val="0"/>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12</w:t>
            </w:r>
            <w:r>
              <w:rPr>
                <w:rFonts w:hint="eastAsia" w:ascii="宋体" w:hAnsi="宋体" w:cs="宋体"/>
                <w:color w:val="auto"/>
                <w:kern w:val="0"/>
                <w:sz w:val="21"/>
                <w:szCs w:val="21"/>
                <w:highlight w:val="none"/>
              </w:rPr>
              <w:t>分</w:t>
            </w:r>
          </w:p>
        </w:tc>
      </w:tr>
      <w:tr w14:paraId="39EC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34" w:type="pct"/>
            <w:noWrap w:val="0"/>
            <w:vAlign w:val="center"/>
          </w:tcPr>
          <w:p w14:paraId="3130090D">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b w:val="0"/>
                <w:bCs w:val="0"/>
                <w:color w:val="auto"/>
                <w:kern w:val="0"/>
                <w:sz w:val="21"/>
                <w:szCs w:val="21"/>
                <w:highlight w:val="none"/>
              </w:rPr>
            </w:pPr>
            <w:r>
              <w:rPr>
                <w:rFonts w:hint="eastAsia" w:ascii="宋体" w:hAnsi="宋体" w:cs="宋体"/>
                <w:b w:val="0"/>
                <w:bCs w:val="0"/>
                <w:color w:val="auto"/>
                <w:kern w:val="0"/>
                <w:sz w:val="21"/>
                <w:szCs w:val="21"/>
                <w:highlight w:val="none"/>
              </w:rPr>
              <w:t>3</w:t>
            </w:r>
          </w:p>
        </w:tc>
        <w:tc>
          <w:tcPr>
            <w:tcW w:w="611" w:type="pct"/>
            <w:noWrap w:val="0"/>
            <w:vAlign w:val="center"/>
          </w:tcPr>
          <w:p w14:paraId="120E2183">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商务分</w:t>
            </w:r>
          </w:p>
        </w:tc>
        <w:tc>
          <w:tcPr>
            <w:tcW w:w="3594" w:type="pct"/>
            <w:noWrap w:val="0"/>
            <w:vAlign w:val="center"/>
          </w:tcPr>
          <w:p w14:paraId="102C85D3">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评审因素</w:t>
            </w:r>
          </w:p>
        </w:tc>
        <w:tc>
          <w:tcPr>
            <w:tcW w:w="458" w:type="pct"/>
            <w:noWrap w:val="0"/>
            <w:vAlign w:val="center"/>
          </w:tcPr>
          <w:p w14:paraId="23993057">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8</w:t>
            </w:r>
            <w:r>
              <w:rPr>
                <w:rFonts w:hint="eastAsia" w:ascii="宋体" w:hAnsi="宋体" w:cs="宋体"/>
                <w:color w:val="auto"/>
                <w:kern w:val="0"/>
                <w:sz w:val="21"/>
                <w:szCs w:val="21"/>
                <w:highlight w:val="none"/>
              </w:rPr>
              <w:t>分</w:t>
            </w:r>
          </w:p>
        </w:tc>
      </w:tr>
      <w:tr w14:paraId="3253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34" w:type="pct"/>
            <w:noWrap w:val="0"/>
            <w:vAlign w:val="center"/>
          </w:tcPr>
          <w:p w14:paraId="56AA814B">
            <w:pPr>
              <w:keepNext w:val="0"/>
              <w:keepLines w:val="0"/>
              <w:pageBreakBefore w:val="0"/>
              <w:kinsoku/>
              <w:wordWrap/>
              <w:overflowPunct/>
              <w:topLinePunct w:val="0"/>
              <w:autoSpaceDE/>
              <w:autoSpaceDN/>
              <w:bidi w:val="0"/>
              <w:spacing w:line="360" w:lineRule="exact"/>
              <w:jc w:val="center"/>
              <w:rPr>
                <w:rFonts w:hint="eastAsia" w:ascii="宋体" w:hAnsi="宋体" w:cs="宋体"/>
                <w:b w:val="0"/>
                <w:bCs w:val="0"/>
                <w:color w:val="auto"/>
                <w:kern w:val="0"/>
                <w:sz w:val="21"/>
                <w:szCs w:val="21"/>
                <w:highlight w:val="none"/>
              </w:rPr>
            </w:pPr>
            <w:r>
              <w:rPr>
                <w:rFonts w:hint="eastAsia" w:ascii="宋体" w:hAnsi="宋体" w:cs="宋体"/>
                <w:b w:val="0"/>
                <w:bCs w:val="0"/>
                <w:color w:val="auto"/>
                <w:sz w:val="21"/>
                <w:szCs w:val="21"/>
                <w:highlight w:val="none"/>
              </w:rPr>
              <w:t>3.1</w:t>
            </w:r>
          </w:p>
        </w:tc>
        <w:tc>
          <w:tcPr>
            <w:tcW w:w="611" w:type="pct"/>
            <w:noWrap w:val="0"/>
            <w:vAlign w:val="center"/>
          </w:tcPr>
          <w:p w14:paraId="611DB52B">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类似业绩</w:t>
            </w:r>
          </w:p>
        </w:tc>
        <w:tc>
          <w:tcPr>
            <w:tcW w:w="3594" w:type="pct"/>
            <w:noWrap w:val="0"/>
            <w:vAlign w:val="top"/>
          </w:tcPr>
          <w:p w14:paraId="7366CF35">
            <w:pPr>
              <w:keepNext w:val="0"/>
              <w:keepLines w:val="0"/>
              <w:pageBreakBefore w:val="0"/>
              <w:kinsoku/>
              <w:wordWrap/>
              <w:overflowPunct/>
              <w:topLinePunct w:val="0"/>
              <w:autoSpaceDE/>
              <w:autoSpaceDN/>
              <w:bidi w:val="0"/>
              <w:spacing w:line="360" w:lineRule="exact"/>
              <w:ind w:firstLine="420"/>
              <w:rPr>
                <w:rFonts w:hint="eastAsia" w:ascii="宋体" w:hAnsi="宋体" w:cs="宋体"/>
                <w:color w:val="auto"/>
                <w:sz w:val="21"/>
                <w:szCs w:val="21"/>
                <w:highlight w:val="none"/>
              </w:rPr>
            </w:pPr>
            <w:r>
              <w:rPr>
                <w:rFonts w:hint="eastAsia" w:ascii="宋体" w:hAnsi="宋体" w:cs="宋体"/>
                <w:color w:val="auto"/>
                <w:kern w:val="0"/>
                <w:sz w:val="21"/>
                <w:szCs w:val="21"/>
                <w:highlight w:val="none"/>
                <w:lang w:val="zh-CN"/>
              </w:rPr>
              <w:t>供应商自</w:t>
            </w:r>
            <w:r>
              <w:rPr>
                <w:rFonts w:hint="eastAsia" w:ascii="宋体" w:hAnsi="宋体" w:cs="宋体"/>
                <w:color w:val="auto"/>
                <w:kern w:val="0"/>
                <w:sz w:val="21"/>
                <w:szCs w:val="21"/>
                <w:highlight w:val="none"/>
              </w:rPr>
              <w:t>2023</w:t>
            </w:r>
            <w:r>
              <w:rPr>
                <w:rFonts w:hint="eastAsia" w:ascii="宋体" w:hAnsi="宋体" w:cs="宋体"/>
                <w:color w:val="auto"/>
                <w:kern w:val="0"/>
                <w:sz w:val="21"/>
                <w:szCs w:val="21"/>
                <w:highlight w:val="none"/>
                <w:lang w:val="zh-CN"/>
              </w:rPr>
              <w:t>年1月1日以来承接过</w:t>
            </w:r>
            <w:r>
              <w:rPr>
                <w:rFonts w:hint="eastAsia" w:ascii="宋体" w:hAnsi="宋体" w:cs="宋体"/>
                <w:color w:val="auto"/>
                <w:kern w:val="0"/>
                <w:sz w:val="21"/>
                <w:szCs w:val="21"/>
                <w:highlight w:val="none"/>
              </w:rPr>
              <w:t>同类</w:t>
            </w:r>
            <w:r>
              <w:rPr>
                <w:rFonts w:hint="eastAsia" w:ascii="宋体" w:hAnsi="宋体" w:cs="宋体"/>
                <w:color w:val="auto"/>
                <w:kern w:val="0"/>
                <w:sz w:val="21"/>
                <w:szCs w:val="21"/>
                <w:highlight w:val="none"/>
                <w:lang w:val="zh-CN"/>
              </w:rPr>
              <w:t>业绩（</w:t>
            </w:r>
            <w:r>
              <w:rPr>
                <w:rFonts w:hint="eastAsia" w:ascii="宋体" w:hAnsi="宋体" w:cs="宋体"/>
                <w:color w:val="auto"/>
                <w:kern w:val="0"/>
                <w:sz w:val="21"/>
                <w:szCs w:val="21"/>
                <w:highlight w:val="none"/>
              </w:rPr>
              <w:t>同类业绩指房屋安全鉴定服务</w:t>
            </w:r>
            <w:r>
              <w:rPr>
                <w:rFonts w:hint="eastAsia" w:ascii="宋体" w:hAnsi="宋体" w:cs="宋体"/>
                <w:color w:val="auto"/>
                <w:kern w:val="0"/>
                <w:sz w:val="21"/>
                <w:szCs w:val="21"/>
                <w:highlight w:val="none"/>
                <w:lang w:val="zh-CN"/>
              </w:rPr>
              <w:t>），每个业绩得</w:t>
            </w:r>
            <w:r>
              <w:rPr>
                <w:rFonts w:hint="eastAsia" w:ascii="宋体" w:hAnsi="宋体" w:cs="宋体"/>
                <w:color w:val="auto"/>
                <w:kern w:val="0"/>
                <w:sz w:val="21"/>
                <w:szCs w:val="21"/>
                <w:highlight w:val="none"/>
                <w:lang w:val="en-US" w:eastAsia="zh-CN"/>
              </w:rPr>
              <w:t>4</w:t>
            </w:r>
            <w:r>
              <w:rPr>
                <w:rFonts w:hint="eastAsia" w:ascii="宋体" w:hAnsi="宋体" w:cs="宋体"/>
                <w:color w:val="auto"/>
                <w:kern w:val="0"/>
                <w:sz w:val="21"/>
                <w:szCs w:val="21"/>
                <w:highlight w:val="none"/>
                <w:lang w:val="zh-CN"/>
              </w:rPr>
              <w:t>分，</w:t>
            </w:r>
            <w:r>
              <w:rPr>
                <w:rFonts w:hint="eastAsia" w:ascii="宋体" w:hAnsi="宋体" w:cs="宋体"/>
                <w:color w:val="auto"/>
                <w:kern w:val="0"/>
                <w:sz w:val="21"/>
                <w:szCs w:val="21"/>
                <w:highlight w:val="none"/>
              </w:rPr>
              <w:t>满分</w:t>
            </w:r>
            <w:r>
              <w:rPr>
                <w:rFonts w:hint="eastAsia" w:ascii="宋体" w:hAnsi="宋体" w:cs="宋体"/>
                <w:color w:val="auto"/>
                <w:kern w:val="0"/>
                <w:sz w:val="21"/>
                <w:szCs w:val="21"/>
                <w:highlight w:val="none"/>
                <w:lang w:val="en-US" w:eastAsia="zh-CN"/>
              </w:rPr>
              <w:t>8</w:t>
            </w:r>
            <w:r>
              <w:rPr>
                <w:rFonts w:hint="eastAsia" w:ascii="宋体" w:hAnsi="宋体" w:cs="宋体"/>
                <w:color w:val="auto"/>
                <w:kern w:val="0"/>
                <w:sz w:val="21"/>
                <w:szCs w:val="21"/>
                <w:highlight w:val="none"/>
                <w:lang w:val="zh-CN"/>
              </w:rPr>
              <w:t>分。（响应文件中须提供合同复印件，否则该项业绩不予计分）。</w:t>
            </w:r>
          </w:p>
        </w:tc>
        <w:tc>
          <w:tcPr>
            <w:tcW w:w="458" w:type="pct"/>
            <w:noWrap w:val="0"/>
            <w:vAlign w:val="center"/>
          </w:tcPr>
          <w:p w14:paraId="70EB7A63">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8</w:t>
            </w:r>
          </w:p>
        </w:tc>
      </w:tr>
      <w:tr w14:paraId="609A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000" w:type="pct"/>
            <w:gridSpan w:val="4"/>
            <w:noWrap w:val="0"/>
            <w:vAlign w:val="top"/>
          </w:tcPr>
          <w:p w14:paraId="786EEE88">
            <w:pPr>
              <w:keepNext w:val="0"/>
              <w:keepLines w:val="0"/>
              <w:pageBreakBefore w:val="0"/>
              <w:widowControl/>
              <w:kinsoku/>
              <w:wordWrap/>
              <w:overflowPunct/>
              <w:topLinePunct w:val="0"/>
              <w:autoSpaceDE/>
              <w:autoSpaceDN/>
              <w:bidi w:val="0"/>
              <w:spacing w:line="360" w:lineRule="exact"/>
              <w:jc w:val="center"/>
              <w:rPr>
                <w:rFonts w:hint="eastAsia" w:ascii="宋体" w:hAnsi="宋体" w:cs="宋体"/>
                <w:color w:val="auto"/>
                <w:kern w:val="0"/>
                <w:sz w:val="21"/>
                <w:szCs w:val="21"/>
                <w:highlight w:val="none"/>
              </w:rPr>
            </w:pPr>
            <w:r>
              <w:rPr>
                <w:rFonts w:hint="eastAsia" w:ascii="宋体" w:hAnsi="宋体" w:cs="宋体"/>
                <w:color w:val="auto"/>
                <w:sz w:val="21"/>
                <w:szCs w:val="21"/>
                <w:highlight w:val="none"/>
              </w:rPr>
              <w:t>总得分＝1＋2＋3</w:t>
            </w:r>
          </w:p>
        </w:tc>
      </w:tr>
    </w:tbl>
    <w:p w14:paraId="6ECAAA1B">
      <w:pPr>
        <w:spacing w:line="440" w:lineRule="exact"/>
        <w:ind w:firstLine="420" w:firstLineChars="200"/>
        <w:rPr>
          <w:rFonts w:hint="eastAsia" w:ascii="宋体" w:hAnsi="宋体" w:cs="宋体"/>
          <w:bCs/>
          <w:color w:val="auto"/>
          <w:szCs w:val="21"/>
          <w:highlight w:val="none"/>
        </w:rPr>
      </w:pPr>
    </w:p>
    <w:p w14:paraId="4D071EED">
      <w:pPr>
        <w:pStyle w:val="5"/>
        <w:spacing w:before="0" w:after="0" w:line="360" w:lineRule="auto"/>
        <w:jc w:val="center"/>
        <w:rPr>
          <w:rFonts w:hint="eastAsia" w:ascii="宋体" w:hAnsi="宋体" w:cs="宋体"/>
          <w:b w:val="0"/>
          <w:color w:val="auto"/>
          <w:highlight w:val="none"/>
        </w:rPr>
      </w:pPr>
      <w:bookmarkStart w:id="77" w:name="_Toc29129"/>
      <w:bookmarkEnd w:id="77"/>
      <w:bookmarkStart w:id="78" w:name="_Toc12815"/>
      <w:r>
        <w:rPr>
          <w:rFonts w:hint="eastAsia" w:ascii="宋体" w:hAnsi="宋体" w:cs="宋体"/>
          <w:b w:val="0"/>
          <w:color w:val="auto"/>
          <w:sz w:val="32"/>
          <w:szCs w:val="32"/>
          <w:highlight w:val="none"/>
        </w:rPr>
        <w:t>第二节 评标报告</w:t>
      </w:r>
      <w:bookmarkEnd w:id="78"/>
    </w:p>
    <w:p w14:paraId="60C4585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1.成交标准</w:t>
      </w:r>
    </w:p>
    <w:p w14:paraId="25211A73">
      <w:pPr>
        <w:spacing w:line="360" w:lineRule="auto"/>
        <w:ind w:firstLine="420" w:firstLineChars="200"/>
        <w:rPr>
          <w:rFonts w:hint="eastAsia" w:ascii="宋体" w:hAnsi="宋体" w:cs="宋体"/>
          <w:color w:val="auto"/>
          <w:sz w:val="24"/>
          <w:highlight w:val="none"/>
        </w:rPr>
      </w:pPr>
      <w:r>
        <w:rPr>
          <w:rFonts w:hint="eastAsia" w:ascii="宋体" w:hAnsi="宋体" w:cs="宋体"/>
          <w:bCs/>
          <w:color w:val="auto"/>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cs="宋体"/>
          <w:bCs/>
          <w:color w:val="auto"/>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69662E0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2.评标争议事项处理</w:t>
      </w:r>
    </w:p>
    <w:p w14:paraId="22B275C0">
      <w:pPr>
        <w:pStyle w:val="26"/>
        <w:spacing w:before="0" w:line="360" w:lineRule="auto"/>
        <w:ind w:firstLine="420"/>
        <w:rPr>
          <w:rFonts w:hint="eastAsia" w:ascii="宋体" w:hAnsi="宋体" w:cs="宋体"/>
          <w:b w:val="0"/>
          <w:color w:val="auto"/>
          <w:highlight w:val="none"/>
        </w:rPr>
      </w:pPr>
      <w:r>
        <w:rPr>
          <w:rFonts w:hint="eastAsia" w:ascii="宋体" w:hAnsi="宋体" w:cs="宋体"/>
          <w:color w:val="auto"/>
          <w:kern w:val="2"/>
          <w:sz w:val="21"/>
          <w:szCs w:val="21"/>
          <w:highlight w:val="none"/>
        </w:rPr>
        <w:t>磋商小组成员对需要共同认定的事项存在争议的，应当按照少数服从多数的原则作出结论。持不同意见的磋商小组成员应当在评标报告上签署不同意见及理由，否则视为同意评标报告。</w:t>
      </w:r>
      <w:bookmarkStart w:id="79" w:name="_Toc11092"/>
      <w:bookmarkEnd w:id="79"/>
      <w:bookmarkStart w:id="80" w:name="_Toc31856"/>
      <w:bookmarkStart w:id="81" w:name="_Toc80205936"/>
    </w:p>
    <w:p w14:paraId="32A9EEFC">
      <w:pPr>
        <w:pStyle w:val="5"/>
        <w:spacing w:before="0" w:after="0" w:line="360" w:lineRule="auto"/>
        <w:jc w:val="center"/>
        <w:rPr>
          <w:rFonts w:hint="eastAsia" w:ascii="宋体" w:hAnsi="宋体" w:cs="宋体"/>
          <w:b w:val="0"/>
          <w:color w:val="auto"/>
          <w:highlight w:val="none"/>
        </w:rPr>
      </w:pPr>
      <w:r>
        <w:rPr>
          <w:rFonts w:hint="eastAsia" w:ascii="宋体" w:hAnsi="宋体" w:cs="宋体"/>
          <w:b w:val="0"/>
          <w:color w:val="auto"/>
          <w:sz w:val="32"/>
          <w:szCs w:val="32"/>
          <w:highlight w:val="none"/>
        </w:rPr>
        <w:t>第三节 评审过程的保密与录像</w:t>
      </w:r>
      <w:bookmarkEnd w:id="80"/>
      <w:bookmarkEnd w:id="81"/>
    </w:p>
    <w:p w14:paraId="58BF4A1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1.保密。</w:t>
      </w:r>
    </w:p>
    <w:p w14:paraId="675F7DAB">
      <w:pPr>
        <w:widowControl/>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1437381D">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2.录音录像。</w:t>
      </w:r>
    </w:p>
    <w:p w14:paraId="5873777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p>
    <w:p w14:paraId="4A0CE858">
      <w:pPr>
        <w:pStyle w:val="25"/>
        <w:rPr>
          <w:rFonts w:hint="eastAsia" w:ascii="宋体" w:hAnsi="宋体" w:cs="宋体"/>
          <w:color w:val="auto"/>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643C4982">
      <w:pPr>
        <w:pStyle w:val="25"/>
        <w:rPr>
          <w:rFonts w:hint="eastAsia" w:ascii="宋体" w:hAnsi="宋体" w:cs="宋体"/>
          <w:color w:val="auto"/>
          <w:highlight w:val="none"/>
        </w:rPr>
      </w:pPr>
    </w:p>
    <w:p w14:paraId="74F668C8">
      <w:pPr>
        <w:pStyle w:val="25"/>
        <w:rPr>
          <w:rFonts w:hint="eastAsia" w:ascii="宋体" w:hAnsi="宋体" w:cs="宋体"/>
          <w:color w:val="auto"/>
          <w:highlight w:val="none"/>
        </w:rPr>
      </w:pPr>
    </w:p>
    <w:p w14:paraId="57A654D2">
      <w:pPr>
        <w:pStyle w:val="25"/>
        <w:rPr>
          <w:rFonts w:hint="eastAsia" w:ascii="宋体" w:hAnsi="宋体" w:cs="宋体"/>
          <w:color w:val="auto"/>
          <w:highlight w:val="none"/>
        </w:rPr>
      </w:pPr>
    </w:p>
    <w:p w14:paraId="2587965B">
      <w:pPr>
        <w:pStyle w:val="25"/>
        <w:rPr>
          <w:rFonts w:hint="eastAsia" w:ascii="宋体" w:hAnsi="宋体" w:cs="宋体"/>
          <w:color w:val="auto"/>
          <w:highlight w:val="none"/>
        </w:rPr>
      </w:pPr>
    </w:p>
    <w:p w14:paraId="6C9D7122">
      <w:pPr>
        <w:pStyle w:val="25"/>
        <w:outlineLvl w:val="9"/>
        <w:rPr>
          <w:rFonts w:hint="eastAsia" w:ascii="宋体" w:hAnsi="宋体" w:cs="宋体"/>
          <w:color w:val="auto"/>
          <w:highlight w:val="none"/>
        </w:rPr>
      </w:pPr>
    </w:p>
    <w:p w14:paraId="09B37C20">
      <w:pPr>
        <w:outlineLvl w:val="9"/>
        <w:rPr>
          <w:rFonts w:hint="eastAsia"/>
          <w:color w:val="auto"/>
          <w:highlight w:val="none"/>
        </w:rPr>
      </w:pPr>
    </w:p>
    <w:p w14:paraId="54387567">
      <w:pPr>
        <w:outlineLvl w:val="9"/>
        <w:rPr>
          <w:rFonts w:hint="eastAsia"/>
          <w:color w:val="auto"/>
          <w:highlight w:val="none"/>
        </w:rPr>
      </w:pPr>
    </w:p>
    <w:p w14:paraId="7FDB4544">
      <w:pPr>
        <w:outlineLvl w:val="9"/>
        <w:rPr>
          <w:rFonts w:hint="eastAsia"/>
          <w:color w:val="auto"/>
          <w:highlight w:val="none"/>
        </w:rPr>
      </w:pPr>
    </w:p>
    <w:p w14:paraId="386ABF5E">
      <w:pPr>
        <w:outlineLvl w:val="9"/>
        <w:rPr>
          <w:rFonts w:hint="eastAsia"/>
          <w:color w:val="auto"/>
          <w:highlight w:val="none"/>
        </w:rPr>
      </w:pPr>
    </w:p>
    <w:p w14:paraId="465BEAF0">
      <w:pPr>
        <w:outlineLvl w:val="9"/>
        <w:rPr>
          <w:rFonts w:hint="eastAsia"/>
          <w:color w:val="auto"/>
          <w:highlight w:val="none"/>
        </w:rPr>
      </w:pPr>
    </w:p>
    <w:p w14:paraId="0B127392">
      <w:pPr>
        <w:outlineLvl w:val="9"/>
        <w:rPr>
          <w:rFonts w:hint="eastAsia"/>
          <w:color w:val="auto"/>
          <w:highlight w:val="none"/>
        </w:rPr>
      </w:pPr>
    </w:p>
    <w:p w14:paraId="13F6C86F">
      <w:pPr>
        <w:outlineLvl w:val="9"/>
        <w:rPr>
          <w:rFonts w:hint="eastAsia"/>
          <w:color w:val="auto"/>
          <w:highlight w:val="none"/>
        </w:rPr>
      </w:pPr>
    </w:p>
    <w:p w14:paraId="66D8EC94">
      <w:pPr>
        <w:outlineLvl w:val="9"/>
        <w:rPr>
          <w:rFonts w:hint="eastAsia"/>
          <w:color w:val="auto"/>
          <w:highlight w:val="none"/>
        </w:rPr>
      </w:pPr>
    </w:p>
    <w:p w14:paraId="1D7E5D5E">
      <w:pPr>
        <w:outlineLvl w:val="9"/>
        <w:rPr>
          <w:rFonts w:hint="eastAsia"/>
          <w:color w:val="auto"/>
          <w:highlight w:val="none"/>
        </w:rPr>
      </w:pPr>
    </w:p>
    <w:p w14:paraId="0AEC6F6D">
      <w:pPr>
        <w:outlineLvl w:val="9"/>
        <w:rPr>
          <w:rFonts w:hint="eastAsia"/>
          <w:color w:val="auto"/>
          <w:highlight w:val="none"/>
        </w:rPr>
      </w:pPr>
    </w:p>
    <w:p w14:paraId="73F0E909">
      <w:pPr>
        <w:outlineLvl w:val="9"/>
        <w:rPr>
          <w:rFonts w:hint="eastAsia"/>
          <w:color w:val="auto"/>
          <w:highlight w:val="none"/>
        </w:rPr>
      </w:pPr>
    </w:p>
    <w:p w14:paraId="1488980F">
      <w:pPr>
        <w:outlineLvl w:val="9"/>
        <w:rPr>
          <w:rFonts w:hint="eastAsia"/>
          <w:color w:val="auto"/>
          <w:highlight w:val="none"/>
        </w:rPr>
      </w:pPr>
    </w:p>
    <w:p w14:paraId="16B3B747">
      <w:pPr>
        <w:outlineLvl w:val="9"/>
        <w:rPr>
          <w:rFonts w:hint="eastAsia"/>
          <w:color w:val="auto"/>
          <w:highlight w:val="none"/>
        </w:rPr>
      </w:pPr>
    </w:p>
    <w:p w14:paraId="5E38CDA3">
      <w:pPr>
        <w:outlineLvl w:val="9"/>
        <w:rPr>
          <w:rFonts w:hint="eastAsia"/>
          <w:color w:val="auto"/>
          <w:highlight w:val="none"/>
        </w:rPr>
      </w:pPr>
    </w:p>
    <w:p w14:paraId="4810AD59">
      <w:pPr>
        <w:rPr>
          <w:rFonts w:hint="eastAsia"/>
          <w:color w:val="auto"/>
          <w:highlight w:val="none"/>
        </w:rPr>
      </w:pPr>
    </w:p>
    <w:p w14:paraId="42FA9B05">
      <w:pPr>
        <w:pStyle w:val="4"/>
        <w:spacing w:before="0" w:after="0" w:line="360" w:lineRule="auto"/>
        <w:jc w:val="center"/>
        <w:rPr>
          <w:rFonts w:hint="eastAsia"/>
          <w:color w:val="auto"/>
          <w:highlight w:val="none"/>
        </w:rPr>
      </w:pPr>
      <w:r>
        <w:rPr>
          <w:rFonts w:hint="eastAsia" w:ascii="宋体" w:hAnsi="宋体" w:cs="宋体"/>
          <w:color w:val="auto"/>
          <w:highlight w:val="none"/>
          <w:lang w:val="en-US" w:eastAsia="zh-CN"/>
        </w:rPr>
        <w:t>第五章</w:t>
      </w:r>
      <w:r>
        <w:rPr>
          <w:rFonts w:hint="eastAsia" w:ascii="宋体" w:hAnsi="宋体" w:cs="宋体"/>
          <w:color w:val="auto"/>
          <w:highlight w:val="none"/>
        </w:rPr>
        <w:t xml:space="preserve"> </w:t>
      </w:r>
      <w:bookmarkStart w:id="82" w:name="_Toc18495"/>
      <w:bookmarkEnd w:id="82"/>
      <w:bookmarkStart w:id="83" w:name="_Toc26979"/>
      <w:r>
        <w:rPr>
          <w:rFonts w:hint="eastAsia" w:ascii="宋体" w:hAnsi="宋体" w:cs="宋体"/>
          <w:color w:val="auto"/>
          <w:highlight w:val="none"/>
          <w:lang w:val="en-US" w:eastAsia="zh-CN"/>
        </w:rPr>
        <w:t xml:space="preserve"> </w:t>
      </w:r>
      <w:r>
        <w:rPr>
          <w:rFonts w:hint="eastAsia" w:ascii="宋体" w:hAnsi="宋体" w:cs="宋体"/>
          <w:color w:val="auto"/>
          <w:highlight w:val="none"/>
        </w:rPr>
        <w:t>响应文件格式</w:t>
      </w:r>
      <w:bookmarkEnd w:id="83"/>
    </w:p>
    <w:p w14:paraId="75CDDE1D">
      <w:pPr>
        <w:jc w:val="center"/>
        <w:outlineLvl w:val="9"/>
        <w:rPr>
          <w:rFonts w:hint="eastAsia" w:ascii="宋体" w:hAnsi="宋体" w:cs="宋体"/>
          <w:b w:val="0"/>
          <w:color w:val="auto"/>
          <w:highlight w:val="none"/>
        </w:rPr>
      </w:pPr>
      <w:bookmarkStart w:id="84" w:name="_Toc19064"/>
      <w:bookmarkStart w:id="85" w:name="_Toc80205938"/>
    </w:p>
    <w:p w14:paraId="0D84857D">
      <w:pPr>
        <w:outlineLvl w:val="9"/>
        <w:rPr>
          <w:rFonts w:hint="eastAsia"/>
          <w:color w:val="auto"/>
          <w:highlight w:val="none"/>
        </w:rPr>
      </w:pPr>
    </w:p>
    <w:p w14:paraId="4DE4815A">
      <w:pPr>
        <w:outlineLvl w:val="9"/>
        <w:rPr>
          <w:rFonts w:hint="eastAsia"/>
          <w:color w:val="auto"/>
          <w:highlight w:val="none"/>
        </w:rPr>
      </w:pPr>
    </w:p>
    <w:p w14:paraId="48B3D51F">
      <w:pPr>
        <w:outlineLvl w:val="9"/>
        <w:rPr>
          <w:rFonts w:hint="eastAsia"/>
          <w:color w:val="auto"/>
          <w:highlight w:val="none"/>
        </w:rPr>
      </w:pPr>
    </w:p>
    <w:p w14:paraId="5B903C75">
      <w:pPr>
        <w:outlineLvl w:val="9"/>
        <w:rPr>
          <w:rFonts w:hint="eastAsia"/>
          <w:color w:val="auto"/>
          <w:highlight w:val="none"/>
        </w:rPr>
      </w:pPr>
    </w:p>
    <w:p w14:paraId="5CF0259E">
      <w:pPr>
        <w:outlineLvl w:val="9"/>
        <w:rPr>
          <w:rFonts w:hint="eastAsia"/>
          <w:color w:val="auto"/>
          <w:highlight w:val="none"/>
        </w:rPr>
      </w:pPr>
    </w:p>
    <w:p w14:paraId="0EDD3BCF">
      <w:pPr>
        <w:outlineLvl w:val="9"/>
        <w:rPr>
          <w:rFonts w:hint="eastAsia"/>
          <w:color w:val="auto"/>
          <w:highlight w:val="none"/>
        </w:rPr>
      </w:pPr>
    </w:p>
    <w:p w14:paraId="4AFB3059">
      <w:pPr>
        <w:outlineLvl w:val="9"/>
        <w:rPr>
          <w:rFonts w:hint="eastAsia"/>
          <w:color w:val="auto"/>
          <w:highlight w:val="none"/>
        </w:rPr>
      </w:pPr>
    </w:p>
    <w:p w14:paraId="7A8CD6FE">
      <w:pPr>
        <w:outlineLvl w:val="9"/>
        <w:rPr>
          <w:rFonts w:hint="eastAsia"/>
          <w:color w:val="auto"/>
          <w:highlight w:val="none"/>
        </w:rPr>
      </w:pPr>
    </w:p>
    <w:p w14:paraId="6AE41D81">
      <w:pPr>
        <w:outlineLvl w:val="9"/>
        <w:rPr>
          <w:rFonts w:hint="eastAsia"/>
          <w:color w:val="auto"/>
          <w:highlight w:val="none"/>
        </w:rPr>
      </w:pPr>
    </w:p>
    <w:p w14:paraId="2EF0E737">
      <w:pPr>
        <w:outlineLvl w:val="9"/>
        <w:rPr>
          <w:rFonts w:hint="eastAsia"/>
          <w:color w:val="auto"/>
          <w:highlight w:val="none"/>
        </w:rPr>
      </w:pPr>
    </w:p>
    <w:p w14:paraId="4383CE4D">
      <w:pPr>
        <w:outlineLvl w:val="9"/>
        <w:rPr>
          <w:rFonts w:hint="eastAsia"/>
          <w:color w:val="auto"/>
          <w:highlight w:val="none"/>
        </w:rPr>
      </w:pPr>
    </w:p>
    <w:p w14:paraId="41C99934">
      <w:pPr>
        <w:jc w:val="center"/>
        <w:outlineLvl w:val="9"/>
        <w:rPr>
          <w:rFonts w:hint="eastAsia" w:ascii="宋体" w:hAnsi="宋体" w:cs="宋体"/>
          <w:b w:val="0"/>
          <w:color w:val="auto"/>
          <w:highlight w:val="none"/>
        </w:rPr>
      </w:pPr>
    </w:p>
    <w:p w14:paraId="488C9060">
      <w:pPr>
        <w:jc w:val="center"/>
        <w:outlineLvl w:val="9"/>
        <w:rPr>
          <w:rFonts w:hint="eastAsia" w:ascii="宋体" w:hAnsi="宋体" w:cs="宋体"/>
          <w:b w:val="0"/>
          <w:color w:val="auto"/>
          <w:highlight w:val="none"/>
        </w:rPr>
      </w:pPr>
    </w:p>
    <w:p w14:paraId="787CACF8">
      <w:pPr>
        <w:pStyle w:val="5"/>
        <w:spacing w:before="0" w:after="0" w:line="360" w:lineRule="auto"/>
        <w:jc w:val="center"/>
        <w:rPr>
          <w:rFonts w:hint="eastAsia" w:ascii="宋体" w:hAnsi="宋体" w:cs="宋体"/>
          <w:b w:val="0"/>
          <w:color w:val="auto"/>
          <w:sz w:val="32"/>
          <w:szCs w:val="32"/>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304F4311">
      <w:pPr>
        <w:pStyle w:val="5"/>
        <w:spacing w:before="0" w:after="0" w:line="360" w:lineRule="auto"/>
        <w:jc w:val="center"/>
        <w:rPr>
          <w:rFonts w:hint="eastAsia" w:ascii="宋体" w:hAnsi="宋体" w:cs="宋体"/>
          <w:b w:val="0"/>
          <w:color w:val="auto"/>
          <w:highlight w:val="none"/>
        </w:rPr>
      </w:pPr>
      <w:r>
        <w:rPr>
          <w:rFonts w:hint="eastAsia" w:ascii="宋体" w:hAnsi="宋体" w:cs="宋体"/>
          <w:b w:val="0"/>
          <w:color w:val="auto"/>
          <w:sz w:val="32"/>
          <w:szCs w:val="32"/>
          <w:highlight w:val="none"/>
        </w:rPr>
        <w:t>第一节 封面格式</w:t>
      </w:r>
      <w:bookmarkEnd w:id="84"/>
      <w:bookmarkEnd w:id="85"/>
    </w:p>
    <w:p w14:paraId="60B21B88">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80704E3">
      <w:pPr>
        <w:snapToGrid w:val="0"/>
        <w:spacing w:before="120" w:beforeLines="50" w:after="50"/>
        <w:jc w:val="center"/>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563F31DC">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响  应  文  件</w:t>
      </w:r>
    </w:p>
    <w:p w14:paraId="0F2F3DEA">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532B4B53">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7A3F8C3E">
      <w:pPr>
        <w:snapToGrid w:val="0"/>
        <w:spacing w:before="120" w:beforeLines="50" w:after="5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26AB81CB">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20CD85CE">
      <w:pPr>
        <w:snapToGrid w:val="0"/>
        <w:spacing w:before="120" w:beforeLines="50" w:after="50"/>
        <w:ind w:firstLine="480" w:firstLineChars="15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042EEC58">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20006118">
      <w:pPr>
        <w:snapToGrid w:val="0"/>
        <w:spacing w:before="120" w:beforeLines="50" w:after="50"/>
        <w:ind w:firstLine="480" w:firstLineChars="15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1F7CE413">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4A6C3481">
      <w:pPr>
        <w:snapToGrid w:val="0"/>
        <w:spacing w:before="120" w:beforeLines="50" w:after="5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017C3850">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供应商名称：（电子签章，联合体竞标的为牵头人电子签章）</w:t>
      </w:r>
    </w:p>
    <w:p w14:paraId="3C43118B">
      <w:pPr>
        <w:snapToGrid w:val="0"/>
        <w:spacing w:before="120" w:beforeLines="50" w:after="5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2E15CE01">
      <w:pPr>
        <w:snapToGrid w:val="0"/>
        <w:spacing w:before="120" w:beforeLines="50" w:after="50"/>
        <w:ind w:firstLine="480" w:firstLineChars="150"/>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首次响应文件提交截止时间前不得解密</w:t>
      </w:r>
    </w:p>
    <w:p w14:paraId="12387DDF">
      <w:pPr>
        <w:snapToGrid w:val="0"/>
        <w:spacing w:before="120" w:beforeLines="50" w:after="50"/>
        <w:ind w:firstLine="5440" w:firstLineChars="1700"/>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458BF347">
      <w:pPr>
        <w:snapToGrid w:val="0"/>
        <w:spacing w:before="120" w:beforeLines="50" w:after="50"/>
        <w:ind w:firstLine="645"/>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年    月    日</w:t>
      </w:r>
    </w:p>
    <w:p w14:paraId="0E0A6BEA">
      <w:pPr>
        <w:widowControl/>
        <w:jc w:val="left"/>
        <w:rPr>
          <w:rFonts w:hint="eastAsia" w:ascii="宋体" w:hAnsi="宋体" w:cs="宋体"/>
          <w:b/>
          <w:bCs/>
          <w:color w:val="auto"/>
          <w:kern w:val="44"/>
          <w:sz w:val="44"/>
          <w:szCs w:val="4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320F2A93">
      <w:pPr>
        <w:pStyle w:val="5"/>
        <w:spacing w:before="0" w:after="0" w:line="360" w:lineRule="auto"/>
        <w:jc w:val="center"/>
        <w:rPr>
          <w:rFonts w:hint="eastAsia" w:ascii="宋体" w:hAnsi="宋体" w:cs="宋体"/>
          <w:bCs w:val="0"/>
          <w:color w:val="auto"/>
          <w:highlight w:val="none"/>
        </w:rPr>
      </w:pPr>
      <w:bookmarkStart w:id="86" w:name="_Toc18956"/>
      <w:bookmarkEnd w:id="86"/>
      <w:bookmarkStart w:id="87" w:name="_Toc23404"/>
      <w:bookmarkEnd w:id="87"/>
      <w:bookmarkStart w:id="88" w:name="_Toc80205939"/>
      <w:bookmarkStart w:id="89" w:name="_Toc19161"/>
      <w:r>
        <w:rPr>
          <w:rFonts w:hint="eastAsia" w:ascii="宋体" w:hAnsi="宋体" w:cs="宋体"/>
          <w:b w:val="0"/>
          <w:color w:val="auto"/>
          <w:sz w:val="32"/>
          <w:szCs w:val="32"/>
          <w:highlight w:val="none"/>
        </w:rPr>
        <w:t>第二节 资格证明文件格式</w:t>
      </w:r>
      <w:bookmarkEnd w:id="88"/>
      <w:bookmarkEnd w:id="89"/>
    </w:p>
    <w:p w14:paraId="32E2725B">
      <w:pPr>
        <w:snapToGrid w:val="0"/>
        <w:spacing w:before="120" w:beforeLines="50" w:after="50"/>
        <w:rPr>
          <w:rFonts w:hint="eastAsia" w:ascii="宋体" w:hAnsi="宋体" w:cs="宋体"/>
          <w:bCs/>
          <w:color w:val="auto"/>
          <w:sz w:val="32"/>
          <w:szCs w:val="32"/>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34DB7EB0">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2068381">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23854FB">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资  格  证  明  文  件（封面）</w:t>
      </w:r>
    </w:p>
    <w:p w14:paraId="6C96D878">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52371994">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4C9CABEE">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232493F8">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11332962">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59C61745">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297EEF53">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41260841">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4B0E5967">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2E67F0D">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0930E4E7">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46E44B18">
      <w:pPr>
        <w:pStyle w:val="9"/>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供应商名称：（电子签章，联合体竞标的为牵头人电子签章）</w:t>
      </w:r>
    </w:p>
    <w:p w14:paraId="22CA0765">
      <w:pPr>
        <w:pStyle w:val="9"/>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7D0D9A85">
      <w:pPr>
        <w:pStyle w:val="9"/>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13AAA9F9">
      <w:pPr>
        <w:pStyle w:val="9"/>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74EB268">
      <w:pPr>
        <w:pStyle w:val="9"/>
        <w:snapToGrid w:val="0"/>
        <w:spacing w:before="50" w:after="50"/>
        <w:ind w:firstLine="1280" w:firstLineChars="40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4E89EAE5">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1736C4CA">
      <w:pPr>
        <w:snapToGrid w:val="0"/>
        <w:spacing w:before="120" w:beforeLines="50" w:after="50" w:line="360" w:lineRule="auto"/>
        <w:jc w:val="left"/>
        <w:rPr>
          <w:rFonts w:hint="eastAsia" w:ascii="宋体" w:hAnsi="宋体" w:cs="宋体"/>
          <w:b/>
          <w:color w:val="auto"/>
          <w:kern w:val="0"/>
          <w:sz w:val="36"/>
          <w:szCs w:val="36"/>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 xml:space="preserve"> </w:t>
      </w:r>
      <w:r>
        <w:rPr>
          <w:rFonts w:hint="eastAsia" w:ascii="宋体" w:hAnsi="宋体" w:cs="宋体"/>
          <w:b/>
          <w:color w:val="auto"/>
          <w:kern w:val="0"/>
          <w:sz w:val="36"/>
          <w:szCs w:val="36"/>
          <w:highlight w:val="none"/>
        </w:rPr>
        <w:t>资格证明文件要求（目录自拟）</w:t>
      </w:r>
    </w:p>
    <w:p w14:paraId="69EF0FCE">
      <w:pPr>
        <w:pStyle w:val="10"/>
        <w:spacing w:line="400" w:lineRule="exact"/>
        <w:rPr>
          <w:rFonts w:hint="default" w:ascii="宋体" w:hAnsi="宋体" w:eastAsia="宋体" w:cs="宋体"/>
          <w:color w:val="auto"/>
          <w:highlight w:val="none"/>
          <w:lang w:val="en-US" w:eastAsia="zh-CN"/>
        </w:rPr>
      </w:pPr>
    </w:p>
    <w:p w14:paraId="4EB08E74">
      <w:pPr>
        <w:pStyle w:val="10"/>
        <w:spacing w:line="400" w:lineRule="exact"/>
        <w:rPr>
          <w:rFonts w:hint="eastAsia" w:ascii="宋体" w:hAnsi="宋体" w:cs="宋体"/>
          <w:color w:val="auto"/>
          <w:highlight w:val="none"/>
        </w:rPr>
      </w:pPr>
      <w:r>
        <w:rPr>
          <w:rFonts w:hint="eastAsia" w:ascii="宋体" w:hAnsi="宋体" w:cs="宋体"/>
          <w:color w:val="auto"/>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1A4C8F97">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.供应商依法缴纳税收的相关材料：</w:t>
      </w:r>
      <w:r>
        <w:rPr>
          <w:rFonts w:hint="eastAsia" w:ascii="宋体" w:hAnsi="宋体" w:cs="宋体"/>
          <w:color w:val="auto"/>
          <w:highlight w:val="none"/>
          <w:lang w:eastAsia="zh-CN"/>
        </w:rPr>
        <w:t>[2026年3月至2026年9月]期间任意连续 3 个月</w:t>
      </w:r>
      <w:r>
        <w:rPr>
          <w:rFonts w:hint="eastAsia" w:ascii="宋体" w:hAnsi="宋体" w:cs="宋体"/>
          <w:color w:val="auto"/>
          <w:highlight w:val="none"/>
        </w:rPr>
        <w:t>的依法缴纳税收的凭据复印件；依法免税的供应商，必须提供相应文件证明其依法免税。从取得营业执照时间起到</w:t>
      </w:r>
      <w:r>
        <w:rPr>
          <w:rFonts w:hint="eastAsia" w:ascii="宋体" w:hAnsi="宋体" w:cs="宋体"/>
          <w:color w:val="auto"/>
          <w:highlight w:val="none"/>
          <w:lang w:eastAsia="zh-CN"/>
        </w:rPr>
        <w:t>响应文件</w:t>
      </w:r>
      <w:r>
        <w:rPr>
          <w:rFonts w:hint="eastAsia" w:ascii="宋体" w:hAnsi="宋体" w:cs="宋体"/>
          <w:color w:val="auto"/>
          <w:highlight w:val="none"/>
        </w:rPr>
        <w:t>提交截止时间为止不足要求月数的，只需提供从取得营业执照起的依法缴纳税收相应证明文件；（</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5B2F1596">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lang w:val="en-US" w:eastAsia="zh-CN"/>
        </w:rPr>
        <w:t>3</w:t>
      </w:r>
      <w:r>
        <w:rPr>
          <w:rFonts w:hint="eastAsia" w:ascii="宋体" w:hAnsi="宋体" w:cs="宋体"/>
          <w:color w:val="auto"/>
          <w:highlight w:val="none"/>
        </w:rPr>
        <w:t>.供应商依法缴纳社会保障资金的相关材料：</w:t>
      </w:r>
      <w:r>
        <w:rPr>
          <w:rFonts w:hint="eastAsia" w:ascii="宋体" w:hAnsi="宋体" w:cs="宋体"/>
          <w:color w:val="auto"/>
          <w:highlight w:val="none"/>
          <w:lang w:eastAsia="zh-CN"/>
        </w:rPr>
        <w:t>[2026年3月至2026年9月]期间任意连续 3 个月</w:t>
      </w:r>
      <w:r>
        <w:rPr>
          <w:rFonts w:hint="eastAsia" w:ascii="宋体" w:hAnsi="宋体" w:cs="宋体"/>
          <w:color w:val="auto"/>
          <w:highlight w:val="none"/>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1B300E8E">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.供应商财务状况报告：提供</w:t>
      </w:r>
      <w:r>
        <w:rPr>
          <w:rFonts w:hint="eastAsia" w:ascii="宋体" w:hAnsi="宋体" w:cs="宋体"/>
          <w:color w:val="auto"/>
          <w:highlight w:val="none"/>
          <w:u w:val="single"/>
        </w:rPr>
        <w:t>2025年度</w:t>
      </w:r>
      <w:r>
        <w:rPr>
          <w:rFonts w:hint="eastAsia" w:ascii="宋体" w:hAnsi="宋体" w:cs="宋体"/>
          <w:color w:val="auto"/>
          <w:highlight w:val="none"/>
        </w:rPr>
        <w:t>财务状况报告复印件；供应商成立不满一年的应按提供首次响应文件提交截止时间上一个月的财务状况报告复印件。【上述财务状况报告包括：①供应商执行《企业会计准则》的，提供资产负债表、利润表、现金流量表、所有者权益变动表（如有）、附注，以下称“四/三表一注”；②供应商执行《小企业会计准则》的，提供资产负债表、利润表、现金流量表、附注，以下称“三表一注”；③供应商执行《政府会计制度》的，提供资产负债表、收入费用表和净资产变动表、附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08059DAF">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lang w:val="en-US" w:eastAsia="zh-CN"/>
        </w:rPr>
        <w:t>5</w:t>
      </w:r>
      <w:r>
        <w:rPr>
          <w:rFonts w:hint="eastAsia" w:ascii="宋体" w:hAnsi="宋体" w:cs="宋体"/>
          <w:color w:val="auto"/>
          <w:highlight w:val="none"/>
        </w:rPr>
        <w:t>.供应商直接控股、管理关系信息表；（</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44570054">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.资格声明；（</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4A75B2B3">
      <w:pPr>
        <w:snapToGrid w:val="0"/>
        <w:spacing w:line="400" w:lineRule="exact"/>
        <w:jc w:val="left"/>
        <w:rPr>
          <w:rFonts w:hint="eastAsia" w:ascii="宋体" w:hAnsi="宋体" w:cs="宋体"/>
          <w:color w:val="auto"/>
          <w:highlight w:val="none"/>
          <w:lang w:val="en-US" w:eastAsia="zh-CN"/>
        </w:rPr>
      </w:pPr>
      <w:r>
        <w:rPr>
          <w:rFonts w:hint="eastAsia" w:ascii="宋体" w:hAnsi="宋体" w:cs="宋体"/>
          <w:b w:val="0"/>
          <w:bCs w:val="0"/>
          <w:color w:val="auto"/>
          <w:highlight w:val="none"/>
          <w:lang w:val="en-US" w:eastAsia="zh-CN"/>
        </w:rPr>
        <w:t>7</w:t>
      </w:r>
      <w:r>
        <w:rPr>
          <w:rFonts w:hint="eastAsia" w:ascii="宋体" w:hAnsi="宋体" w:cs="宋体"/>
          <w:b w:val="0"/>
          <w:bCs w:val="0"/>
          <w:color w:val="auto"/>
          <w:highlight w:val="none"/>
        </w:rPr>
        <w:t>.本项目的特定资格要求</w:t>
      </w:r>
      <w:r>
        <w:rPr>
          <w:rFonts w:hint="eastAsia" w:ascii="宋体" w:hAnsi="宋体" w:cs="宋体"/>
          <w:color w:val="auto"/>
          <w:highlight w:val="none"/>
        </w:rPr>
        <w:t>：</w:t>
      </w:r>
      <w:r>
        <w:rPr>
          <w:rFonts w:hint="eastAsia" w:ascii="宋体" w:hAnsi="宋体"/>
          <w:b w:val="0"/>
          <w:bCs w:val="0"/>
          <w:color w:val="auto"/>
          <w:sz w:val="21"/>
          <w:szCs w:val="21"/>
          <w:highlight w:val="none"/>
        </w:rPr>
        <w:t>根据</w:t>
      </w:r>
      <w:r>
        <w:rPr>
          <w:rFonts w:hint="eastAsia" w:ascii="宋体" w:hAnsi="宋体"/>
          <w:b w:val="0"/>
          <w:bCs w:val="0"/>
          <w:color w:val="auto"/>
          <w:sz w:val="21"/>
          <w:szCs w:val="21"/>
          <w:highlight w:val="none"/>
          <w:lang w:eastAsia="zh-CN"/>
        </w:rPr>
        <w:t>《建设工程质量检测机构资质标准》（建质规〔2023〕1号）、</w:t>
      </w:r>
      <w:r>
        <w:rPr>
          <w:rFonts w:hint="eastAsia" w:ascii="宋体" w:hAnsi="宋体"/>
          <w:b w:val="0"/>
          <w:bCs w:val="0"/>
          <w:color w:val="auto"/>
          <w:sz w:val="21"/>
          <w:szCs w:val="21"/>
          <w:highlight w:val="none"/>
        </w:rPr>
        <w:t>《自治区住房城乡建设厅关于规范我区房屋安全鉴定管理有关工作的通知》（桂建发〔2022〕8号）文件，</w:t>
      </w:r>
      <w:r>
        <w:rPr>
          <w:rFonts w:hint="eastAsia" w:ascii="宋体" w:hAnsi="宋体" w:cs="宋体"/>
          <w:b w:val="0"/>
          <w:bCs w:val="0"/>
          <w:color w:val="auto"/>
          <w:sz w:val="21"/>
          <w:szCs w:val="21"/>
          <w:highlight w:val="none"/>
        </w:rPr>
        <w:t>供应商（联合体）</w:t>
      </w:r>
      <w:r>
        <w:rPr>
          <w:rFonts w:hint="eastAsia" w:ascii="宋体" w:hAnsi="宋体"/>
          <w:b w:val="0"/>
          <w:bCs w:val="0"/>
          <w:color w:val="auto"/>
          <w:sz w:val="21"/>
          <w:szCs w:val="21"/>
          <w:highlight w:val="none"/>
        </w:rPr>
        <w:t>应满足以下要求之一：（1）同时具有</w:t>
      </w:r>
      <w:r>
        <w:rPr>
          <w:rFonts w:hint="eastAsia" w:ascii="宋体" w:hAnsi="宋体"/>
          <w:b w:val="0"/>
          <w:bCs w:val="0"/>
          <w:color w:val="auto"/>
          <w:sz w:val="21"/>
          <w:szCs w:val="21"/>
          <w:highlight w:val="none"/>
          <w:lang w:eastAsia="zh-CN"/>
        </w:rPr>
        <w:t>工程设计建筑行业（或建筑工程专业）</w:t>
      </w:r>
      <w:r>
        <w:rPr>
          <w:rFonts w:hint="eastAsia" w:ascii="宋体" w:hAnsi="宋体"/>
          <w:b w:val="0"/>
          <w:bCs w:val="0"/>
          <w:color w:val="auto"/>
          <w:sz w:val="21"/>
          <w:szCs w:val="21"/>
          <w:highlight w:val="none"/>
        </w:rPr>
        <w:t>甲级资质（或工程设计综合资质）和检测</w:t>
      </w:r>
      <w:r>
        <w:rPr>
          <w:rFonts w:hint="eastAsia" w:ascii="宋体" w:hAnsi="宋体"/>
          <w:b w:val="0"/>
          <w:bCs w:val="0"/>
          <w:color w:val="auto"/>
          <w:sz w:val="21"/>
          <w:szCs w:val="21"/>
          <w:highlight w:val="none"/>
          <w:lang w:val="en-US" w:eastAsia="zh-CN"/>
        </w:rPr>
        <w:t>机构</w:t>
      </w:r>
      <w:r>
        <w:rPr>
          <w:rFonts w:hint="eastAsia" w:ascii="宋体" w:hAnsi="宋体"/>
          <w:b w:val="0"/>
          <w:bCs w:val="0"/>
          <w:color w:val="auto"/>
          <w:sz w:val="21"/>
          <w:szCs w:val="21"/>
          <w:highlight w:val="none"/>
        </w:rPr>
        <w:t>资质</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综合资质或者</w:t>
      </w:r>
      <w:r>
        <w:rPr>
          <w:rFonts w:hint="eastAsia" w:ascii="宋体" w:hAnsi="宋体" w:eastAsia="宋体" w:cs="Times New Roman"/>
          <w:b w:val="0"/>
          <w:bCs w:val="0"/>
          <w:color w:val="auto"/>
          <w:sz w:val="21"/>
          <w:szCs w:val="21"/>
          <w:highlight w:val="none"/>
          <w:lang w:val="en-US" w:eastAsia="zh-CN"/>
        </w:rPr>
        <w:t>专项资质（专项内容包括建筑材料及构配件、主体结构及装饰装修、地基基础、建筑节能）</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rPr>
        <w:t>。（2）单独具有</w:t>
      </w:r>
      <w:r>
        <w:rPr>
          <w:rFonts w:hint="eastAsia" w:ascii="宋体" w:hAnsi="宋体"/>
          <w:b w:val="0"/>
          <w:bCs w:val="0"/>
          <w:color w:val="auto"/>
          <w:sz w:val="21"/>
          <w:szCs w:val="21"/>
          <w:highlight w:val="none"/>
          <w:lang w:eastAsia="zh-CN"/>
        </w:rPr>
        <w:t>工程设计建筑行业（或建筑工程专业）</w:t>
      </w:r>
      <w:r>
        <w:rPr>
          <w:rFonts w:hint="eastAsia" w:ascii="宋体" w:hAnsi="宋体"/>
          <w:b w:val="0"/>
          <w:bCs w:val="0"/>
          <w:color w:val="auto"/>
          <w:sz w:val="21"/>
          <w:szCs w:val="21"/>
          <w:highlight w:val="none"/>
        </w:rPr>
        <w:t>甲级资质（或工程设计综合资质）或单独具有检测</w:t>
      </w:r>
      <w:r>
        <w:rPr>
          <w:rFonts w:hint="eastAsia" w:ascii="宋体" w:hAnsi="宋体"/>
          <w:b w:val="0"/>
          <w:bCs w:val="0"/>
          <w:color w:val="auto"/>
          <w:sz w:val="21"/>
          <w:szCs w:val="21"/>
          <w:highlight w:val="none"/>
          <w:lang w:val="en-US" w:eastAsia="zh-CN"/>
        </w:rPr>
        <w:t>机构</w:t>
      </w:r>
      <w:r>
        <w:rPr>
          <w:rFonts w:hint="eastAsia" w:ascii="宋体" w:hAnsi="宋体"/>
          <w:b w:val="0"/>
          <w:bCs w:val="0"/>
          <w:color w:val="auto"/>
          <w:sz w:val="21"/>
          <w:szCs w:val="21"/>
          <w:highlight w:val="none"/>
        </w:rPr>
        <w:t>资质</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综合资质或者</w:t>
      </w:r>
      <w:r>
        <w:rPr>
          <w:rFonts w:hint="eastAsia" w:ascii="宋体" w:hAnsi="宋体" w:eastAsia="宋体" w:cs="Times New Roman"/>
          <w:b w:val="0"/>
          <w:bCs w:val="0"/>
          <w:color w:val="auto"/>
          <w:sz w:val="21"/>
          <w:szCs w:val="21"/>
          <w:highlight w:val="none"/>
          <w:lang w:val="en-US" w:eastAsia="zh-CN"/>
        </w:rPr>
        <w:t>专项资质（专项内容包括建筑材料及构配件、主体结构及装饰装修、地基基础、建筑节能）</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rPr>
        <w:t>的房屋安全鉴定机构，可组成联合体开展房屋安全鉴定业务，并签订联合体协议，明确联合体牵头单位和双方责任。提供</w:t>
      </w:r>
      <w:r>
        <w:rPr>
          <w:rFonts w:hint="eastAsia" w:ascii="宋体" w:hAnsi="宋体" w:cs="宋体"/>
          <w:b w:val="0"/>
          <w:bCs w:val="0"/>
          <w:color w:val="auto"/>
          <w:sz w:val="21"/>
          <w:szCs w:val="21"/>
          <w:highlight w:val="none"/>
        </w:rPr>
        <w:t>供应商（联合体）的省级及以上建设行政主管部门颁发的工程设计资质证书（复印件）、省级及以上</w:t>
      </w:r>
      <w:r>
        <w:rPr>
          <w:rFonts w:hint="eastAsia" w:ascii="宋体" w:hAnsi="宋体" w:cs="宋体"/>
          <w:b w:val="0"/>
          <w:bCs w:val="0"/>
          <w:color w:val="auto"/>
          <w:sz w:val="21"/>
          <w:szCs w:val="21"/>
          <w:highlight w:val="none"/>
          <w:lang w:val="en-US" w:eastAsia="zh-CN"/>
        </w:rPr>
        <w:t>建设行政主管</w:t>
      </w:r>
      <w:r>
        <w:rPr>
          <w:rFonts w:hint="eastAsia" w:ascii="宋体" w:hAnsi="宋体" w:cs="宋体"/>
          <w:b w:val="0"/>
          <w:bCs w:val="0"/>
          <w:color w:val="auto"/>
          <w:sz w:val="21"/>
          <w:szCs w:val="21"/>
          <w:highlight w:val="none"/>
        </w:rPr>
        <w:t>部门颁发的</w:t>
      </w:r>
      <w:r>
        <w:rPr>
          <w:rFonts w:hint="eastAsia" w:ascii="宋体" w:hAnsi="宋体" w:eastAsia="宋体" w:cs="宋体"/>
          <w:b w:val="0"/>
          <w:bCs w:val="0"/>
          <w:color w:val="auto"/>
          <w:sz w:val="21"/>
          <w:szCs w:val="21"/>
          <w:highlight w:val="none"/>
          <w:lang w:val="en-US" w:eastAsia="zh-CN"/>
        </w:rPr>
        <w:t>建设工程质量检测机构资质证书</w:t>
      </w:r>
      <w:r>
        <w:rPr>
          <w:rFonts w:hint="eastAsia" w:ascii="宋体" w:hAnsi="宋体" w:cs="宋体"/>
          <w:b w:val="0"/>
          <w:bCs w:val="0"/>
          <w:color w:val="auto"/>
          <w:sz w:val="21"/>
          <w:szCs w:val="21"/>
          <w:highlight w:val="none"/>
        </w:rPr>
        <w:t>（复印件）</w:t>
      </w:r>
      <w:r>
        <w:rPr>
          <w:rFonts w:hint="eastAsia" w:ascii="宋体" w:hAnsi="宋体" w:cs="宋体"/>
          <w:b w:val="0"/>
          <w:bCs w:val="0"/>
          <w:color w:val="auto"/>
          <w:highlight w:val="none"/>
          <w:lang w:eastAsia="zh-CN"/>
        </w:rPr>
        <w:t>；</w:t>
      </w:r>
      <w:r>
        <w:rPr>
          <w:rFonts w:hint="eastAsia" w:ascii="宋体" w:hAnsi="宋体" w:cs="宋体"/>
          <w:color w:val="auto"/>
          <w:highlight w:val="none"/>
        </w:rPr>
        <w:t>（</w:t>
      </w:r>
      <w:r>
        <w:rPr>
          <w:rFonts w:hint="eastAsia" w:ascii="宋体" w:hAnsi="宋体" w:cs="宋体"/>
          <w:b/>
          <w:color w:val="auto"/>
          <w:highlight w:val="none"/>
        </w:rPr>
        <w:t>必须提供，否则响应文件按无效响应处理</w:t>
      </w:r>
      <w:r>
        <w:rPr>
          <w:rFonts w:hint="eastAsia" w:ascii="宋体" w:hAnsi="宋体" w:cs="宋体"/>
          <w:color w:val="auto"/>
          <w:highlight w:val="none"/>
        </w:rPr>
        <w:t>）</w:t>
      </w:r>
    </w:p>
    <w:p w14:paraId="6F1FAF47">
      <w:pPr>
        <w:snapToGrid w:val="0"/>
        <w:spacing w:line="400" w:lineRule="exact"/>
        <w:jc w:val="left"/>
        <w:rPr>
          <w:rFonts w:hint="eastAsia" w:ascii="宋体" w:hAnsi="宋体" w:cs="宋体"/>
          <w:b/>
          <w:bCs/>
          <w:color w:val="auto"/>
          <w:highlight w:val="none"/>
        </w:rPr>
      </w:pPr>
      <w:r>
        <w:rPr>
          <w:rFonts w:hint="eastAsia" w:ascii="宋体" w:hAnsi="宋体" w:cs="宋体"/>
          <w:color w:val="auto"/>
          <w:highlight w:val="none"/>
          <w:lang w:val="en-US" w:eastAsia="zh-CN"/>
        </w:rPr>
        <w:t>8</w:t>
      </w:r>
      <w:r>
        <w:rPr>
          <w:rFonts w:hint="eastAsia" w:ascii="宋体" w:hAnsi="宋体" w:cs="宋体"/>
          <w:color w:val="auto"/>
          <w:highlight w:val="none"/>
        </w:rPr>
        <w:t>.联合体协议书（格式后附）（以联合体形式参与竞标的，联合体协议书的要求必须符合本须知前附表的“5.2</w:t>
      </w:r>
      <w:r>
        <w:rPr>
          <w:rFonts w:hint="eastAsia" w:ascii="宋体" w:hAnsi="宋体" w:cs="宋体"/>
          <w:color w:val="auto"/>
          <w:highlight w:val="none"/>
        </w:rPr>
        <w:tab/>
      </w:r>
      <w:r>
        <w:rPr>
          <w:rFonts w:hint="eastAsia" w:ascii="宋体" w:hAnsi="宋体" w:cs="宋体"/>
          <w:color w:val="auto"/>
          <w:highlight w:val="none"/>
        </w:rPr>
        <w:t>联合体竞标要求”）；</w:t>
      </w:r>
      <w:r>
        <w:rPr>
          <w:rFonts w:hint="eastAsia" w:ascii="宋体" w:hAnsi="宋体" w:cs="宋体"/>
          <w:b/>
          <w:bCs/>
          <w:color w:val="auto"/>
          <w:highlight w:val="none"/>
        </w:rPr>
        <w:t>（以联合体竞标时，必须提供，否则作无效竞标处理）</w:t>
      </w:r>
    </w:p>
    <w:p w14:paraId="221AD941">
      <w:pPr>
        <w:snapToGrid w:val="0"/>
        <w:spacing w:line="400" w:lineRule="exact"/>
        <w:jc w:val="left"/>
        <w:rPr>
          <w:rFonts w:hint="eastAsia" w:ascii="宋体" w:hAnsi="宋体" w:cs="宋体"/>
          <w:color w:val="auto"/>
          <w:highlight w:val="none"/>
        </w:rPr>
      </w:pPr>
      <w:r>
        <w:rPr>
          <w:rFonts w:hint="eastAsia" w:ascii="宋体" w:hAnsi="宋体" w:cs="宋体"/>
          <w:color w:val="auto"/>
          <w:highlight w:val="none"/>
        </w:rPr>
        <w:t>9.除磋商文件规定必须提供以外，供应商认为需要提供的其他证明材料；</w:t>
      </w:r>
    </w:p>
    <w:p w14:paraId="59D47AB5">
      <w:pPr>
        <w:snapToGrid w:val="0"/>
        <w:spacing w:line="400" w:lineRule="exact"/>
        <w:jc w:val="left"/>
        <w:rPr>
          <w:rFonts w:hint="eastAsia" w:ascii="宋体" w:hAnsi="宋体" w:cs="宋体"/>
          <w:color w:val="auto"/>
          <w:kern w:val="0"/>
          <w:sz w:val="24"/>
          <w:highlight w:val="none"/>
        </w:rPr>
      </w:pPr>
      <w:r>
        <w:rPr>
          <w:rFonts w:hint="eastAsia" w:ascii="宋体" w:hAnsi="宋体" w:cs="宋体"/>
          <w:b/>
          <w:color w:val="auto"/>
          <w:highlight w:val="none"/>
        </w:rPr>
        <w:t>注：</w:t>
      </w:r>
      <w:r>
        <w:rPr>
          <w:rFonts w:hint="eastAsia" w:ascii="宋体" w:hAnsi="宋体" w:cs="宋体"/>
          <w:b/>
          <w:color w:val="auto"/>
          <w:highlight w:val="none"/>
          <w:lang w:val="en-US" w:eastAsia="zh-CN"/>
        </w:rPr>
        <w:t>1.</w:t>
      </w:r>
      <w:r>
        <w:rPr>
          <w:rFonts w:hint="eastAsia" w:ascii="宋体" w:hAnsi="宋体" w:cs="宋体"/>
          <w:b/>
          <w:color w:val="auto"/>
          <w:highlight w:val="none"/>
        </w:rPr>
        <w:t>以上标明“必须提供”的材料属于复印件</w:t>
      </w:r>
      <w:r>
        <w:rPr>
          <w:rFonts w:hint="eastAsia" w:ascii="宋体" w:hAnsi="宋体" w:cs="宋体"/>
          <w:b/>
          <w:color w:val="auto"/>
          <w:highlight w:val="none"/>
          <w:lang w:val="en-US" w:eastAsia="zh-CN"/>
        </w:rPr>
        <w:t>或</w:t>
      </w:r>
      <w:r>
        <w:rPr>
          <w:rFonts w:hint="eastAsia" w:ascii="宋体" w:hAnsi="宋体" w:cs="宋体"/>
          <w:b/>
          <w:color w:val="auto"/>
          <w:highlight w:val="none"/>
        </w:rPr>
        <w:t>扫描件的，必须加盖供应商电子公章，否则</w:t>
      </w:r>
      <w:r>
        <w:rPr>
          <w:rFonts w:hint="eastAsia" w:ascii="宋体" w:hAnsi="宋体" w:cs="宋体"/>
          <w:b/>
          <w:color w:val="auto"/>
          <w:highlight w:val="none"/>
          <w:lang w:val="en-US" w:eastAsia="zh-CN"/>
        </w:rPr>
        <w:t>不予认可，</w:t>
      </w:r>
      <w:r>
        <w:rPr>
          <w:rFonts w:hint="eastAsia" w:ascii="宋体" w:hAnsi="宋体" w:cs="宋体"/>
          <w:b/>
          <w:color w:val="auto"/>
          <w:highlight w:val="none"/>
        </w:rPr>
        <w:t>按无效响应处理。</w:t>
      </w:r>
      <w:r>
        <w:rPr>
          <w:rFonts w:hint="eastAsia" w:ascii="宋体" w:hAnsi="宋体" w:cs="宋体"/>
          <w:b/>
          <w:color w:val="auto"/>
          <w:highlight w:val="none"/>
          <w:lang w:val="en-US" w:eastAsia="zh-CN"/>
        </w:rPr>
        <w:t>2.供应商为联合体竞标的，</w:t>
      </w:r>
      <w:r>
        <w:rPr>
          <w:rFonts w:hint="eastAsia" w:ascii="宋体" w:hAnsi="宋体" w:cs="宋体"/>
          <w:b/>
          <w:color w:val="auto"/>
          <w:highlight w:val="none"/>
        </w:rPr>
        <w:t>供应商电子公章</w:t>
      </w:r>
      <w:r>
        <w:rPr>
          <w:rFonts w:hint="eastAsia" w:ascii="宋体" w:hAnsi="宋体" w:cs="宋体"/>
          <w:b/>
          <w:color w:val="auto"/>
          <w:highlight w:val="none"/>
          <w:lang w:val="en-US" w:eastAsia="zh-CN"/>
        </w:rPr>
        <w:t>可按牵头人电子章为准。</w:t>
      </w:r>
    </w:p>
    <w:p w14:paraId="7E3D0C99">
      <w:pPr>
        <w:bidi w:val="0"/>
        <w:rPr>
          <w:rFonts w:hint="eastAsia"/>
          <w:color w:val="auto"/>
          <w:highlight w:val="none"/>
        </w:rPr>
      </w:pPr>
      <w:r>
        <w:rPr>
          <w:rFonts w:hint="eastAsia" w:ascii="宋体" w:hAnsi="宋体" w:cs="宋体"/>
          <w:b/>
          <w:bCs/>
          <w:color w:val="auto"/>
          <w:highlight w:val="none"/>
        </w:rPr>
        <w:t xml:space="preserve"> </w:t>
      </w:r>
    </w:p>
    <w:p w14:paraId="7FC89069">
      <w:pPr>
        <w:bidi w:val="0"/>
        <w:rPr>
          <w:rFonts w:hint="eastAsia"/>
          <w:color w:val="auto"/>
          <w:highlight w:val="none"/>
        </w:rPr>
      </w:pPr>
    </w:p>
    <w:p w14:paraId="7A7A058C">
      <w:pPr>
        <w:bidi w:val="0"/>
        <w:rPr>
          <w:rFonts w:hint="eastAsia"/>
          <w:color w:val="auto"/>
          <w:highlight w:val="none"/>
        </w:rPr>
      </w:pPr>
    </w:p>
    <w:p w14:paraId="62CDF1FC">
      <w:pPr>
        <w:bidi w:val="0"/>
        <w:rPr>
          <w:rFonts w:hint="eastAsia"/>
          <w:color w:val="auto"/>
          <w:highlight w:val="none"/>
        </w:rPr>
      </w:pPr>
    </w:p>
    <w:p w14:paraId="3EA81936">
      <w:pPr>
        <w:bidi w:val="0"/>
        <w:jc w:val="center"/>
        <w:rPr>
          <w:rFonts w:hint="eastAsia"/>
          <w:b/>
          <w:bCs/>
          <w:color w:val="auto"/>
          <w:sz w:val="28"/>
          <w:szCs w:val="36"/>
          <w:highlight w:val="none"/>
          <w:lang w:val="en-US" w:eastAsia="zh-CN"/>
        </w:rPr>
      </w:pPr>
      <w:r>
        <w:rPr>
          <w:rFonts w:hint="eastAsia"/>
          <w:b/>
          <w:bCs/>
          <w:color w:val="auto"/>
          <w:sz w:val="28"/>
          <w:szCs w:val="36"/>
          <w:highlight w:val="none"/>
          <w:lang w:val="en-US" w:eastAsia="zh-CN"/>
        </w:rPr>
        <w:t>备注：联合体竞标时，</w:t>
      </w:r>
      <w:r>
        <w:rPr>
          <w:rFonts w:hint="eastAsia"/>
          <w:b/>
          <w:bCs/>
          <w:color w:val="auto"/>
          <w:sz w:val="28"/>
          <w:szCs w:val="36"/>
          <w:highlight w:val="none"/>
        </w:rPr>
        <w:t>供应商名称</w:t>
      </w:r>
      <w:r>
        <w:rPr>
          <w:rFonts w:hint="eastAsia"/>
          <w:b/>
          <w:bCs/>
          <w:color w:val="auto"/>
          <w:sz w:val="28"/>
          <w:szCs w:val="36"/>
          <w:highlight w:val="none"/>
          <w:lang w:val="en-US" w:eastAsia="zh-CN"/>
        </w:rPr>
        <w:t>应为联合体的名称。</w:t>
      </w:r>
    </w:p>
    <w:p w14:paraId="4B9ABE24">
      <w:pPr>
        <w:bidi w:val="0"/>
        <w:rPr>
          <w:rFonts w:hint="eastAsia"/>
          <w:color w:val="auto"/>
          <w:highlight w:val="none"/>
        </w:rPr>
      </w:pPr>
    </w:p>
    <w:p w14:paraId="34C9F72C">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0F5EDA3D">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0B070140">
      <w:pPr>
        <w:spacing w:line="300" w:lineRule="auto"/>
        <w:rPr>
          <w:rFonts w:hint="eastAsia" w:ascii="宋体" w:hAnsi="宋体" w:cs="宋体"/>
          <w:b/>
          <w:bCs/>
          <w:color w:val="auto"/>
          <w:highlight w:val="none"/>
        </w:rPr>
      </w:pPr>
      <w:r>
        <w:rPr>
          <w:rFonts w:hint="eastAsia" w:ascii="宋体" w:hAnsi="宋体" w:cs="宋体"/>
          <w:b/>
          <w:bCs/>
          <w:color w:val="auto"/>
          <w:highlight w:val="none"/>
        </w:rPr>
        <w:t xml:space="preserve"> </w:t>
      </w:r>
    </w:p>
    <w:p w14:paraId="64BDEA82">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5A7894E9">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1D4BD2A5">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24E2F911">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4653BD99">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55484A85">
      <w:pPr>
        <w:spacing w:line="300" w:lineRule="auto"/>
        <w:rPr>
          <w:rFonts w:hint="eastAsia" w:ascii="宋体" w:hAnsi="宋体" w:cs="宋体"/>
          <w:color w:val="auto"/>
          <w:highlight w:val="none"/>
        </w:rPr>
      </w:pPr>
      <w:r>
        <w:rPr>
          <w:rFonts w:hint="eastAsia" w:ascii="宋体" w:hAnsi="宋体" w:cs="宋体"/>
          <w:color w:val="auto"/>
          <w:highlight w:val="none"/>
        </w:rPr>
        <w:t xml:space="preserve"> </w:t>
      </w:r>
    </w:p>
    <w:p w14:paraId="4DB67EC8">
      <w:pPr>
        <w:pStyle w:val="14"/>
        <w:spacing w:line="360" w:lineRule="auto"/>
        <w:ind w:firstLine="400" w:firstLineChars="200"/>
        <w:rPr>
          <w:rFonts w:hint="eastAsia" w:hAnsi="宋体" w:cs="宋体"/>
          <w:b/>
          <w:color w:val="auto"/>
          <w:sz w:val="30"/>
          <w:szCs w:val="30"/>
          <w:highlight w:val="none"/>
        </w:rPr>
      </w:pPr>
      <w:r>
        <w:rPr>
          <w:rFonts w:hint="eastAsia" w:hAnsi="宋体" w:cs="宋体"/>
          <w:color w:val="auto"/>
          <w:highlight w:val="none"/>
        </w:rPr>
        <w:br w:type="page"/>
      </w:r>
      <w:r>
        <w:rPr>
          <w:rFonts w:hint="eastAsia" w:hAnsi="宋体" w:cs="宋体"/>
          <w:color w:val="auto"/>
          <w:highlight w:val="none"/>
        </w:rPr>
        <w:t xml:space="preserve">   </w:t>
      </w:r>
      <w:r>
        <w:rPr>
          <w:rFonts w:hint="eastAsia" w:hAnsi="宋体" w:cs="宋体"/>
          <w:b/>
          <w:color w:val="auto"/>
          <w:sz w:val="30"/>
          <w:szCs w:val="30"/>
          <w:highlight w:val="none"/>
        </w:rPr>
        <w:t>一、营业执照(或事业法人登记证或其他工商等登记证明材料)复印件（供应商为自然人的，提供自然人的身份证明）</w:t>
      </w:r>
    </w:p>
    <w:p w14:paraId="2D954FBE">
      <w:pPr>
        <w:autoSpaceDE w:val="0"/>
        <w:autoSpaceDN w:val="0"/>
        <w:spacing w:line="360" w:lineRule="auto"/>
        <w:rPr>
          <w:rFonts w:hint="eastAsia" w:ascii="宋体" w:hAnsi="宋体" w:cs="宋体"/>
          <w:color w:val="auto"/>
          <w:highlight w:val="none"/>
        </w:rPr>
      </w:pPr>
      <w:r>
        <w:rPr>
          <w:rFonts w:hint="eastAsia" w:ascii="宋体" w:hAnsi="宋体" w:cs="宋体"/>
          <w:color w:val="auto"/>
          <w:highlight w:val="none"/>
        </w:rPr>
        <w:t>（按采购文件要求提供材料复印件）（</w:t>
      </w:r>
      <w:r>
        <w:rPr>
          <w:rFonts w:hint="eastAsia" w:ascii="宋体" w:hAnsi="宋体" w:cs="宋体"/>
          <w:color w:val="auto"/>
          <w:highlight w:val="none"/>
          <w:lang w:val="en-US" w:eastAsia="zh-CN"/>
        </w:rPr>
        <w:t>联合体竞标时</w:t>
      </w:r>
      <w:r>
        <w:rPr>
          <w:rFonts w:hint="eastAsia" w:ascii="宋体" w:hAnsi="宋体" w:cs="宋体"/>
          <w:color w:val="auto"/>
          <w:highlight w:val="none"/>
        </w:rPr>
        <w:t>联合体各方均需提供）</w:t>
      </w:r>
    </w:p>
    <w:p w14:paraId="19BA1807">
      <w:pPr>
        <w:autoSpaceDE w:val="0"/>
        <w:autoSpaceDN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760E082">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9403D64">
      <w:pPr>
        <w:snapToGrid w:val="0"/>
        <w:ind w:firstLine="596" w:firstLineChars="198"/>
        <w:rPr>
          <w:rFonts w:hint="eastAsia" w:ascii="宋体" w:hAnsi="宋体" w:cs="宋体"/>
          <w:b/>
          <w:color w:val="auto"/>
          <w:kern w:val="0"/>
          <w:sz w:val="30"/>
          <w:szCs w:val="30"/>
          <w:highlight w:val="none"/>
        </w:rPr>
      </w:pPr>
      <w:r>
        <w:rPr>
          <w:rFonts w:hint="eastAsia" w:hAnsi="宋体" w:cs="宋体"/>
          <w:b/>
          <w:color w:val="auto"/>
          <w:sz w:val="30"/>
          <w:szCs w:val="30"/>
          <w:highlight w:val="none"/>
          <w:lang w:val="en-US" w:eastAsia="zh-CN"/>
        </w:rPr>
        <w:t>二</w:t>
      </w:r>
      <w:r>
        <w:rPr>
          <w:rFonts w:hint="eastAsia" w:hAnsi="宋体" w:cs="宋体"/>
          <w:b/>
          <w:color w:val="auto"/>
          <w:sz w:val="30"/>
          <w:szCs w:val="30"/>
          <w:highlight w:val="none"/>
        </w:rPr>
        <w:t>、供应商依法缴纳税收的相关材料</w:t>
      </w:r>
    </w:p>
    <w:p w14:paraId="14C3BBB9">
      <w:pPr>
        <w:pStyle w:val="14"/>
        <w:spacing w:line="360" w:lineRule="auto"/>
        <w:ind w:firstLine="602" w:firstLineChars="200"/>
        <w:rPr>
          <w:rFonts w:hint="eastAsia" w:hAnsi="宋体" w:cs="宋体"/>
          <w:b/>
          <w:color w:val="auto"/>
          <w:sz w:val="30"/>
          <w:szCs w:val="30"/>
          <w:highlight w:val="none"/>
        </w:rPr>
      </w:pPr>
    </w:p>
    <w:p w14:paraId="3B40B942">
      <w:pPr>
        <w:spacing w:line="300" w:lineRule="auto"/>
        <w:rPr>
          <w:rFonts w:ascii="宋体" w:hAnsi="宋体" w:cs="宋体"/>
          <w:color w:val="auto"/>
          <w:szCs w:val="21"/>
          <w:highlight w:val="none"/>
        </w:rPr>
      </w:pPr>
      <w:r>
        <w:rPr>
          <w:rFonts w:hint="eastAsia" w:ascii="宋体" w:hAnsi="宋体" w:cs="宋体"/>
          <w:color w:val="auto"/>
          <w:highlight w:val="none"/>
        </w:rPr>
        <w:t xml:space="preserve"> （按采购文件要求提供材料复印件）（</w:t>
      </w:r>
      <w:r>
        <w:rPr>
          <w:rFonts w:hint="eastAsia" w:ascii="宋体" w:hAnsi="宋体" w:cs="宋体"/>
          <w:color w:val="auto"/>
          <w:highlight w:val="none"/>
          <w:lang w:val="en-US" w:eastAsia="zh-CN"/>
        </w:rPr>
        <w:t>联合体竞标时</w:t>
      </w:r>
      <w:r>
        <w:rPr>
          <w:rFonts w:hint="eastAsia" w:ascii="宋体" w:hAnsi="宋体" w:cs="宋体"/>
          <w:color w:val="auto"/>
          <w:highlight w:val="none"/>
        </w:rPr>
        <w:t>联合体各方均需提供）</w:t>
      </w:r>
    </w:p>
    <w:p w14:paraId="66E5053E">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01E70F2">
      <w:pPr>
        <w:snapToGrid w:val="0"/>
        <w:ind w:firstLine="415" w:firstLineChars="198"/>
        <w:rPr>
          <w:rFonts w:hint="eastAsia" w:ascii="宋体" w:hAnsi="宋体" w:cs="宋体"/>
          <w:b/>
          <w:color w:val="auto"/>
          <w:kern w:val="0"/>
          <w:sz w:val="30"/>
          <w:szCs w:val="30"/>
          <w:highlight w:val="none"/>
        </w:rPr>
      </w:pPr>
      <w:r>
        <w:rPr>
          <w:rFonts w:hint="eastAsia" w:ascii="宋体" w:hAnsi="宋体" w:cs="宋体"/>
          <w:color w:val="auto"/>
          <w:highlight w:val="none"/>
        </w:rPr>
        <w:t xml:space="preserve"> </w:t>
      </w:r>
      <w:r>
        <w:rPr>
          <w:rFonts w:hint="eastAsia" w:hAnsi="宋体" w:cs="宋体"/>
          <w:b/>
          <w:color w:val="auto"/>
          <w:sz w:val="30"/>
          <w:szCs w:val="30"/>
          <w:highlight w:val="none"/>
          <w:lang w:val="en-US" w:eastAsia="zh-CN"/>
        </w:rPr>
        <w:t>三</w:t>
      </w:r>
      <w:r>
        <w:rPr>
          <w:rFonts w:hint="eastAsia" w:hAnsi="宋体" w:cs="宋体"/>
          <w:b/>
          <w:color w:val="auto"/>
          <w:sz w:val="30"/>
          <w:szCs w:val="30"/>
          <w:highlight w:val="none"/>
        </w:rPr>
        <w:t>、供应商依法缴纳社会保障资金的相关材料</w:t>
      </w:r>
    </w:p>
    <w:p w14:paraId="44E91358">
      <w:pPr>
        <w:pStyle w:val="14"/>
        <w:spacing w:line="360" w:lineRule="auto"/>
        <w:ind w:firstLine="602" w:firstLineChars="200"/>
        <w:rPr>
          <w:rFonts w:hint="eastAsia" w:hAnsi="宋体" w:cs="宋体"/>
          <w:b/>
          <w:color w:val="auto"/>
          <w:sz w:val="30"/>
          <w:szCs w:val="30"/>
          <w:highlight w:val="none"/>
        </w:rPr>
      </w:pPr>
    </w:p>
    <w:p w14:paraId="6CD9B196">
      <w:pPr>
        <w:spacing w:line="300" w:lineRule="auto"/>
        <w:rPr>
          <w:rFonts w:ascii="宋体" w:hAnsi="宋体" w:cs="宋体"/>
          <w:color w:val="auto"/>
          <w:szCs w:val="21"/>
          <w:highlight w:val="none"/>
        </w:rPr>
      </w:pPr>
      <w:r>
        <w:rPr>
          <w:rFonts w:hint="eastAsia" w:ascii="宋体" w:hAnsi="宋体" w:cs="宋体"/>
          <w:color w:val="auto"/>
          <w:highlight w:val="none"/>
        </w:rPr>
        <w:t xml:space="preserve"> （按采购文件要求提供材料复印件）（</w:t>
      </w:r>
      <w:r>
        <w:rPr>
          <w:rFonts w:hint="eastAsia" w:ascii="宋体" w:hAnsi="宋体" w:cs="宋体"/>
          <w:color w:val="auto"/>
          <w:highlight w:val="none"/>
          <w:lang w:val="en-US" w:eastAsia="zh-CN"/>
        </w:rPr>
        <w:t>联合体竞标时</w:t>
      </w:r>
      <w:r>
        <w:rPr>
          <w:rFonts w:hint="eastAsia" w:ascii="宋体" w:hAnsi="宋体" w:cs="宋体"/>
          <w:color w:val="auto"/>
          <w:highlight w:val="none"/>
        </w:rPr>
        <w:t>联合体各方均需提供）</w:t>
      </w:r>
    </w:p>
    <w:p w14:paraId="3A3B2C9D">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3F78AF6">
      <w:pPr>
        <w:spacing w:line="300" w:lineRule="auto"/>
        <w:rPr>
          <w:rFonts w:hint="eastAsia" w:ascii="宋体" w:hAnsi="宋体" w:cs="宋体"/>
          <w:color w:val="auto"/>
          <w:szCs w:val="21"/>
          <w:highlight w:val="none"/>
        </w:rPr>
      </w:pPr>
    </w:p>
    <w:p w14:paraId="6E09E0D2">
      <w:pPr>
        <w:snapToGrid w:val="0"/>
        <w:ind w:firstLine="596" w:firstLineChars="198"/>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lang w:val="en-US" w:eastAsia="zh-CN"/>
        </w:rPr>
        <w:t>四</w:t>
      </w:r>
      <w:r>
        <w:rPr>
          <w:rFonts w:hint="eastAsia" w:ascii="宋体" w:hAnsi="宋体" w:cs="宋体"/>
          <w:b/>
          <w:color w:val="auto"/>
          <w:kern w:val="0"/>
          <w:sz w:val="30"/>
          <w:szCs w:val="30"/>
          <w:highlight w:val="none"/>
        </w:rPr>
        <w:t>、财务状况报告方面的材料</w:t>
      </w:r>
    </w:p>
    <w:p w14:paraId="0038E9E1">
      <w:pPr>
        <w:spacing w:line="300" w:lineRule="auto"/>
        <w:ind w:firstLine="596" w:firstLineChars="198"/>
        <w:rPr>
          <w:rFonts w:hint="eastAsia" w:ascii="宋体" w:hAnsi="宋体" w:cs="宋体"/>
          <w:b/>
          <w:color w:val="auto"/>
          <w:kern w:val="0"/>
          <w:sz w:val="30"/>
          <w:szCs w:val="30"/>
          <w:highlight w:val="none"/>
        </w:rPr>
      </w:pPr>
    </w:p>
    <w:p w14:paraId="55DD1702">
      <w:pPr>
        <w:spacing w:line="300" w:lineRule="auto"/>
        <w:rPr>
          <w:rFonts w:hint="eastAsia" w:ascii="宋体" w:hAnsi="宋体" w:cs="宋体"/>
          <w:color w:val="auto"/>
          <w:szCs w:val="21"/>
          <w:highlight w:val="none"/>
        </w:rPr>
      </w:pPr>
      <w:r>
        <w:rPr>
          <w:rFonts w:hint="eastAsia" w:ascii="宋体" w:hAnsi="宋体" w:cs="宋体"/>
          <w:color w:val="auto"/>
          <w:highlight w:val="none"/>
        </w:rPr>
        <w:t>（按采购文件要求提供材料复印件）（</w:t>
      </w:r>
      <w:r>
        <w:rPr>
          <w:rFonts w:hint="eastAsia" w:ascii="宋体" w:hAnsi="宋体" w:cs="宋体"/>
          <w:color w:val="auto"/>
          <w:highlight w:val="none"/>
          <w:lang w:val="en-US" w:eastAsia="zh-CN"/>
        </w:rPr>
        <w:t>联合体竞标时</w:t>
      </w:r>
      <w:r>
        <w:rPr>
          <w:rFonts w:hint="eastAsia" w:ascii="宋体" w:hAnsi="宋体" w:cs="宋体"/>
          <w:color w:val="auto"/>
          <w:highlight w:val="none"/>
        </w:rPr>
        <w:t>联合体各方均需提供）</w:t>
      </w:r>
    </w:p>
    <w:p w14:paraId="4FCCBF89">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C0BC034">
      <w:pPr>
        <w:spacing w:line="320" w:lineRule="exact"/>
        <w:jc w:val="left"/>
        <w:rPr>
          <w:rFonts w:hint="eastAsia" w:ascii="宋体" w:hAnsi="宋体" w:cs="宋体"/>
          <w:color w:val="auto"/>
          <w:szCs w:val="21"/>
          <w:highlight w:val="none"/>
        </w:rPr>
      </w:pPr>
      <w:r>
        <w:rPr>
          <w:rFonts w:hint="eastAsia" w:ascii="宋体" w:hAnsi="宋体" w:cs="宋体"/>
          <w:color w:val="auto"/>
          <w:highlight w:val="none"/>
        </w:rPr>
        <w:t xml:space="preserve"> </w:t>
      </w:r>
    </w:p>
    <w:p w14:paraId="66770045">
      <w:pPr>
        <w:snapToGrid w:val="0"/>
        <w:spacing w:before="120" w:beforeLines="50" w:after="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 xml:space="preserve"> </w:t>
      </w:r>
    </w:p>
    <w:p w14:paraId="1F17AA25">
      <w:pPr>
        <w:spacing w:line="360" w:lineRule="auto"/>
        <w:ind w:firstLine="596" w:firstLineChars="198"/>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lang w:val="en-US" w:eastAsia="zh-CN"/>
        </w:rPr>
        <w:t>五</w:t>
      </w:r>
      <w:r>
        <w:rPr>
          <w:rFonts w:hint="eastAsia" w:ascii="宋体" w:hAnsi="宋体" w:cs="宋体"/>
          <w:b/>
          <w:color w:val="auto"/>
          <w:kern w:val="0"/>
          <w:sz w:val="30"/>
          <w:szCs w:val="30"/>
          <w:highlight w:val="none"/>
        </w:rPr>
        <w:t>、供应商直接控股股东信息</w:t>
      </w:r>
    </w:p>
    <w:p w14:paraId="139C64D3">
      <w:pPr>
        <w:spacing w:line="360" w:lineRule="auto"/>
        <w:jc w:val="center"/>
        <w:rPr>
          <w:rFonts w:hint="eastAsia" w:ascii="宋体" w:hAnsi="宋体" w:cs="宋体"/>
          <w:b/>
          <w:color w:val="auto"/>
          <w:sz w:val="24"/>
          <w:highlight w:val="none"/>
        </w:rPr>
      </w:pPr>
    </w:p>
    <w:tbl>
      <w:tblPr>
        <w:tblStyle w:val="21"/>
        <w:tblW w:w="4998" w:type="pct"/>
        <w:jc w:val="center"/>
        <w:tblLayout w:type="autofit"/>
        <w:tblCellMar>
          <w:top w:w="0" w:type="dxa"/>
          <w:left w:w="0" w:type="dxa"/>
          <w:bottom w:w="0" w:type="dxa"/>
          <w:right w:w="0" w:type="dxa"/>
        </w:tblCellMar>
      </w:tblPr>
      <w:tblGrid>
        <w:gridCol w:w="884"/>
        <w:gridCol w:w="2674"/>
        <w:gridCol w:w="1465"/>
        <w:gridCol w:w="3368"/>
        <w:gridCol w:w="875"/>
      </w:tblGrid>
      <w:tr w14:paraId="536DE014">
        <w:tblPrEx>
          <w:tblCellMar>
            <w:top w:w="0" w:type="dxa"/>
            <w:left w:w="0" w:type="dxa"/>
            <w:bottom w:w="0" w:type="dxa"/>
            <w:right w:w="0" w:type="dxa"/>
          </w:tblCellMar>
        </w:tblPrEx>
        <w:trPr>
          <w:jc w:val="center"/>
        </w:trPr>
        <w:tc>
          <w:tcPr>
            <w:tcW w:w="477"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2D30071">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144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40E6A465">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790"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B1FDC5A">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1816"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3A51EFC0">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47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52DD83E4">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11A15A4">
        <w:tblPrEx>
          <w:tblCellMar>
            <w:top w:w="0" w:type="dxa"/>
            <w:left w:w="0" w:type="dxa"/>
            <w:bottom w:w="0" w:type="dxa"/>
            <w:right w:w="0" w:type="dxa"/>
          </w:tblCellMar>
        </w:tblPrEx>
        <w:trPr>
          <w:jc w:val="center"/>
        </w:trPr>
        <w:tc>
          <w:tcPr>
            <w:tcW w:w="477"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C5F812C">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144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7224A903">
            <w:pPr>
              <w:widowControl/>
              <w:spacing w:line="360" w:lineRule="auto"/>
              <w:jc w:val="center"/>
              <w:rPr>
                <w:rFonts w:hint="eastAsia" w:ascii="宋体" w:hAnsi="宋体" w:cs="宋体"/>
                <w:color w:val="auto"/>
                <w:kern w:val="0"/>
                <w:sz w:val="24"/>
                <w:highlight w:val="none"/>
              </w:rPr>
            </w:pPr>
          </w:p>
        </w:tc>
        <w:tc>
          <w:tcPr>
            <w:tcW w:w="790"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49765559">
            <w:pPr>
              <w:widowControl/>
              <w:spacing w:line="360" w:lineRule="auto"/>
              <w:jc w:val="center"/>
              <w:rPr>
                <w:rFonts w:hint="eastAsia" w:ascii="宋体" w:hAnsi="宋体" w:cs="宋体"/>
                <w:color w:val="auto"/>
                <w:kern w:val="0"/>
                <w:sz w:val="24"/>
                <w:highlight w:val="none"/>
              </w:rPr>
            </w:pPr>
          </w:p>
        </w:tc>
        <w:tc>
          <w:tcPr>
            <w:tcW w:w="1816"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64079AB4">
            <w:pPr>
              <w:widowControl/>
              <w:spacing w:line="360" w:lineRule="auto"/>
              <w:jc w:val="center"/>
              <w:rPr>
                <w:rFonts w:hint="eastAsia" w:ascii="宋体" w:hAnsi="宋体" w:cs="宋体"/>
                <w:color w:val="auto"/>
                <w:kern w:val="0"/>
                <w:sz w:val="24"/>
                <w:highlight w:val="none"/>
              </w:rPr>
            </w:pPr>
          </w:p>
        </w:tc>
        <w:tc>
          <w:tcPr>
            <w:tcW w:w="47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1BE4A9DD">
            <w:pPr>
              <w:widowControl/>
              <w:spacing w:line="360" w:lineRule="auto"/>
              <w:jc w:val="center"/>
              <w:rPr>
                <w:rFonts w:hint="eastAsia" w:ascii="宋体" w:hAnsi="宋体" w:cs="宋体"/>
                <w:color w:val="auto"/>
                <w:kern w:val="0"/>
                <w:sz w:val="24"/>
                <w:highlight w:val="none"/>
              </w:rPr>
            </w:pPr>
          </w:p>
        </w:tc>
      </w:tr>
      <w:tr w14:paraId="33DBBF15">
        <w:tblPrEx>
          <w:tblCellMar>
            <w:top w:w="0" w:type="dxa"/>
            <w:left w:w="0" w:type="dxa"/>
            <w:bottom w:w="0" w:type="dxa"/>
            <w:right w:w="0" w:type="dxa"/>
          </w:tblCellMar>
        </w:tblPrEx>
        <w:trPr>
          <w:jc w:val="center"/>
        </w:trPr>
        <w:tc>
          <w:tcPr>
            <w:tcW w:w="477"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973452C">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144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4098C1E8">
            <w:pPr>
              <w:widowControl/>
              <w:spacing w:line="360" w:lineRule="auto"/>
              <w:jc w:val="center"/>
              <w:rPr>
                <w:rFonts w:hint="eastAsia" w:ascii="宋体" w:hAnsi="宋体" w:cs="宋体"/>
                <w:color w:val="auto"/>
                <w:kern w:val="0"/>
                <w:sz w:val="24"/>
                <w:highlight w:val="none"/>
              </w:rPr>
            </w:pPr>
          </w:p>
        </w:tc>
        <w:tc>
          <w:tcPr>
            <w:tcW w:w="790"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6D79498D">
            <w:pPr>
              <w:widowControl/>
              <w:spacing w:line="360" w:lineRule="auto"/>
              <w:jc w:val="center"/>
              <w:rPr>
                <w:rFonts w:hint="eastAsia" w:ascii="宋体" w:hAnsi="宋体" w:cs="宋体"/>
                <w:color w:val="auto"/>
                <w:kern w:val="0"/>
                <w:sz w:val="24"/>
                <w:highlight w:val="none"/>
              </w:rPr>
            </w:pPr>
          </w:p>
        </w:tc>
        <w:tc>
          <w:tcPr>
            <w:tcW w:w="1816"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77F2E59E">
            <w:pPr>
              <w:widowControl/>
              <w:spacing w:line="360" w:lineRule="auto"/>
              <w:jc w:val="center"/>
              <w:rPr>
                <w:rFonts w:hint="eastAsia" w:ascii="宋体" w:hAnsi="宋体" w:cs="宋体"/>
                <w:color w:val="auto"/>
                <w:kern w:val="0"/>
                <w:sz w:val="24"/>
                <w:highlight w:val="none"/>
              </w:rPr>
            </w:pPr>
          </w:p>
        </w:tc>
        <w:tc>
          <w:tcPr>
            <w:tcW w:w="47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F45AB4D">
            <w:pPr>
              <w:widowControl/>
              <w:spacing w:line="360" w:lineRule="auto"/>
              <w:jc w:val="center"/>
              <w:rPr>
                <w:rFonts w:hint="eastAsia" w:ascii="宋体" w:hAnsi="宋体" w:cs="宋体"/>
                <w:color w:val="auto"/>
                <w:kern w:val="0"/>
                <w:sz w:val="24"/>
                <w:highlight w:val="none"/>
              </w:rPr>
            </w:pPr>
          </w:p>
        </w:tc>
      </w:tr>
      <w:tr w14:paraId="413106F3">
        <w:tblPrEx>
          <w:tblCellMar>
            <w:top w:w="0" w:type="dxa"/>
            <w:left w:w="0" w:type="dxa"/>
            <w:bottom w:w="0" w:type="dxa"/>
            <w:right w:w="0" w:type="dxa"/>
          </w:tblCellMar>
        </w:tblPrEx>
        <w:trPr>
          <w:jc w:val="center"/>
        </w:trPr>
        <w:tc>
          <w:tcPr>
            <w:tcW w:w="477"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ED74120">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144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165924C6">
            <w:pPr>
              <w:widowControl/>
              <w:spacing w:line="360" w:lineRule="auto"/>
              <w:jc w:val="center"/>
              <w:rPr>
                <w:rFonts w:hint="eastAsia" w:ascii="宋体" w:hAnsi="宋体" w:cs="宋体"/>
                <w:color w:val="auto"/>
                <w:kern w:val="0"/>
                <w:sz w:val="24"/>
                <w:highlight w:val="none"/>
              </w:rPr>
            </w:pPr>
          </w:p>
        </w:tc>
        <w:tc>
          <w:tcPr>
            <w:tcW w:w="790"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466545BE">
            <w:pPr>
              <w:widowControl/>
              <w:spacing w:line="360" w:lineRule="auto"/>
              <w:jc w:val="center"/>
              <w:rPr>
                <w:rFonts w:hint="eastAsia" w:ascii="宋体" w:hAnsi="宋体" w:cs="宋体"/>
                <w:color w:val="auto"/>
                <w:kern w:val="0"/>
                <w:sz w:val="24"/>
                <w:highlight w:val="none"/>
              </w:rPr>
            </w:pPr>
          </w:p>
        </w:tc>
        <w:tc>
          <w:tcPr>
            <w:tcW w:w="1816"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7D93D9E9">
            <w:pPr>
              <w:widowControl/>
              <w:spacing w:line="360" w:lineRule="auto"/>
              <w:jc w:val="center"/>
              <w:rPr>
                <w:rFonts w:hint="eastAsia" w:ascii="宋体" w:hAnsi="宋体" w:cs="宋体"/>
                <w:color w:val="auto"/>
                <w:kern w:val="0"/>
                <w:sz w:val="24"/>
                <w:highlight w:val="none"/>
              </w:rPr>
            </w:pPr>
          </w:p>
        </w:tc>
        <w:tc>
          <w:tcPr>
            <w:tcW w:w="47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35CCB1A4">
            <w:pPr>
              <w:widowControl/>
              <w:spacing w:line="360" w:lineRule="auto"/>
              <w:jc w:val="center"/>
              <w:rPr>
                <w:rFonts w:hint="eastAsia" w:ascii="宋体" w:hAnsi="宋体" w:cs="宋体"/>
                <w:color w:val="auto"/>
                <w:kern w:val="0"/>
                <w:sz w:val="24"/>
                <w:highlight w:val="none"/>
              </w:rPr>
            </w:pPr>
          </w:p>
        </w:tc>
      </w:tr>
      <w:tr w14:paraId="1AC011D7">
        <w:tblPrEx>
          <w:tblCellMar>
            <w:top w:w="0" w:type="dxa"/>
            <w:left w:w="0" w:type="dxa"/>
            <w:bottom w:w="0" w:type="dxa"/>
            <w:right w:w="0" w:type="dxa"/>
          </w:tblCellMar>
        </w:tblPrEx>
        <w:trPr>
          <w:jc w:val="center"/>
        </w:trPr>
        <w:tc>
          <w:tcPr>
            <w:tcW w:w="477"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D484161">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144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1FB1F811">
            <w:pPr>
              <w:widowControl/>
              <w:spacing w:line="360" w:lineRule="auto"/>
              <w:jc w:val="center"/>
              <w:rPr>
                <w:rFonts w:hint="eastAsia" w:ascii="宋体" w:hAnsi="宋体" w:cs="宋体"/>
                <w:color w:val="auto"/>
                <w:kern w:val="0"/>
                <w:sz w:val="24"/>
                <w:highlight w:val="none"/>
              </w:rPr>
            </w:pPr>
          </w:p>
        </w:tc>
        <w:tc>
          <w:tcPr>
            <w:tcW w:w="790"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427E16EC">
            <w:pPr>
              <w:widowControl/>
              <w:spacing w:line="360" w:lineRule="auto"/>
              <w:jc w:val="center"/>
              <w:rPr>
                <w:rFonts w:hint="eastAsia" w:ascii="宋体" w:hAnsi="宋体" w:cs="宋体"/>
                <w:color w:val="auto"/>
                <w:kern w:val="0"/>
                <w:sz w:val="24"/>
                <w:highlight w:val="none"/>
              </w:rPr>
            </w:pPr>
          </w:p>
        </w:tc>
        <w:tc>
          <w:tcPr>
            <w:tcW w:w="1816"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D8B3EBC">
            <w:pPr>
              <w:widowControl/>
              <w:spacing w:line="360" w:lineRule="auto"/>
              <w:jc w:val="center"/>
              <w:rPr>
                <w:rFonts w:hint="eastAsia" w:ascii="宋体" w:hAnsi="宋体" w:cs="宋体"/>
                <w:color w:val="auto"/>
                <w:kern w:val="0"/>
                <w:sz w:val="24"/>
                <w:highlight w:val="none"/>
              </w:rPr>
            </w:pPr>
          </w:p>
        </w:tc>
        <w:tc>
          <w:tcPr>
            <w:tcW w:w="472"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C990D78">
            <w:pPr>
              <w:widowControl/>
              <w:spacing w:line="360" w:lineRule="auto"/>
              <w:jc w:val="center"/>
              <w:rPr>
                <w:rFonts w:hint="eastAsia" w:ascii="宋体" w:hAnsi="宋体" w:cs="宋体"/>
                <w:color w:val="auto"/>
                <w:kern w:val="0"/>
                <w:sz w:val="24"/>
                <w:highlight w:val="none"/>
              </w:rPr>
            </w:pPr>
          </w:p>
        </w:tc>
      </w:tr>
    </w:tbl>
    <w:p w14:paraId="751DB7D6">
      <w:pPr>
        <w:spacing w:line="240" w:lineRule="auto"/>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注：</w:t>
      </w:r>
    </w:p>
    <w:p w14:paraId="52559A8E">
      <w:pPr>
        <w:spacing w:line="240" w:lineRule="auto"/>
        <w:ind w:firstLine="420"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5ABF292">
      <w:pPr>
        <w:spacing w:line="240" w:lineRule="auto"/>
        <w:ind w:firstLine="420"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2.本表所指的控股关系仅限于直接控股关系，不包括间接的控股关系。公司实际控制人与公司之间的关系不属于本表所指的直接控股关系。</w:t>
      </w:r>
    </w:p>
    <w:p w14:paraId="4ED2D786">
      <w:pPr>
        <w:spacing w:line="240" w:lineRule="auto"/>
        <w:ind w:firstLine="420"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3.供应商不存在直接控股股东的，则填“无”。</w:t>
      </w:r>
    </w:p>
    <w:p w14:paraId="5D1C2887">
      <w:pPr>
        <w:spacing w:line="240" w:lineRule="auto"/>
        <w:ind w:firstLine="420" w:firstLineChars="200"/>
        <w:jc w:val="left"/>
        <w:rPr>
          <w:rFonts w:hint="eastAsia" w:ascii="宋体" w:hAnsi="宋体" w:cs="宋体"/>
          <w:color w:val="auto"/>
          <w:kern w:val="0"/>
          <w:sz w:val="24"/>
          <w:highlight w:val="none"/>
        </w:rPr>
      </w:pPr>
      <w:r>
        <w:rPr>
          <w:rFonts w:hint="eastAsia" w:ascii="宋体" w:hAnsi="宋体" w:cs="宋体"/>
          <w:color w:val="auto"/>
          <w:kern w:val="0"/>
          <w:sz w:val="21"/>
          <w:szCs w:val="21"/>
          <w:highlight w:val="none"/>
        </w:rPr>
        <w:t>4.</w:t>
      </w:r>
      <w:r>
        <w:rPr>
          <w:rFonts w:hint="eastAsia" w:ascii="宋体" w:hAnsi="宋体" w:cs="宋体"/>
          <w:b/>
          <w:bCs/>
          <w:color w:val="auto"/>
          <w:sz w:val="21"/>
          <w:szCs w:val="21"/>
          <w:highlight w:val="none"/>
        </w:rPr>
        <w:t xml:space="preserve">联合体各方均需提供。 </w:t>
      </w:r>
    </w:p>
    <w:p w14:paraId="1711C6BB">
      <w:pPr>
        <w:snapToGri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87E6A7F">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382ADB3">
      <w:pPr>
        <w:autoSpaceDE w:val="0"/>
        <w:autoSpaceDN w:val="0"/>
        <w:spacing w:line="360" w:lineRule="auto"/>
        <w:ind w:firstLine="6120" w:firstLineChars="2550"/>
        <w:rPr>
          <w:rFonts w:hint="eastAsia" w:ascii="宋体" w:hAnsi="宋体" w:cs="宋体"/>
          <w:b/>
          <w:bCs/>
          <w:color w:val="auto"/>
          <w:sz w:val="24"/>
          <w:highlight w:val="none"/>
        </w:rPr>
      </w:pPr>
      <w:r>
        <w:rPr>
          <w:rFonts w:hint="eastAsia" w:ascii="宋体" w:hAnsi="宋体" w:cs="宋体"/>
          <w:color w:val="auto"/>
          <w:kern w:val="0"/>
          <w:sz w:val="24"/>
          <w:highlight w:val="none"/>
        </w:rPr>
        <w:t>日期：  年  月   日</w:t>
      </w:r>
    </w:p>
    <w:p w14:paraId="453CF15F">
      <w:pPr>
        <w:snapToGrid w:val="0"/>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 xml:space="preserve"> </w:t>
      </w:r>
    </w:p>
    <w:p w14:paraId="4C0BBE8B">
      <w:pPr>
        <w:snapToGrid w:val="0"/>
        <w:ind w:firstLine="596" w:firstLineChars="198"/>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供应商直接管理关系信息表</w:t>
      </w:r>
    </w:p>
    <w:p w14:paraId="7ECEEE2D">
      <w:pPr>
        <w:snapToGrid w:val="0"/>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 xml:space="preserve"> </w:t>
      </w:r>
    </w:p>
    <w:tbl>
      <w:tblPr>
        <w:tblStyle w:val="21"/>
        <w:tblW w:w="4999" w:type="pct"/>
        <w:jc w:val="center"/>
        <w:tblLayout w:type="autofit"/>
        <w:tblCellMar>
          <w:top w:w="0" w:type="dxa"/>
          <w:left w:w="0" w:type="dxa"/>
          <w:bottom w:w="0" w:type="dxa"/>
          <w:right w:w="0" w:type="dxa"/>
        </w:tblCellMar>
      </w:tblPr>
      <w:tblGrid>
        <w:gridCol w:w="775"/>
        <w:gridCol w:w="3457"/>
        <w:gridCol w:w="3415"/>
        <w:gridCol w:w="1621"/>
      </w:tblGrid>
      <w:tr w14:paraId="21900CC2">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E297442">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186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7604D78">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1841"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593E211A">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87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6A596E97">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D323C50">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81D8987">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186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785329F2">
            <w:pPr>
              <w:widowControl/>
              <w:spacing w:line="360" w:lineRule="auto"/>
              <w:jc w:val="center"/>
              <w:rPr>
                <w:rFonts w:hint="eastAsia" w:ascii="宋体" w:hAnsi="宋体" w:cs="宋体"/>
                <w:color w:val="auto"/>
                <w:kern w:val="0"/>
                <w:sz w:val="24"/>
                <w:highlight w:val="none"/>
              </w:rPr>
            </w:pPr>
          </w:p>
        </w:tc>
        <w:tc>
          <w:tcPr>
            <w:tcW w:w="1841"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2A8397EF">
            <w:pPr>
              <w:widowControl/>
              <w:spacing w:line="360" w:lineRule="auto"/>
              <w:jc w:val="center"/>
              <w:rPr>
                <w:rFonts w:hint="eastAsia" w:ascii="宋体" w:hAnsi="宋体" w:cs="宋体"/>
                <w:color w:val="auto"/>
                <w:kern w:val="0"/>
                <w:sz w:val="24"/>
                <w:highlight w:val="none"/>
              </w:rPr>
            </w:pPr>
          </w:p>
        </w:tc>
        <w:tc>
          <w:tcPr>
            <w:tcW w:w="87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09AB52B">
            <w:pPr>
              <w:widowControl/>
              <w:spacing w:line="360" w:lineRule="auto"/>
              <w:jc w:val="center"/>
              <w:rPr>
                <w:rFonts w:hint="eastAsia" w:ascii="宋体" w:hAnsi="宋体" w:cs="宋体"/>
                <w:color w:val="auto"/>
                <w:kern w:val="0"/>
                <w:sz w:val="24"/>
                <w:highlight w:val="none"/>
              </w:rPr>
            </w:pPr>
          </w:p>
        </w:tc>
      </w:tr>
      <w:tr w14:paraId="15BA5DCC">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A508FC">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186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13F35FCB">
            <w:pPr>
              <w:widowControl/>
              <w:spacing w:line="360" w:lineRule="auto"/>
              <w:jc w:val="center"/>
              <w:rPr>
                <w:rFonts w:hint="eastAsia" w:ascii="宋体" w:hAnsi="宋体" w:cs="宋体"/>
                <w:color w:val="auto"/>
                <w:kern w:val="0"/>
                <w:sz w:val="24"/>
                <w:highlight w:val="none"/>
              </w:rPr>
            </w:pPr>
          </w:p>
        </w:tc>
        <w:tc>
          <w:tcPr>
            <w:tcW w:w="1841"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6843F84">
            <w:pPr>
              <w:widowControl/>
              <w:spacing w:line="360" w:lineRule="auto"/>
              <w:jc w:val="center"/>
              <w:rPr>
                <w:rFonts w:hint="eastAsia" w:ascii="宋体" w:hAnsi="宋体" w:cs="宋体"/>
                <w:color w:val="auto"/>
                <w:kern w:val="0"/>
                <w:sz w:val="24"/>
                <w:highlight w:val="none"/>
              </w:rPr>
            </w:pPr>
          </w:p>
        </w:tc>
        <w:tc>
          <w:tcPr>
            <w:tcW w:w="87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59A9948">
            <w:pPr>
              <w:widowControl/>
              <w:spacing w:line="360" w:lineRule="auto"/>
              <w:jc w:val="center"/>
              <w:rPr>
                <w:rFonts w:hint="eastAsia" w:ascii="宋体" w:hAnsi="宋体" w:cs="宋体"/>
                <w:color w:val="auto"/>
                <w:kern w:val="0"/>
                <w:sz w:val="24"/>
                <w:highlight w:val="none"/>
              </w:rPr>
            </w:pPr>
          </w:p>
        </w:tc>
      </w:tr>
      <w:tr w14:paraId="7841A5DB">
        <w:tblPrEx>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9DBA731">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186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3F7B9C33">
            <w:pPr>
              <w:widowControl/>
              <w:spacing w:line="360" w:lineRule="auto"/>
              <w:jc w:val="center"/>
              <w:rPr>
                <w:rFonts w:hint="eastAsia" w:ascii="宋体" w:hAnsi="宋体" w:cs="宋体"/>
                <w:color w:val="auto"/>
                <w:kern w:val="0"/>
                <w:sz w:val="24"/>
                <w:highlight w:val="none"/>
              </w:rPr>
            </w:pPr>
          </w:p>
        </w:tc>
        <w:tc>
          <w:tcPr>
            <w:tcW w:w="1841"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44D8919D">
            <w:pPr>
              <w:widowControl/>
              <w:spacing w:line="360" w:lineRule="auto"/>
              <w:jc w:val="center"/>
              <w:rPr>
                <w:rFonts w:hint="eastAsia" w:ascii="宋体" w:hAnsi="宋体" w:cs="宋体"/>
                <w:color w:val="auto"/>
                <w:kern w:val="0"/>
                <w:sz w:val="24"/>
                <w:highlight w:val="none"/>
              </w:rPr>
            </w:pPr>
          </w:p>
        </w:tc>
        <w:tc>
          <w:tcPr>
            <w:tcW w:w="87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1212FD9C">
            <w:pPr>
              <w:widowControl/>
              <w:spacing w:line="360" w:lineRule="auto"/>
              <w:jc w:val="center"/>
              <w:rPr>
                <w:rFonts w:hint="eastAsia" w:ascii="宋体" w:hAnsi="宋体" w:cs="宋体"/>
                <w:color w:val="auto"/>
                <w:kern w:val="0"/>
                <w:sz w:val="24"/>
                <w:highlight w:val="none"/>
              </w:rPr>
            </w:pPr>
          </w:p>
        </w:tc>
      </w:tr>
      <w:tr w14:paraId="46F65006">
        <w:tblPrEx>
          <w:tblCellMar>
            <w:top w:w="0" w:type="dxa"/>
            <w:left w:w="0" w:type="dxa"/>
            <w:bottom w:w="0" w:type="dxa"/>
            <w:right w:w="0" w:type="dxa"/>
          </w:tblCellMar>
        </w:tblPrEx>
        <w:trPr>
          <w:trHeight w:val="543" w:hRule="atLeast"/>
          <w:jc w:val="center"/>
        </w:trPr>
        <w:tc>
          <w:tcPr>
            <w:tcW w:w="418" w:type="pc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F825E1A">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186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0474949A">
            <w:pPr>
              <w:widowControl/>
              <w:spacing w:line="360" w:lineRule="auto"/>
              <w:jc w:val="center"/>
              <w:rPr>
                <w:rFonts w:hint="eastAsia" w:ascii="宋体" w:hAnsi="宋体" w:cs="宋体"/>
                <w:color w:val="auto"/>
                <w:kern w:val="0"/>
                <w:sz w:val="24"/>
                <w:highlight w:val="none"/>
              </w:rPr>
            </w:pPr>
          </w:p>
        </w:tc>
        <w:tc>
          <w:tcPr>
            <w:tcW w:w="1841"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4F3F052C">
            <w:pPr>
              <w:widowControl/>
              <w:spacing w:line="360" w:lineRule="auto"/>
              <w:jc w:val="center"/>
              <w:rPr>
                <w:rFonts w:hint="eastAsia" w:ascii="宋体" w:hAnsi="宋体" w:cs="宋体"/>
                <w:color w:val="auto"/>
                <w:kern w:val="0"/>
                <w:sz w:val="24"/>
                <w:highlight w:val="none"/>
              </w:rPr>
            </w:pPr>
          </w:p>
        </w:tc>
        <w:tc>
          <w:tcPr>
            <w:tcW w:w="874" w:type="pct"/>
            <w:tcBorders>
              <w:top w:val="single" w:color="auto" w:sz="4" w:space="0"/>
              <w:left w:val="nil"/>
              <w:bottom w:val="single" w:color="auto" w:sz="4" w:space="0"/>
              <w:right w:val="single" w:color="auto" w:sz="4" w:space="0"/>
            </w:tcBorders>
            <w:noWrap w:val="0"/>
            <w:tcMar>
              <w:top w:w="120" w:type="dxa"/>
              <w:left w:w="120" w:type="dxa"/>
              <w:bottom w:w="120" w:type="dxa"/>
              <w:right w:w="120" w:type="dxa"/>
            </w:tcMar>
            <w:vAlign w:val="center"/>
          </w:tcPr>
          <w:p w14:paraId="3E8E78D9">
            <w:pPr>
              <w:widowControl/>
              <w:spacing w:line="360" w:lineRule="auto"/>
              <w:jc w:val="center"/>
              <w:rPr>
                <w:rFonts w:hint="eastAsia" w:ascii="宋体" w:hAnsi="宋体" w:cs="宋体"/>
                <w:color w:val="auto"/>
                <w:kern w:val="0"/>
                <w:sz w:val="24"/>
                <w:highlight w:val="none"/>
              </w:rPr>
            </w:pPr>
          </w:p>
        </w:tc>
      </w:tr>
    </w:tbl>
    <w:p w14:paraId="31DCF94C">
      <w:pPr>
        <w:spacing w:line="240" w:lineRule="auto"/>
        <w:ind w:firstLine="420"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注：</w:t>
      </w:r>
    </w:p>
    <w:p w14:paraId="37C83E6B">
      <w:pPr>
        <w:spacing w:line="240" w:lineRule="auto"/>
        <w:ind w:firstLine="420"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1.管理关系：是指不具有出资持股关系的其他单位之间存在的管理与被管理关系，如一些上下级关系的事业单位和团体组织。</w:t>
      </w:r>
    </w:p>
    <w:p w14:paraId="7DA2C26A">
      <w:pPr>
        <w:spacing w:line="240" w:lineRule="auto"/>
        <w:ind w:firstLine="420"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2.本表所指的管理关系仅限于直接管理关系，不包括间接的管理关系。</w:t>
      </w:r>
    </w:p>
    <w:p w14:paraId="06A51D41">
      <w:pPr>
        <w:spacing w:line="240" w:lineRule="auto"/>
        <w:ind w:firstLine="420"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3.供应商不存在直接管理关系的，则填“无”。</w:t>
      </w:r>
    </w:p>
    <w:p w14:paraId="116AC9A0">
      <w:pPr>
        <w:spacing w:line="24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kern w:val="0"/>
          <w:sz w:val="21"/>
          <w:szCs w:val="21"/>
          <w:highlight w:val="none"/>
        </w:rPr>
        <w:t>4.</w:t>
      </w:r>
      <w:r>
        <w:rPr>
          <w:rFonts w:hint="eastAsia" w:ascii="宋体" w:hAnsi="宋体" w:cs="宋体"/>
          <w:b/>
          <w:bCs/>
          <w:color w:val="auto"/>
          <w:sz w:val="21"/>
          <w:szCs w:val="21"/>
          <w:highlight w:val="none"/>
        </w:rPr>
        <w:t>联合体各方均需提供。</w:t>
      </w:r>
    </w:p>
    <w:p w14:paraId="66497062">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B4C1499">
      <w:pPr>
        <w:autoSpaceDE w:val="0"/>
        <w:autoSpaceDN w:val="0"/>
        <w:spacing w:line="360" w:lineRule="auto"/>
        <w:ind w:left="4365" w:leftChars="1850" w:hanging="480" w:hangingChars="200"/>
        <w:rPr>
          <w:rFonts w:hint="eastAsia" w:ascii="宋体" w:hAnsi="宋体" w:cs="宋体"/>
          <w:b/>
          <w:bCs/>
          <w:color w:val="auto"/>
          <w:sz w:val="24"/>
          <w:highlight w:val="none"/>
        </w:rPr>
      </w:pPr>
      <w:r>
        <w:rPr>
          <w:rFonts w:hint="eastAsia" w:ascii="宋体" w:hAnsi="宋体" w:cs="宋体"/>
          <w:color w:val="auto"/>
          <w:kern w:val="0"/>
          <w:sz w:val="24"/>
          <w:highlight w:val="none"/>
        </w:rPr>
        <w:t>日期：  年  月   日</w:t>
      </w:r>
    </w:p>
    <w:p w14:paraId="64CCB110">
      <w:pPr>
        <w:spacing w:line="320" w:lineRule="exact"/>
        <w:ind w:firstLine="602" w:firstLineChars="200"/>
        <w:jc w:val="left"/>
        <w:rPr>
          <w:rFonts w:hint="eastAsia" w:ascii="宋体" w:hAnsi="宋体" w:cs="宋体"/>
          <w:b/>
          <w:color w:val="auto"/>
          <w:kern w:val="0"/>
          <w:sz w:val="30"/>
          <w:szCs w:val="30"/>
          <w:highlight w:val="none"/>
        </w:rPr>
      </w:pPr>
    </w:p>
    <w:p w14:paraId="518E67A6">
      <w:pPr>
        <w:spacing w:line="320" w:lineRule="exact"/>
        <w:ind w:firstLine="602" w:firstLineChars="200"/>
        <w:jc w:val="left"/>
        <w:rPr>
          <w:rFonts w:hint="eastAsia" w:ascii="宋体" w:hAnsi="宋体" w:cs="宋体"/>
          <w:b/>
          <w:color w:val="auto"/>
          <w:kern w:val="0"/>
          <w:sz w:val="30"/>
          <w:szCs w:val="30"/>
          <w:highlight w:val="none"/>
          <w:lang w:val="en-US" w:eastAsia="zh-CN"/>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0483614A">
      <w:pPr>
        <w:spacing w:line="320" w:lineRule="exact"/>
        <w:ind w:firstLine="602" w:firstLineChars="200"/>
        <w:jc w:val="left"/>
        <w:rPr>
          <w:rFonts w:hint="eastAsia" w:ascii="宋体" w:hAnsi="宋体" w:cs="宋体"/>
          <w:color w:val="auto"/>
          <w:sz w:val="28"/>
          <w:szCs w:val="28"/>
          <w:highlight w:val="none"/>
        </w:rPr>
      </w:pPr>
      <w:r>
        <w:rPr>
          <w:rFonts w:hint="eastAsia" w:ascii="宋体" w:hAnsi="宋体" w:cs="宋体"/>
          <w:b/>
          <w:color w:val="auto"/>
          <w:kern w:val="0"/>
          <w:sz w:val="30"/>
          <w:szCs w:val="30"/>
          <w:highlight w:val="none"/>
          <w:lang w:val="en-US" w:eastAsia="zh-CN"/>
        </w:rPr>
        <w:t>六</w:t>
      </w:r>
      <w:r>
        <w:rPr>
          <w:rFonts w:hint="eastAsia" w:ascii="宋体" w:hAnsi="宋体" w:cs="宋体"/>
          <w:b/>
          <w:color w:val="auto"/>
          <w:kern w:val="0"/>
          <w:sz w:val="30"/>
          <w:szCs w:val="30"/>
          <w:highlight w:val="none"/>
        </w:rPr>
        <w:t>、资格声明函</w:t>
      </w:r>
    </w:p>
    <w:p w14:paraId="1C388A92">
      <w:pPr>
        <w:spacing w:line="48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 资格声明函</w:t>
      </w:r>
    </w:p>
    <w:p w14:paraId="07C3AEC1">
      <w:pPr>
        <w:spacing w:line="360" w:lineRule="auto"/>
        <w:rPr>
          <w:rFonts w:hint="eastAsia" w:ascii="宋体" w:hAnsi="宋体" w:cs="宋体"/>
          <w:color w:val="auto"/>
          <w:sz w:val="24"/>
          <w:highlight w:val="none"/>
        </w:rPr>
      </w:pPr>
      <w:r>
        <w:rPr>
          <w:rFonts w:hint="eastAsia" w:ascii="宋体" w:hAnsi="宋体" w:cs="宋体"/>
          <w:color w:val="auto"/>
          <w:sz w:val="24"/>
          <w:highlight w:val="none"/>
        </w:rPr>
        <w:t>致采购人：</w:t>
      </w:r>
      <w:bookmarkStart w:id="90" w:name="PO_3000001868_PM031_6"/>
      <w:bookmarkEnd w:id="90"/>
      <w:r>
        <w:rPr>
          <w:rFonts w:hint="eastAsia" w:ascii="宋体" w:hAnsi="宋体" w:cs="宋体"/>
          <w:color w:val="auto"/>
          <w:sz w:val="24"/>
          <w:highlight w:val="none"/>
          <w:u w:val="single"/>
        </w:rPr>
        <w:t xml:space="preserve">                  </w:t>
      </w:r>
    </w:p>
    <w:p w14:paraId="4F38AF4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。（联合体竞标的，须填写联合体各方信息。）</w:t>
      </w:r>
    </w:p>
    <w:p w14:paraId="3882A25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bookmarkStart w:id="91" w:name="PO_3000001868_PM002_4"/>
      <w:bookmarkEnd w:id="91"/>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686968B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0CBC5C8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69EF73A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35C2A0E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39A7419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2874AB2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（3）同意提供按照贵方可能要求的与谈判有关的一切数据或者资料；</w:t>
      </w:r>
    </w:p>
    <w:p w14:paraId="345C0F8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2368242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64A16DF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名单、政府采购严重违法失信行为记录名单，完全符合《中华人民共和国政府采购法》第二十二条规定的供应商资格条件，我方对此声明负全部法律责任。</w:t>
      </w:r>
    </w:p>
    <w:p w14:paraId="00E8C72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50CDCE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5D8DADB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07899649">
      <w:pPr>
        <w:pStyle w:val="14"/>
        <w:spacing w:line="360" w:lineRule="auto"/>
        <w:ind w:firstLine="480" w:firstLineChars="200"/>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6880BCF1">
      <w:pPr>
        <w:pStyle w:val="14"/>
        <w:spacing w:line="360" w:lineRule="auto"/>
        <w:ind w:firstLine="480" w:firstLineChars="200"/>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电子函件：</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46499CC3">
      <w:pPr>
        <w:pStyle w:val="13"/>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帐号：</w:t>
      </w:r>
      <w:r>
        <w:rPr>
          <w:rFonts w:hint="eastAsia" w:ascii="宋体" w:hAnsi="宋体" w:cs="宋体"/>
          <w:color w:val="auto"/>
          <w:sz w:val="24"/>
          <w:highlight w:val="none"/>
          <w:u w:val="single"/>
        </w:rPr>
        <w:t xml:space="preserve">                               </w:t>
      </w:r>
    </w:p>
    <w:p w14:paraId="6CAE8423">
      <w:pPr>
        <w:pStyle w:val="13"/>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7D63B93D">
      <w:pPr>
        <w:pStyle w:val="13"/>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5E91ABE1">
      <w:pPr>
        <w:pStyle w:val="13"/>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注：如为联合体竞标，盖章处须加盖联合体各方公章并由联合体各方法定代表人签署，否则其响应文件按无效响应处理。</w:t>
      </w:r>
    </w:p>
    <w:p w14:paraId="78CE6EFC">
      <w:pPr>
        <w:pStyle w:val="13"/>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FA27BD9">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5E840E39">
      <w:pPr>
        <w:autoSpaceDE w:val="0"/>
        <w:autoSpaceDN w:val="0"/>
        <w:spacing w:line="360" w:lineRule="auto"/>
        <w:ind w:firstLine="6120" w:firstLineChars="2550"/>
        <w:rPr>
          <w:rFonts w:hint="eastAsia" w:ascii="宋体" w:hAnsi="宋体" w:cs="宋体"/>
          <w:color w:val="auto"/>
          <w:kern w:val="0"/>
          <w:sz w:val="24"/>
          <w:highlight w:val="none"/>
        </w:rPr>
      </w:pPr>
      <w:r>
        <w:rPr>
          <w:rFonts w:hint="eastAsia" w:ascii="宋体" w:hAnsi="宋体" w:cs="宋体"/>
          <w:color w:val="auto"/>
          <w:kern w:val="0"/>
          <w:sz w:val="24"/>
          <w:highlight w:val="none"/>
        </w:rPr>
        <w:t>日期：  年  月   日</w:t>
      </w:r>
    </w:p>
    <w:p w14:paraId="39242875">
      <w:pPr>
        <w:pStyle w:val="14"/>
        <w:spacing w:line="500" w:lineRule="exact"/>
        <w:rPr>
          <w:rFonts w:hint="eastAsia" w:hAnsi="宋体" w:cs="宋体"/>
          <w:b/>
          <w:color w:val="auto"/>
          <w:kern w:val="2"/>
          <w:sz w:val="30"/>
          <w:szCs w:val="30"/>
          <w:highlight w:val="none"/>
        </w:rPr>
      </w:pPr>
    </w:p>
    <w:p w14:paraId="6734F4D8">
      <w:pPr>
        <w:pStyle w:val="14"/>
        <w:spacing w:line="500" w:lineRule="exact"/>
        <w:ind w:firstLine="602" w:firstLineChars="200"/>
        <w:rPr>
          <w:rFonts w:hint="eastAsia" w:ascii="宋体" w:hAnsi="宋体" w:eastAsia="宋体" w:cs="宋体"/>
          <w:b/>
          <w:color w:val="auto"/>
          <w:kern w:val="2"/>
          <w:sz w:val="30"/>
          <w:szCs w:val="30"/>
          <w:highlight w:val="none"/>
          <w:lang w:val="en-US" w:eastAsia="zh-CN"/>
        </w:rPr>
      </w:pPr>
      <w:r>
        <w:rPr>
          <w:rFonts w:hint="eastAsia" w:ascii="宋体" w:hAnsi="宋体" w:eastAsia="宋体" w:cs="宋体"/>
          <w:b/>
          <w:color w:val="auto"/>
          <w:kern w:val="2"/>
          <w:sz w:val="30"/>
          <w:szCs w:val="30"/>
          <w:highlight w:val="none"/>
          <w:lang w:val="en-US" w:eastAsia="zh-CN"/>
        </w:rPr>
        <w:t>七、本项目的特定资格要求</w:t>
      </w:r>
    </w:p>
    <w:p w14:paraId="5028DC04">
      <w:pPr>
        <w:snapToGrid w:val="0"/>
        <w:spacing w:line="400" w:lineRule="exact"/>
        <w:jc w:val="left"/>
        <w:rPr>
          <w:rFonts w:hint="eastAsia" w:ascii="宋体" w:hAnsi="宋体" w:cs="宋体"/>
          <w:color w:val="auto"/>
          <w:highlight w:val="none"/>
        </w:rPr>
      </w:pPr>
    </w:p>
    <w:p w14:paraId="5AED52C5">
      <w:pPr>
        <w:snapToGrid w:val="0"/>
        <w:spacing w:line="24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（按采购文件要求提供材料复印件）（</w:t>
      </w:r>
      <w:r>
        <w:rPr>
          <w:rFonts w:hint="eastAsia" w:ascii="宋体" w:hAnsi="宋体" w:cs="宋体"/>
          <w:color w:val="auto"/>
          <w:highlight w:val="none"/>
          <w:lang w:val="en-US" w:eastAsia="zh-CN"/>
        </w:rPr>
        <w:t>联合体竞标时</w:t>
      </w:r>
      <w:r>
        <w:rPr>
          <w:rFonts w:hint="eastAsia" w:ascii="宋体" w:hAnsi="宋体" w:cs="宋体"/>
          <w:color w:val="auto"/>
          <w:highlight w:val="none"/>
        </w:rPr>
        <w:t xml:space="preserve">联合体各方均需提供）  </w:t>
      </w:r>
    </w:p>
    <w:p w14:paraId="0B976DBA">
      <w:pPr>
        <w:autoSpaceDE w:val="0"/>
        <w:autoSpaceDN w:val="0"/>
        <w:spacing w:line="240" w:lineRule="auto"/>
        <w:ind w:left="4365" w:leftChars="1850" w:hanging="480" w:hangingChars="200"/>
        <w:rPr>
          <w:rFonts w:hint="eastAsia" w:ascii="宋体" w:hAnsi="宋体" w:eastAsia="宋体" w:cs="宋体"/>
          <w:color w:val="auto"/>
          <w:kern w:val="0"/>
          <w:sz w:val="24"/>
          <w:highlight w:val="none"/>
        </w:rPr>
      </w:pPr>
    </w:p>
    <w:p w14:paraId="708EDA0E">
      <w:pPr>
        <w:autoSpaceDE w:val="0"/>
        <w:autoSpaceDN w:val="0"/>
        <w:spacing w:line="240" w:lineRule="auto"/>
        <w:ind w:left="4365" w:leftChars="1850" w:hanging="480" w:hanging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供应商名称（电子签章）：</w:t>
      </w:r>
    </w:p>
    <w:p w14:paraId="69045F4E">
      <w:pPr>
        <w:pStyle w:val="14"/>
        <w:spacing w:line="500" w:lineRule="exact"/>
        <w:ind w:firstLine="602" w:firstLineChars="200"/>
        <w:rPr>
          <w:rFonts w:hint="eastAsia" w:hAnsi="宋体" w:cs="宋体"/>
          <w:b/>
          <w:color w:val="auto"/>
          <w:kern w:val="2"/>
          <w:sz w:val="30"/>
          <w:szCs w:val="30"/>
          <w:highlight w:val="none"/>
        </w:rPr>
      </w:pPr>
    </w:p>
    <w:p w14:paraId="7BEB2D9C">
      <w:pPr>
        <w:pStyle w:val="14"/>
        <w:spacing w:line="500" w:lineRule="exact"/>
        <w:ind w:firstLine="602" w:firstLineChars="200"/>
        <w:rPr>
          <w:rFonts w:hint="eastAsia" w:hAnsi="宋体" w:cs="宋体"/>
          <w:b/>
          <w:color w:val="auto"/>
          <w:kern w:val="2"/>
          <w:sz w:val="30"/>
          <w:szCs w:val="30"/>
          <w:highlight w:val="none"/>
        </w:rPr>
      </w:pPr>
    </w:p>
    <w:p w14:paraId="19B4437C">
      <w:pPr>
        <w:pStyle w:val="14"/>
        <w:spacing w:line="500" w:lineRule="exact"/>
        <w:ind w:firstLine="602" w:firstLineChars="200"/>
        <w:rPr>
          <w:rFonts w:hint="eastAsia" w:hAnsi="宋体" w:cs="宋体"/>
          <w:b/>
          <w:color w:val="auto"/>
          <w:kern w:val="2"/>
          <w:sz w:val="30"/>
          <w:szCs w:val="30"/>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7B3ABC06">
      <w:pPr>
        <w:pStyle w:val="14"/>
        <w:spacing w:line="500" w:lineRule="exact"/>
        <w:ind w:firstLine="602" w:firstLineChars="200"/>
        <w:rPr>
          <w:rFonts w:hAnsi="宋体" w:cs="宋体"/>
          <w:b/>
          <w:color w:val="auto"/>
          <w:kern w:val="2"/>
          <w:sz w:val="30"/>
          <w:szCs w:val="30"/>
          <w:highlight w:val="none"/>
        </w:rPr>
      </w:pPr>
      <w:r>
        <w:rPr>
          <w:rFonts w:hint="eastAsia" w:hAnsi="宋体" w:cs="宋体"/>
          <w:b/>
          <w:color w:val="auto"/>
          <w:kern w:val="2"/>
          <w:sz w:val="30"/>
          <w:szCs w:val="30"/>
          <w:highlight w:val="none"/>
        </w:rPr>
        <w:t>八、联合体协议书（联合体竞标时必须提供）</w:t>
      </w:r>
    </w:p>
    <w:p w14:paraId="599908EC">
      <w:pPr>
        <w:spacing w:line="600" w:lineRule="exact"/>
        <w:jc w:val="center"/>
        <w:rPr>
          <w:color w:val="auto"/>
          <w:sz w:val="28"/>
          <w:szCs w:val="28"/>
          <w:highlight w:val="none"/>
        </w:rPr>
      </w:pPr>
      <w:r>
        <w:rPr>
          <w:rFonts w:hint="eastAsia"/>
          <w:b/>
          <w:bCs/>
          <w:color w:val="auto"/>
          <w:sz w:val="28"/>
          <w:szCs w:val="28"/>
          <w:highlight w:val="none"/>
        </w:rPr>
        <w:t>联合体协议书</w:t>
      </w:r>
    </w:p>
    <w:p w14:paraId="77496869">
      <w:pPr>
        <w:autoSpaceDE w:val="0"/>
        <w:autoSpaceDN w:val="0"/>
        <w:adjustRightInd w:val="0"/>
        <w:spacing w:line="360" w:lineRule="auto"/>
        <w:jc w:val="left"/>
        <w:rPr>
          <w:rFonts w:ascii="宋体" w:cs="宋体"/>
          <w:color w:val="auto"/>
          <w:kern w:val="0"/>
          <w:szCs w:val="21"/>
          <w:highlight w:val="none"/>
          <w:u w:val="single"/>
        </w:rPr>
      </w:pPr>
    </w:p>
    <w:p w14:paraId="26146FF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（所有成员单位名称）自愿组成联合体，共同参加</w:t>
      </w:r>
      <w:bookmarkStart w:id="92" w:name="PO_3000001867_PM031_6"/>
      <w:r>
        <w:rPr>
          <w:rFonts w:hint="eastAsia" w:ascii="宋体" w:hAnsi="宋体" w:cs="宋体"/>
          <w:color w:val="auto"/>
          <w:sz w:val="24"/>
          <w:highlight w:val="none"/>
        </w:rPr>
        <w:t>[采购人]</w:t>
      </w:r>
      <w:bookmarkEnd w:id="92"/>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组织的</w:t>
      </w:r>
      <w:bookmarkStart w:id="93" w:name="PO_3000001867_PM002_4"/>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bookmarkEnd w:id="93"/>
      <w:r>
        <w:rPr>
          <w:rFonts w:hint="eastAsia" w:ascii="宋体" w:hAnsi="宋体" w:cs="宋体"/>
          <w:color w:val="auto"/>
          <w:sz w:val="24"/>
          <w:highlight w:val="none"/>
        </w:rPr>
        <w:t xml:space="preserve"> （项目编号：        ）竞标。现就联合体竞标事宜订立如下协议：</w:t>
      </w:r>
    </w:p>
    <w:p w14:paraId="0331EFC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1、________________________（某成员单位名称）为联合体名称牵头人。</w:t>
      </w:r>
    </w:p>
    <w:p w14:paraId="057D299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联合体牵头人合法代表联合体各成员负责本采购项目竞标文件编制和合同谈判活动，并代表联合体提交和接收相关的资料、信息及指示，并处理与之有关的一切事务，负责合同实施阶段的主办、组织和协调工作。</w:t>
      </w:r>
    </w:p>
    <w:p w14:paraId="3E03CA7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3、联合体牵头人在本项目中签署和盖章的一切文件和处理的一切事宜，联合体各成员均予以承认。联合体各成员将严格按照采购文件、竞标文件和合同的要求全面履行义务，并向采购人承担连带责任。</w:t>
      </w:r>
    </w:p>
    <w:p w14:paraId="5F3E581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4、联合体各成员单位内部的职责分工如下：</w:t>
      </w:r>
    </w:p>
    <w:p w14:paraId="570214D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联合体牵头人承担的工作内容：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，具备的资质条件：</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4340BF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联合体成员承担的工作内容：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，具备的资质条件：</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784F30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本联合体中，________________________（某成员单位名称）为______（请填写：中型、小型、微型）企业，其协议合同金额占联合体协议合同总金额的______%。【如联合体成员中有小型、微型企业的，请填写此条，否则无需填写；如联合体成员中有多个小型、微型企业的，请逐一列出。】</w:t>
      </w:r>
    </w:p>
    <w:p w14:paraId="6234235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6、本协议书自签署之日起生效，合同履行完毕后自动失效。</w:t>
      </w:r>
    </w:p>
    <w:p w14:paraId="23F3308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7、本协议书一式 五 份，联合体成员各执一份，采购人、采购代理机构、合同签订各需要一份（成交后将原件交给采购人和采购代理机构）。</w:t>
      </w:r>
    </w:p>
    <w:p w14:paraId="19B6AF8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注：本协议书由法定代表人签字的，应附法定代表人身份证明；本协议书由委托代理人签字的，应附法定代表人授权委托书。</w:t>
      </w:r>
    </w:p>
    <w:p w14:paraId="418A9E4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牵头人名称：（公章）</w:t>
      </w:r>
    </w:p>
    <w:p w14:paraId="4E1A490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法定代表人或其委托代理人（签名）：</w:t>
      </w:r>
    </w:p>
    <w:p w14:paraId="565E7D9C">
      <w:pPr>
        <w:rPr>
          <w:rFonts w:hint="eastAsia"/>
          <w:color w:val="auto"/>
          <w:highlight w:val="none"/>
        </w:rPr>
      </w:pPr>
    </w:p>
    <w:p w14:paraId="5F31ACA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成员名称：（公章）</w:t>
      </w:r>
    </w:p>
    <w:p w14:paraId="580DE9A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法定代表人或其委托代理人（签名）：</w:t>
      </w:r>
    </w:p>
    <w:p w14:paraId="12D485C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4B137E47">
      <w:pPr>
        <w:spacing w:line="360" w:lineRule="auto"/>
        <w:ind w:firstLine="480" w:firstLineChars="200"/>
        <w:rPr>
          <w:rFonts w:ascii="宋体" w:hAnsi="宋体" w:cs="宋体"/>
          <w:color w:val="auto"/>
          <w:sz w:val="2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5218F691">
      <w:pPr>
        <w:rPr>
          <w:rFonts w:hint="eastAsia" w:ascii="宋体" w:hAnsi="宋体" w:cs="宋体"/>
          <w:color w:val="auto"/>
          <w:kern w:val="0"/>
          <w:sz w:val="24"/>
          <w:highlight w:val="none"/>
        </w:rPr>
      </w:pPr>
    </w:p>
    <w:p w14:paraId="298A9DB5">
      <w:pPr>
        <w:pStyle w:val="14"/>
        <w:spacing w:line="500" w:lineRule="exact"/>
        <w:ind w:firstLine="602" w:firstLineChars="200"/>
        <w:rPr>
          <w:rFonts w:hint="eastAsia" w:hAnsi="宋体" w:cs="宋体"/>
          <w:b/>
          <w:color w:val="auto"/>
          <w:kern w:val="2"/>
          <w:sz w:val="30"/>
          <w:szCs w:val="30"/>
          <w:highlight w:val="none"/>
        </w:rPr>
      </w:pPr>
      <w:r>
        <w:rPr>
          <w:rFonts w:hint="eastAsia" w:hAnsi="宋体" w:cs="宋体"/>
          <w:b/>
          <w:color w:val="auto"/>
          <w:kern w:val="2"/>
          <w:sz w:val="30"/>
          <w:szCs w:val="30"/>
          <w:highlight w:val="none"/>
        </w:rPr>
        <w:t>九、</w:t>
      </w:r>
      <w:r>
        <w:rPr>
          <w:rFonts w:hint="eastAsia" w:hAnsi="宋体" w:cs="宋体"/>
          <w:b/>
          <w:color w:val="auto"/>
          <w:kern w:val="2"/>
          <w:sz w:val="30"/>
          <w:szCs w:val="30"/>
          <w:highlight w:val="none"/>
          <w:lang w:eastAsia="zh-CN"/>
        </w:rPr>
        <w:t>中</w:t>
      </w:r>
      <w:r>
        <w:rPr>
          <w:rFonts w:hint="eastAsia" w:hAnsi="宋体" w:cs="宋体"/>
          <w:b/>
          <w:color w:val="auto"/>
          <w:kern w:val="2"/>
          <w:sz w:val="30"/>
          <w:szCs w:val="30"/>
          <w:highlight w:val="none"/>
        </w:rPr>
        <w:t>小微企业声明函或残疾人福利性单位声明函或属于监狱企业的证明文件</w:t>
      </w:r>
    </w:p>
    <w:p w14:paraId="5664A5BB">
      <w:pPr>
        <w:spacing w:line="300" w:lineRule="auto"/>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中小企业声明函（服务）（如有则提供）</w:t>
      </w:r>
    </w:p>
    <w:p w14:paraId="357186B8">
      <w:pPr>
        <w:spacing w:line="360" w:lineRule="auto"/>
        <w:ind w:firstLine="55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w:t>
      </w:r>
    </w:p>
    <w:p w14:paraId="284FC258">
      <w:pPr>
        <w:spacing w:line="360" w:lineRule="auto"/>
        <w:ind w:firstLine="550"/>
        <w:rPr>
          <w:rFonts w:hint="eastAsia" w:ascii="宋体" w:hAnsi="宋体" w:cs="宋体"/>
          <w:color w:val="auto"/>
          <w:kern w:val="0"/>
          <w:sz w:val="24"/>
          <w:highlight w:val="none"/>
        </w:rPr>
      </w:pPr>
      <w:r>
        <w:rPr>
          <w:rFonts w:hint="eastAsia" w:ascii="宋体" w:hAnsi="宋体" w:cs="宋体"/>
          <w:color w:val="auto"/>
          <w:kern w:val="0"/>
          <w:sz w:val="24"/>
          <w:highlight w:val="none"/>
        </w:rPr>
        <w:t>本公司（联合体）郑重声明，根据《政府采购促进中小企业发展管理办法》（财库﹝2020﹞46 号）的规定，本公司（联合体）参加</w:t>
      </w:r>
      <w:r>
        <w:rPr>
          <w:rFonts w:hint="eastAsia" w:ascii="宋体" w:hAnsi="宋体" w:cs="宋体"/>
          <w:color w:val="auto"/>
          <w:kern w:val="0"/>
          <w:sz w:val="24"/>
          <w:highlight w:val="none"/>
          <w:u w:val="single"/>
        </w:rPr>
        <w:t xml:space="preserve"> （采购人） </w:t>
      </w:r>
      <w:r>
        <w:rPr>
          <w:rFonts w:hint="eastAsia" w:ascii="宋体" w:hAnsi="宋体" w:cs="宋体"/>
          <w:color w:val="auto"/>
          <w:sz w:val="24"/>
          <w:highlight w:val="none"/>
        </w:rPr>
        <w:t>的</w:t>
      </w:r>
      <w:r>
        <w:rPr>
          <w:rFonts w:hint="eastAsia" w:ascii="宋体" w:hAnsi="宋体" w:cs="宋体"/>
          <w:color w:val="auto"/>
          <w:kern w:val="0"/>
          <w:sz w:val="24"/>
          <w:highlight w:val="none"/>
          <w:u w:val="single"/>
        </w:rPr>
        <w:t xml:space="preserve"> （标的名称） </w:t>
      </w:r>
      <w:r>
        <w:rPr>
          <w:rFonts w:hint="eastAsia" w:ascii="宋体" w:hAnsi="宋体" w:cs="宋体"/>
          <w:color w:val="auto"/>
          <w:kern w:val="0"/>
          <w:sz w:val="24"/>
          <w:highlight w:val="none"/>
        </w:rPr>
        <w:t>采购活动，服务全部由符合政策要求的中小企业承接。相关企业（含联合体中的小微企业、签订分包意向协议的小微企业）的具体情况如下：</w:t>
      </w:r>
    </w:p>
    <w:p w14:paraId="0FFB4928">
      <w:pPr>
        <w:spacing w:line="360" w:lineRule="auto"/>
        <w:ind w:firstLine="55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1. </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rPr>
        <w:t>（采购文件中明确的所属行业：见服务需求一览表）</w:t>
      </w:r>
      <w:r>
        <w:rPr>
          <w:rFonts w:hint="eastAsia" w:ascii="宋体" w:hAnsi="宋体" w:cs="宋体"/>
          <w:color w:val="auto"/>
          <w:kern w:val="0"/>
          <w:sz w:val="24"/>
          <w:highlight w:val="none"/>
        </w:rPr>
        <w:t>行业；承建（承接）企业为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人，营业收入为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w:t>
      </w:r>
      <w:r>
        <w:rPr>
          <w:rFonts w:hint="eastAsia" w:ascii="宋体" w:hAnsi="宋体" w:cs="宋体"/>
          <w:color w:val="auto"/>
          <w:sz w:val="24"/>
          <w:highlight w:val="none"/>
          <w:vertAlign w:val="superscript"/>
        </w:rPr>
        <w:t>1</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14:paraId="30741F74">
      <w:pPr>
        <w:spacing w:line="360" w:lineRule="auto"/>
        <w:ind w:firstLine="55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2. </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rPr>
        <w:t>（采购文件中明确的所属行业：见服务需求一览表）</w:t>
      </w:r>
      <w:r>
        <w:rPr>
          <w:rFonts w:hint="eastAsia" w:ascii="宋体" w:hAnsi="宋体" w:cs="宋体"/>
          <w:color w:val="auto"/>
          <w:kern w:val="0"/>
          <w:sz w:val="24"/>
          <w:highlight w:val="none"/>
        </w:rPr>
        <w:t>行业；承建（承接）企业为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人，营业收入为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14:paraId="6D8EA778">
      <w:pPr>
        <w:spacing w:line="360" w:lineRule="auto"/>
        <w:ind w:firstLine="55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 </w:t>
      </w:r>
    </w:p>
    <w:p w14:paraId="01AEA6AE">
      <w:pPr>
        <w:spacing w:line="360" w:lineRule="auto"/>
        <w:ind w:firstLine="550"/>
        <w:rPr>
          <w:rFonts w:hint="eastAsia" w:ascii="宋体" w:hAnsi="宋体" w:cs="宋体"/>
          <w:color w:val="auto"/>
          <w:kern w:val="0"/>
          <w:sz w:val="24"/>
          <w:highlight w:val="none"/>
        </w:rPr>
      </w:pPr>
      <w:r>
        <w:rPr>
          <w:rFonts w:hint="eastAsia" w:ascii="宋体" w:hAnsi="宋体" w:cs="宋体"/>
          <w:color w:val="auto"/>
          <w:kern w:val="0"/>
          <w:sz w:val="24"/>
          <w:highlight w:val="none"/>
        </w:rPr>
        <w:t>以上企业，不属于大企业的分支机构，不存在控股股东为大企业的情形，也不存在与大企业的负责人为同一人的情形。</w:t>
      </w:r>
    </w:p>
    <w:p w14:paraId="40445AC3">
      <w:pPr>
        <w:spacing w:line="360" w:lineRule="auto"/>
        <w:ind w:firstLine="550"/>
        <w:rPr>
          <w:rFonts w:hint="eastAsia" w:ascii="宋体" w:hAnsi="宋体" w:cs="宋体"/>
          <w:color w:val="auto"/>
          <w:kern w:val="0"/>
          <w:sz w:val="24"/>
          <w:highlight w:val="none"/>
        </w:rPr>
      </w:pPr>
      <w:r>
        <w:rPr>
          <w:rFonts w:hint="eastAsia" w:ascii="宋体" w:hAnsi="宋体" w:cs="宋体"/>
          <w:color w:val="auto"/>
          <w:kern w:val="0"/>
          <w:sz w:val="24"/>
          <w:highlight w:val="none"/>
        </w:rPr>
        <w:t>本企业对上述声明内容的真实性负责。如有虚假，将依法承担相应责任。</w:t>
      </w:r>
    </w:p>
    <w:p w14:paraId="38F39924">
      <w:pPr>
        <w:ind w:firstLine="552"/>
        <w:rPr>
          <w:rFonts w:hint="eastAsia" w:ascii="宋体" w:hAnsi="宋体" w:cs="宋体"/>
          <w:color w:val="auto"/>
          <w:kern w:val="0"/>
          <w:szCs w:val="21"/>
          <w:highlight w:val="none"/>
        </w:rPr>
      </w:pPr>
      <w:r>
        <w:rPr>
          <w:rFonts w:hint="eastAsia" w:ascii="宋体" w:hAnsi="宋体" w:cs="宋体"/>
          <w:color w:val="auto"/>
          <w:kern w:val="0"/>
          <w:highlight w:val="none"/>
        </w:rPr>
        <w:t xml:space="preserve"> </w:t>
      </w:r>
    </w:p>
    <w:p w14:paraId="1E1C79AE">
      <w:pPr>
        <w:pStyle w:val="3"/>
        <w:spacing w:after="0" w:line="360" w:lineRule="auto"/>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1从业人员、营业收入、资产总额填报上一年度数据，无上一年度数据的新成立企业可不填报。</w:t>
      </w:r>
    </w:p>
    <w:p w14:paraId="2DF899BB">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6069B14">
      <w:pPr>
        <w:autoSpaceDE w:val="0"/>
        <w:autoSpaceDN w:val="0"/>
        <w:spacing w:line="360" w:lineRule="auto"/>
        <w:ind w:firstLine="6480" w:firstLineChars="2700"/>
        <w:rPr>
          <w:rFonts w:hint="eastAsia" w:ascii="宋体" w:hAnsi="宋体" w:cs="宋体"/>
          <w:color w:val="auto"/>
          <w:kern w:val="0"/>
          <w:sz w:val="24"/>
          <w:highlight w:val="none"/>
        </w:rPr>
      </w:pPr>
      <w:r>
        <w:rPr>
          <w:rFonts w:hint="eastAsia" w:ascii="宋体" w:hAnsi="宋体" w:cs="宋体"/>
          <w:color w:val="auto"/>
          <w:kern w:val="0"/>
          <w:sz w:val="24"/>
          <w:highlight w:val="none"/>
        </w:rPr>
        <w:t>日期：  年  月   日</w:t>
      </w:r>
    </w:p>
    <w:p w14:paraId="2BB32E05">
      <w:pPr>
        <w:spacing w:line="360" w:lineRule="auto"/>
        <w:contextualSpacing/>
        <w:jc w:val="left"/>
        <w:rPr>
          <w:rFonts w:hint="eastAsia" w:ascii="宋体" w:hAnsi="宋体" w:cs="宋体"/>
          <w:color w:val="auto"/>
          <w:sz w:val="24"/>
          <w:highlight w:val="none"/>
        </w:rPr>
      </w:pPr>
    </w:p>
    <w:p w14:paraId="1546B531">
      <w:pPr>
        <w:spacing w:line="360" w:lineRule="auto"/>
        <w:contextualSpacing/>
        <w:jc w:val="left"/>
        <w:rPr>
          <w:rFonts w:hint="eastAsia" w:ascii="宋体" w:hAnsi="宋体" w:cs="宋体"/>
          <w:color w:val="auto"/>
          <w:kern w:val="0"/>
          <w:sz w:val="24"/>
          <w:highlight w:val="none"/>
        </w:rPr>
      </w:pPr>
      <w:r>
        <w:rPr>
          <w:rFonts w:hint="eastAsia" w:ascii="宋体" w:hAnsi="宋体" w:cs="宋体"/>
          <w:color w:val="auto"/>
          <w:sz w:val="24"/>
          <w:highlight w:val="none"/>
        </w:rPr>
        <w:t>注：享受《政府采购促进中小企业发展管理办法》（财库〔2020〕46号）规定的中小企业扶持政策的，采购人、采购代理机构应当随成交结果公开成交供应商的《小微企业声明函》。从业人员、营业收入、资产总额填报上一年度数据，无上一年度数据的新成立企业可不填报。</w:t>
      </w:r>
    </w:p>
    <w:p w14:paraId="23FB74BF">
      <w:pPr>
        <w:widowControl/>
        <w:spacing w:line="360" w:lineRule="auto"/>
        <w:jc w:val="left"/>
        <w:rPr>
          <w:rFonts w:hint="eastAsia" w:ascii="宋体" w:hAnsi="宋体" w:cs="宋体"/>
          <w:b/>
          <w:bCs/>
          <w:color w:val="auto"/>
          <w:sz w:val="32"/>
          <w:szCs w:val="32"/>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44FFDC5E">
      <w:pPr>
        <w:spacing w:line="520" w:lineRule="exact"/>
        <w:jc w:val="center"/>
        <w:rPr>
          <w:rFonts w:hint="eastAsia" w:ascii="宋体" w:hAnsi="宋体" w:cs="宋体"/>
          <w:color w:val="auto"/>
          <w:sz w:val="32"/>
          <w:szCs w:val="32"/>
          <w:highlight w:val="none"/>
        </w:rPr>
      </w:pPr>
      <w:r>
        <w:rPr>
          <w:rFonts w:hint="eastAsia" w:ascii="宋体" w:hAnsi="宋体" w:cs="宋体"/>
          <w:color w:val="auto"/>
          <w:sz w:val="44"/>
          <w:szCs w:val="44"/>
          <w:highlight w:val="none"/>
        </w:rPr>
        <w:t>残疾人福利性单位声明函</w:t>
      </w:r>
    </w:p>
    <w:p w14:paraId="7B153189">
      <w:pPr>
        <w:spacing w:line="520" w:lineRule="exact"/>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14:paraId="6E7226E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项目采购活动由本单位提供服务。</w:t>
      </w:r>
    </w:p>
    <w:p w14:paraId="4977844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3F5AB6FA">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2B777BF">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1E24293">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54067ED">
      <w:pPr>
        <w:spacing w:line="360" w:lineRule="auto"/>
        <w:ind w:firstLine="2400" w:firstLineChars="1000"/>
        <w:contextualSpacing/>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44EADFAE">
      <w:pPr>
        <w:spacing w:line="360" w:lineRule="auto"/>
        <w:ind w:firstLine="4320" w:firstLineChars="1800"/>
        <w:contextualSpacing/>
        <w:rPr>
          <w:rFonts w:hint="eastAsia" w:ascii="宋体" w:hAnsi="宋体" w:cs="宋体"/>
          <w:color w:val="auto"/>
          <w:sz w:val="24"/>
          <w:highlight w:val="none"/>
        </w:rPr>
      </w:pPr>
      <w:r>
        <w:rPr>
          <w:rFonts w:hint="eastAsia" w:ascii="宋体" w:hAnsi="宋体" w:cs="宋体"/>
          <w:color w:val="auto"/>
          <w:sz w:val="24"/>
          <w:highlight w:val="none"/>
        </w:rPr>
        <w:t>日  期：     年   月   日</w:t>
      </w:r>
    </w:p>
    <w:p w14:paraId="58EF8E6E">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C684322">
      <w:pPr>
        <w:spacing w:line="360" w:lineRule="auto"/>
        <w:contextualSpacing/>
        <w:jc w:val="center"/>
        <w:rPr>
          <w:rFonts w:hint="eastAsia" w:ascii="宋体" w:hAnsi="宋体" w:cs="宋体"/>
          <w:color w:val="auto"/>
          <w:sz w:val="24"/>
          <w:highlight w:val="none"/>
        </w:rPr>
      </w:pPr>
    </w:p>
    <w:p w14:paraId="455E8FA8">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FB4A779">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注：请根据自己的真实情况出具《残疾人福利性单位声明函》。依法小微企业优惠政策的，采购人或者采购代理机构在公告中标结果时，同时公告其《残疾人福利性单位声明函》，接受社会监督。</w:t>
      </w:r>
    </w:p>
    <w:p w14:paraId="582D244A">
      <w:pPr>
        <w:autoSpaceDE w:val="0"/>
        <w:autoSpaceDN w:val="0"/>
        <w:spacing w:line="360" w:lineRule="auto"/>
        <w:ind w:firstLine="6120" w:firstLineChars="255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w:t>
      </w:r>
    </w:p>
    <w:p w14:paraId="77341FA3">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14:paraId="3D18C63A">
      <w:pPr>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14:paraId="5089770E">
      <w:pPr>
        <w:rPr>
          <w:rFonts w:hint="eastAsia" w:ascii="宋体" w:hAnsi="宋体" w:cs="宋体"/>
          <w:color w:val="auto"/>
          <w:szCs w:val="21"/>
          <w:highlight w:val="none"/>
        </w:rPr>
      </w:pPr>
      <w:r>
        <w:rPr>
          <w:rFonts w:hint="eastAsia" w:ascii="宋体" w:hAnsi="宋体" w:cs="宋体"/>
          <w:color w:val="auto"/>
          <w:highlight w:val="none"/>
        </w:rPr>
        <w:t xml:space="preserve"> </w:t>
      </w:r>
    </w:p>
    <w:p w14:paraId="106077F1">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十、除磋商文件规定必须提供以外，供应商认为需要提供的其他证明材料</w:t>
      </w:r>
    </w:p>
    <w:p w14:paraId="24614606">
      <w:pPr>
        <w:bidi w:val="0"/>
        <w:rPr>
          <w:rFonts w:hint="eastAsia"/>
          <w:color w:val="auto"/>
          <w:sz w:val="28"/>
          <w:szCs w:val="36"/>
          <w:highlight w:val="none"/>
          <w:lang w:val="en-US" w:eastAsia="zh-CN"/>
        </w:rPr>
      </w:pPr>
      <w:r>
        <w:rPr>
          <w:rFonts w:hint="eastAsia"/>
          <w:color w:val="auto"/>
          <w:sz w:val="28"/>
          <w:szCs w:val="36"/>
          <w:highlight w:val="none"/>
        </w:rPr>
        <w:t xml:space="preserve"> </w:t>
      </w:r>
      <w:r>
        <w:rPr>
          <w:rFonts w:hint="eastAsia"/>
          <w:color w:val="auto"/>
          <w:sz w:val="28"/>
          <w:szCs w:val="36"/>
          <w:highlight w:val="none"/>
          <w:lang w:val="en-US" w:eastAsia="zh-CN"/>
        </w:rPr>
        <w:t>自拟。</w:t>
      </w:r>
    </w:p>
    <w:p w14:paraId="795FF9A9">
      <w:pPr>
        <w:autoSpaceDE w:val="0"/>
        <w:autoSpaceDN w:val="0"/>
        <w:spacing w:line="360" w:lineRule="auto"/>
        <w:ind w:firstLine="6480" w:firstLineChars="2700"/>
        <w:rPr>
          <w:rFonts w:hint="eastAsia" w:ascii="宋体" w:hAnsi="宋体" w:cs="宋体"/>
          <w:color w:val="auto"/>
          <w:kern w:val="0"/>
          <w:sz w:val="24"/>
          <w:highlight w:val="none"/>
        </w:rPr>
      </w:pPr>
    </w:p>
    <w:p w14:paraId="5DC8BC3A">
      <w:pPr>
        <w:widowControl/>
        <w:spacing w:line="360" w:lineRule="auto"/>
        <w:jc w:val="left"/>
        <w:rPr>
          <w:rFonts w:hint="eastAsia" w:ascii="宋体" w:hAnsi="宋体" w:cs="宋体"/>
          <w:color w:val="auto"/>
          <w:kern w:val="0"/>
          <w:sz w:val="2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08459E6F">
      <w:pPr>
        <w:pStyle w:val="5"/>
        <w:spacing w:before="0" w:after="0" w:line="360" w:lineRule="auto"/>
        <w:jc w:val="center"/>
        <w:rPr>
          <w:rFonts w:hint="eastAsia" w:ascii="宋体" w:hAnsi="宋体" w:cs="宋体"/>
          <w:b w:val="0"/>
          <w:color w:val="auto"/>
          <w:highlight w:val="none"/>
        </w:rPr>
      </w:pPr>
      <w:bookmarkStart w:id="94" w:name="_Toc80205940"/>
      <w:bookmarkEnd w:id="94"/>
      <w:bookmarkStart w:id="95" w:name="_Toc16804"/>
      <w:bookmarkStart w:id="96" w:name="_Toc19593"/>
      <w:r>
        <w:rPr>
          <w:rFonts w:hint="eastAsia" w:ascii="宋体" w:hAnsi="宋体" w:cs="宋体"/>
          <w:b w:val="0"/>
          <w:color w:val="auto"/>
          <w:sz w:val="32"/>
          <w:szCs w:val="32"/>
          <w:highlight w:val="none"/>
        </w:rPr>
        <w:t xml:space="preserve">第三节 </w:t>
      </w:r>
      <w:bookmarkEnd w:id="95"/>
      <w:r>
        <w:rPr>
          <w:rFonts w:hint="eastAsia" w:ascii="宋体" w:hAnsi="宋体" w:cs="宋体"/>
          <w:b w:val="0"/>
          <w:color w:val="auto"/>
          <w:sz w:val="32"/>
          <w:szCs w:val="32"/>
          <w:highlight w:val="none"/>
        </w:rPr>
        <w:t>商务技术文件格式</w:t>
      </w:r>
      <w:bookmarkEnd w:id="96"/>
    </w:p>
    <w:p w14:paraId="0F01585C">
      <w:pPr>
        <w:snapToGrid w:val="0"/>
        <w:spacing w:before="120" w:beforeLines="50" w:after="50"/>
        <w:rPr>
          <w:rFonts w:hint="eastAsia" w:ascii="宋体" w:hAnsi="宋体" w:cs="宋体"/>
          <w:bCs/>
          <w:color w:val="auto"/>
          <w:sz w:val="32"/>
          <w:szCs w:val="32"/>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700CAF20">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BBA618D">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FF25DA9">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  务  技  术  文  件（封面）</w:t>
      </w:r>
    </w:p>
    <w:p w14:paraId="5FFCB296">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2F66F7B9">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4D6390AC">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6DCD942B">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4BACC906">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6F0DF2F8">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2CDD6FD9">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7FDE0C42">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26C59962">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28CB431B">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797AA6F6">
      <w:pPr>
        <w:pStyle w:val="9"/>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     （电子签章，联合体竞标的为牵头人电子签章）</w:t>
      </w:r>
    </w:p>
    <w:p w14:paraId="3CC581B4">
      <w:pPr>
        <w:pStyle w:val="9"/>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1DDB2D67">
      <w:pPr>
        <w:pStyle w:val="9"/>
        <w:snapToGrid w:val="0"/>
        <w:spacing w:before="50" w:after="50"/>
        <w:ind w:firstLine="2880" w:firstLineChars="90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665AC7C9">
      <w:pPr>
        <w:pStyle w:val="9"/>
        <w:snapToGrid w:val="0"/>
        <w:spacing w:before="50" w:after="50"/>
        <w:ind w:firstLine="1280" w:firstLineChars="40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070F586">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524348D5">
      <w:pPr>
        <w:widowControl/>
        <w:jc w:val="left"/>
        <w:rPr>
          <w:rFonts w:hint="eastAsia" w:ascii="宋体" w:hAnsi="宋体" w:cs="宋体"/>
          <w:b/>
          <w:bCs/>
          <w:color w:val="auto"/>
          <w:sz w:val="32"/>
          <w:szCs w:val="32"/>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7ABDEB66">
      <w:pPr>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商务技术文件目录</w:t>
      </w:r>
    </w:p>
    <w:p w14:paraId="571DAE4D">
      <w:pPr>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 xml:space="preserve"> </w:t>
      </w:r>
    </w:p>
    <w:p w14:paraId="44ECA66B">
      <w:pPr>
        <w:spacing w:line="360" w:lineRule="auto"/>
        <w:jc w:val="center"/>
        <w:rPr>
          <w:rFonts w:hint="default" w:ascii="宋体" w:hAnsi="宋体" w:cs="宋体"/>
          <w:b/>
          <w:bCs/>
          <w:color w:val="auto"/>
          <w:sz w:val="24"/>
          <w:highlight w:val="none"/>
          <w:lang w:val="en-US"/>
        </w:rPr>
      </w:pPr>
      <w:r>
        <w:rPr>
          <w:rFonts w:hint="eastAsia" w:ascii="宋体" w:hAnsi="宋体" w:cs="宋体"/>
          <w:b/>
          <w:bCs/>
          <w:color w:val="auto"/>
          <w:sz w:val="24"/>
          <w:highlight w:val="none"/>
          <w:lang w:val="en-US" w:eastAsia="zh-CN"/>
        </w:rPr>
        <w:t>自拟目录</w:t>
      </w:r>
    </w:p>
    <w:p w14:paraId="4936DFD8">
      <w:pPr>
        <w:rPr>
          <w:rFonts w:hint="eastAsia"/>
          <w:color w:val="auto"/>
          <w:highlight w:val="none"/>
        </w:rPr>
      </w:pPr>
      <w:r>
        <w:rPr>
          <w:rFonts w:hint="eastAsia"/>
          <w:color w:val="auto"/>
          <w:highlight w:val="none"/>
        </w:rPr>
        <w:t xml:space="preserve"> </w:t>
      </w:r>
    </w:p>
    <w:p w14:paraId="73DEEBE4">
      <w:pPr>
        <w:rPr>
          <w:rFonts w:hint="eastAsia" w:ascii="宋体" w:hAnsi="宋体" w:cs="宋体"/>
          <w:b/>
          <w:bCs/>
          <w:color w:val="auto"/>
          <w:highlight w:val="none"/>
        </w:rPr>
      </w:pPr>
      <w:r>
        <w:rPr>
          <w:rFonts w:hint="eastAsia" w:ascii="宋体" w:hAnsi="宋体" w:cs="宋体"/>
          <w:b/>
          <w:bCs/>
          <w:color w:val="auto"/>
          <w:highlight w:val="none"/>
        </w:rPr>
        <w:t xml:space="preserve"> </w:t>
      </w:r>
    </w:p>
    <w:p w14:paraId="4A8A5A06">
      <w:pPr>
        <w:spacing w:line="360" w:lineRule="auto"/>
        <w:rPr>
          <w:rFonts w:hint="eastAsia" w:ascii="宋体" w:hAnsi="宋体" w:eastAsia="宋体" w:cs="宋体"/>
          <w:b w:val="0"/>
          <w:bCs w:val="0"/>
          <w:color w:val="auto"/>
          <w:sz w:val="24"/>
          <w:szCs w:val="32"/>
          <w:highlight w:val="none"/>
          <w:lang w:val="en-US" w:eastAsia="zh-CN"/>
        </w:rPr>
      </w:pPr>
      <w:r>
        <w:rPr>
          <w:rFonts w:hint="eastAsia" w:ascii="宋体" w:hAnsi="宋体" w:cs="宋体"/>
          <w:b w:val="0"/>
          <w:bCs w:val="0"/>
          <w:color w:val="auto"/>
          <w:sz w:val="24"/>
          <w:szCs w:val="32"/>
          <w:highlight w:val="none"/>
        </w:rPr>
        <w:t>商务文件组成</w:t>
      </w:r>
      <w:r>
        <w:rPr>
          <w:rFonts w:hint="eastAsia" w:ascii="宋体" w:hAnsi="宋体" w:cs="宋体"/>
          <w:b w:val="0"/>
          <w:bCs w:val="0"/>
          <w:color w:val="auto"/>
          <w:sz w:val="24"/>
          <w:szCs w:val="32"/>
          <w:highlight w:val="none"/>
          <w:lang w:val="en-US" w:eastAsia="zh-CN"/>
        </w:rPr>
        <w:t>要求</w:t>
      </w:r>
    </w:p>
    <w:p w14:paraId="0595FC8B">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1.无串通竞标行为的承诺函；（必须提供，否则响应文件按无效响应处理）</w:t>
      </w:r>
    </w:p>
    <w:p w14:paraId="3B1060E6">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2.法定代表人身份证明书及法定代表人有效身份证正反面复印件；（除自然人竞标外必须提供，否则响应文件按无效响应处理）</w:t>
      </w:r>
    </w:p>
    <w:p w14:paraId="3E4E940F">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3.法定代表人授权委托书及委托代理人有效身份证正反面复印件；（委托时必须提供，否则响应文件按无效响应处理）</w:t>
      </w:r>
    </w:p>
    <w:p w14:paraId="70A4C181">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4.商务条款偏离表；（必须提供，否则响应文件按无效响应处理）</w:t>
      </w:r>
    </w:p>
    <w:p w14:paraId="6D23E0CE">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5.供应商情况介绍；</w:t>
      </w:r>
    </w:p>
    <w:p w14:paraId="3B3ACCA2">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6.供应商认为需要提供的其他有关资料。</w:t>
      </w:r>
    </w:p>
    <w:p w14:paraId="56907FA2">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注：1.法定代表人授权委托书必须由法定代表人及委托代理人签字，并加盖供应商公章，否则响应文件按无效响应处理。</w:t>
      </w:r>
    </w:p>
    <w:p w14:paraId="2461579D">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2.以上标明“必须提供”的材料属于复印件或扫描件的，必须加盖供应商电子公章，否则不予认可，按无效响应处理。2.供应商为联合体竞标的，供应商电子公章可按牵头人电子章为准。</w:t>
      </w:r>
    </w:p>
    <w:p w14:paraId="50D1A463">
      <w:pPr>
        <w:spacing w:line="360" w:lineRule="auto"/>
        <w:rPr>
          <w:rFonts w:hint="eastAsia" w:ascii="宋体" w:hAnsi="宋体" w:cs="宋体"/>
          <w:b w:val="0"/>
          <w:bCs w:val="0"/>
          <w:color w:val="auto"/>
          <w:sz w:val="24"/>
          <w:szCs w:val="32"/>
          <w:highlight w:val="none"/>
        </w:rPr>
      </w:pPr>
    </w:p>
    <w:p w14:paraId="63F617E2">
      <w:pPr>
        <w:spacing w:line="360" w:lineRule="auto"/>
        <w:rPr>
          <w:rFonts w:hint="eastAsia" w:ascii="宋体" w:hAnsi="宋体" w:cs="宋体"/>
          <w:b w:val="0"/>
          <w:bCs w:val="0"/>
          <w:color w:val="auto"/>
          <w:sz w:val="24"/>
          <w:szCs w:val="32"/>
          <w:highlight w:val="none"/>
        </w:rPr>
      </w:pPr>
    </w:p>
    <w:p w14:paraId="78AC456F">
      <w:pPr>
        <w:spacing w:line="360" w:lineRule="auto"/>
        <w:rPr>
          <w:rFonts w:hint="eastAsia" w:ascii="宋体" w:hAnsi="宋体" w:eastAsia="宋体" w:cs="宋体"/>
          <w:b w:val="0"/>
          <w:bCs w:val="0"/>
          <w:color w:val="auto"/>
          <w:sz w:val="24"/>
          <w:szCs w:val="32"/>
          <w:highlight w:val="none"/>
          <w:lang w:val="en-US" w:eastAsia="zh-CN"/>
        </w:rPr>
      </w:pPr>
      <w:r>
        <w:rPr>
          <w:rFonts w:hint="eastAsia" w:ascii="宋体" w:hAnsi="宋体" w:cs="宋体"/>
          <w:b w:val="0"/>
          <w:bCs w:val="0"/>
          <w:color w:val="auto"/>
          <w:sz w:val="24"/>
          <w:szCs w:val="32"/>
          <w:highlight w:val="none"/>
        </w:rPr>
        <w:t>技术文件组成</w:t>
      </w:r>
      <w:r>
        <w:rPr>
          <w:rFonts w:hint="eastAsia" w:ascii="宋体" w:hAnsi="宋体" w:cs="宋体"/>
          <w:b w:val="0"/>
          <w:bCs w:val="0"/>
          <w:color w:val="auto"/>
          <w:sz w:val="24"/>
          <w:szCs w:val="32"/>
          <w:highlight w:val="none"/>
          <w:lang w:val="en-US" w:eastAsia="zh-CN"/>
        </w:rPr>
        <w:t>要求</w:t>
      </w:r>
    </w:p>
    <w:p w14:paraId="4CE3069B">
      <w:pPr>
        <w:spacing w:line="360" w:lineRule="auto"/>
        <w:rPr>
          <w:rFonts w:hint="eastAsia" w:ascii="宋体" w:hAnsi="宋体" w:cs="宋体"/>
          <w:b w:val="0"/>
          <w:bCs w:val="0"/>
          <w:color w:val="auto"/>
          <w:sz w:val="24"/>
          <w:szCs w:val="32"/>
          <w:highlight w:val="none"/>
        </w:rPr>
      </w:pPr>
    </w:p>
    <w:p w14:paraId="722BCBAB">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1.服务需求偏离表；（必须提供，否则响应文件按无效响应处理）</w:t>
      </w:r>
    </w:p>
    <w:p w14:paraId="30CEE849">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2.组织服务方案；</w:t>
      </w:r>
    </w:p>
    <w:p w14:paraId="3B191C5B">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3.售后服务承诺；（必须提供，否则响应文件按无效响应处理）</w:t>
      </w:r>
    </w:p>
    <w:p w14:paraId="56BCB982">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4.项目实施人员一览表；（必须提供，否则响应文件按无效响应处理）</w:t>
      </w:r>
    </w:p>
    <w:p w14:paraId="2D1DF421">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5.人员、物资配置方案；</w:t>
      </w:r>
    </w:p>
    <w:p w14:paraId="485CB42A">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6.对应采购需求的服务需求、商务条款提供的其他文件资料；</w:t>
      </w:r>
    </w:p>
    <w:p w14:paraId="5B03341B">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7.供应商认为需要提供的其他有关资料。</w:t>
      </w:r>
    </w:p>
    <w:p w14:paraId="13C8919F">
      <w:pPr>
        <w:spacing w:line="360" w:lineRule="auto"/>
        <w:rPr>
          <w:rFonts w:hint="eastAsia" w:ascii="宋体" w:hAnsi="宋体" w:cs="宋体"/>
          <w:b w:val="0"/>
          <w:bCs w:val="0"/>
          <w:color w:val="auto"/>
          <w:sz w:val="24"/>
          <w:szCs w:val="32"/>
          <w:highlight w:val="none"/>
        </w:rPr>
      </w:pPr>
      <w:r>
        <w:rPr>
          <w:rFonts w:hint="eastAsia" w:ascii="宋体" w:hAnsi="宋体" w:cs="宋体"/>
          <w:b w:val="0"/>
          <w:bCs w:val="0"/>
          <w:color w:val="auto"/>
          <w:sz w:val="24"/>
          <w:szCs w:val="32"/>
          <w:highlight w:val="none"/>
        </w:rPr>
        <w:t>注：1.以上标明“必须提供”的材料属于复印件或扫描件的，必须加盖供应商电子公章，否则不予认可，按无效响应处理。2.供应商为联合体竞标的，供应商电子公章可按牵头人电子章为准。</w:t>
      </w:r>
    </w:p>
    <w:p w14:paraId="65659CFB">
      <w:pPr>
        <w:rPr>
          <w:rFonts w:hint="eastAsia" w:ascii="宋体" w:hAnsi="宋体" w:cs="宋体"/>
          <w:b/>
          <w:bCs/>
          <w:color w:val="auto"/>
          <w:highlight w:val="none"/>
        </w:rPr>
      </w:pPr>
    </w:p>
    <w:p w14:paraId="18856663">
      <w:pPr>
        <w:rPr>
          <w:rFonts w:hint="eastAsia" w:ascii="宋体" w:hAnsi="宋体" w:cs="宋体"/>
          <w:b/>
          <w:bCs/>
          <w:color w:val="auto"/>
          <w:highlight w:val="none"/>
        </w:rPr>
      </w:pPr>
    </w:p>
    <w:p w14:paraId="34A4FFFF">
      <w:pPr>
        <w:rPr>
          <w:rFonts w:hint="eastAsia" w:ascii="宋体" w:hAnsi="宋体" w:cs="宋体"/>
          <w:b/>
          <w:bCs/>
          <w:color w:val="auto"/>
          <w:highlight w:val="none"/>
        </w:rPr>
      </w:pPr>
    </w:p>
    <w:p w14:paraId="6660ED47">
      <w:pPr>
        <w:rPr>
          <w:rFonts w:hint="eastAsia"/>
          <w:b/>
          <w:bCs/>
          <w:color w:val="auto"/>
          <w:sz w:val="28"/>
          <w:szCs w:val="36"/>
          <w:highlight w:val="none"/>
          <w:lang w:val="en-US" w:eastAsia="zh-CN"/>
        </w:rPr>
      </w:pPr>
      <w:r>
        <w:rPr>
          <w:rFonts w:hint="eastAsia"/>
          <w:b/>
          <w:bCs/>
          <w:color w:val="auto"/>
          <w:sz w:val="28"/>
          <w:szCs w:val="36"/>
          <w:highlight w:val="none"/>
          <w:lang w:val="en-US" w:eastAsia="zh-CN"/>
        </w:rPr>
        <w:t>备注：联合体竞标时，</w:t>
      </w:r>
      <w:r>
        <w:rPr>
          <w:rFonts w:hint="eastAsia"/>
          <w:b/>
          <w:bCs/>
          <w:color w:val="auto"/>
          <w:sz w:val="28"/>
          <w:szCs w:val="36"/>
          <w:highlight w:val="none"/>
        </w:rPr>
        <w:t>供应商名称</w:t>
      </w:r>
      <w:r>
        <w:rPr>
          <w:rFonts w:hint="eastAsia"/>
          <w:b/>
          <w:bCs/>
          <w:color w:val="auto"/>
          <w:sz w:val="28"/>
          <w:szCs w:val="36"/>
          <w:highlight w:val="none"/>
          <w:lang w:val="en-US" w:eastAsia="zh-CN"/>
        </w:rPr>
        <w:t>应为联合体的名称。</w:t>
      </w:r>
    </w:p>
    <w:p w14:paraId="77D3E6BC">
      <w:pPr>
        <w:bidi w:val="0"/>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一、无串标行为承诺函</w:t>
      </w:r>
    </w:p>
    <w:p w14:paraId="5B6A0DB1">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 xml:space="preserve"> </w:t>
      </w:r>
    </w:p>
    <w:p w14:paraId="3D690FBD">
      <w:pPr>
        <w:spacing w:line="520" w:lineRule="exact"/>
        <w:jc w:val="center"/>
        <w:rPr>
          <w:rFonts w:hint="eastAsia" w:ascii="宋体" w:hAnsi="宋体" w:cs="宋体"/>
          <w:color w:val="auto"/>
          <w:sz w:val="32"/>
          <w:szCs w:val="32"/>
          <w:highlight w:val="none"/>
        </w:rPr>
      </w:pPr>
      <w:r>
        <w:rPr>
          <w:rFonts w:hint="eastAsia" w:ascii="宋体" w:hAnsi="宋体" w:cs="宋体"/>
          <w:color w:val="auto"/>
          <w:sz w:val="44"/>
          <w:szCs w:val="44"/>
          <w:highlight w:val="none"/>
        </w:rPr>
        <w:t>无串通竞标行为的承诺函</w:t>
      </w:r>
    </w:p>
    <w:p w14:paraId="75A93372">
      <w:pPr>
        <w:spacing w:line="520" w:lineRule="exact"/>
        <w:ind w:firstLine="640" w:firstLineChars="200"/>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14:paraId="4FBB481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4379304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2399F9A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083B19F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14:paraId="3A82650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同供应商的响应文件异常一致或者响应报价呈规律性差异；</w:t>
      </w:r>
    </w:p>
    <w:p w14:paraId="349AEC7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5.不同供应商的响应文件相互混装；</w:t>
      </w:r>
    </w:p>
    <w:p w14:paraId="2609D2D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p>
    <w:p w14:paraId="1C466591">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1B81405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2C8C06D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1128449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321980A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64D355C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73B85BC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1531F3A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782A89D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以上情形一经核查属实，接受政府采购监管部门对我方认定存在围标串标行为，我方愿意承担一切后果，并不再寻求任何旨在减轻或者免除法律责任的辩解。</w:t>
      </w:r>
    </w:p>
    <w:p w14:paraId="36F571AA">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2052CE4">
      <w:pPr>
        <w:spacing w:line="520" w:lineRule="exact"/>
        <w:ind w:left="239" w:leftChars="114" w:firstLine="6120" w:firstLineChars="2550"/>
        <w:jc w:val="left"/>
        <w:rPr>
          <w:rFonts w:hint="eastAsia" w:ascii="宋体" w:hAnsi="宋体" w:cs="宋体"/>
          <w:bCs/>
          <w:color w:val="auto"/>
          <w:sz w:val="44"/>
          <w:szCs w:val="44"/>
          <w:highlight w:val="none"/>
        </w:rPr>
      </w:pPr>
      <w:r>
        <w:rPr>
          <w:rFonts w:hint="eastAsia" w:ascii="宋体" w:hAnsi="宋体" w:cs="宋体"/>
          <w:color w:val="auto"/>
          <w:kern w:val="0"/>
          <w:sz w:val="24"/>
          <w:highlight w:val="none"/>
        </w:rPr>
        <w:t xml:space="preserve">日期：  年  月   日   </w:t>
      </w:r>
      <w:r>
        <w:rPr>
          <w:rFonts w:hint="eastAsia" w:ascii="宋体" w:hAnsi="宋体" w:cs="宋体"/>
          <w:b/>
          <w:bCs/>
          <w:color w:val="auto"/>
          <w:sz w:val="32"/>
          <w:szCs w:val="32"/>
          <w:highlight w:val="none"/>
        </w:rPr>
        <w:br w:type="page"/>
      </w:r>
      <w:r>
        <w:rPr>
          <w:rFonts w:hint="eastAsia" w:ascii="宋体" w:hAnsi="宋体" w:cs="宋体"/>
          <w:b/>
          <w:color w:val="auto"/>
          <w:sz w:val="30"/>
          <w:szCs w:val="30"/>
          <w:highlight w:val="none"/>
        </w:rPr>
        <w:t>二、法定代表人身份证明书及法定代表人有效身份证正反面复印件</w:t>
      </w:r>
    </w:p>
    <w:p w14:paraId="236983D2">
      <w:pPr>
        <w:spacing w:line="520" w:lineRule="exact"/>
        <w:jc w:val="center"/>
        <w:rPr>
          <w:rFonts w:hint="eastAsia" w:ascii="宋体" w:hAnsi="宋体" w:cs="宋体"/>
          <w:color w:val="auto"/>
          <w:sz w:val="32"/>
          <w:szCs w:val="32"/>
          <w:highlight w:val="none"/>
        </w:rPr>
      </w:pPr>
      <w:r>
        <w:rPr>
          <w:rFonts w:hint="eastAsia" w:ascii="宋体" w:hAnsi="宋体" w:cs="宋体"/>
          <w:bCs/>
          <w:color w:val="auto"/>
          <w:sz w:val="44"/>
          <w:szCs w:val="44"/>
          <w:highlight w:val="none"/>
        </w:rPr>
        <w:t>法定代表人证明书</w:t>
      </w:r>
    </w:p>
    <w:p w14:paraId="29C3FA64">
      <w:pPr>
        <w:spacing w:line="360" w:lineRule="auto"/>
        <w:ind w:left="540"/>
        <w:contextualSpacing/>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14:paraId="555E6E12">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20786B2D">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77AEEBDB">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3E41E32B">
      <w:pPr>
        <w:spacing w:line="360" w:lineRule="auto"/>
        <w:ind w:left="540"/>
        <w:contextualSpacing/>
        <w:rPr>
          <w:rFonts w:hint="eastAsia"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0AD2AEBC">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0B7D412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w:t>
      </w:r>
    </w:p>
    <w:p w14:paraId="0D8AB49D">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特此证明。</w:t>
      </w:r>
    </w:p>
    <w:p w14:paraId="2F32C4E8">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F7F0F71">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8E4AE39">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1D3E696">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1DDD4677">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DF90B50">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32386A28">
      <w:pPr>
        <w:spacing w:line="360" w:lineRule="auto"/>
        <w:jc w:val="center"/>
        <w:rPr>
          <w:rFonts w:hint="eastAsia" w:ascii="宋体" w:hAnsi="宋体" w:cs="宋体"/>
          <w:b/>
          <w:color w:val="auto"/>
          <w:sz w:val="24"/>
          <w:highlight w:val="none"/>
        </w:rPr>
      </w:pPr>
      <w:r>
        <w:rPr>
          <w:rFonts w:hint="eastAsia" w:ascii="宋体" w:hAnsi="宋体" w:cs="宋体"/>
          <w:color w:val="auto"/>
          <w:kern w:val="0"/>
          <w:sz w:val="24"/>
          <w:highlight w:val="none"/>
        </w:rPr>
        <w:t xml:space="preserve">                                                   日期：  年  月   日</w:t>
      </w:r>
    </w:p>
    <w:p w14:paraId="78D4B6DE">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54C1C61">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注：1.自然人竞标的无需提供，联合体竞标的只需牵头人出具。</w:t>
      </w:r>
    </w:p>
    <w:p w14:paraId="2BD02838">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F3A9B5F">
      <w:pPr>
        <w:widowControl/>
        <w:spacing w:line="360" w:lineRule="auto"/>
        <w:jc w:val="left"/>
        <w:rPr>
          <w:rFonts w:hint="eastAsia" w:ascii="宋体" w:hAnsi="宋体" w:cs="宋体"/>
          <w:color w:val="auto"/>
          <w:sz w:val="2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5B0F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9"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14:paraId="18E92AD1">
            <w:pPr>
              <w:spacing w:line="360" w:lineRule="auto"/>
              <w:rPr>
                <w:rFonts w:hint="eastAsia" w:ascii="宋体" w:hAnsi="宋体" w:cs="宋体"/>
                <w:b/>
                <w:color w:val="auto"/>
                <w:sz w:val="24"/>
                <w:highlight w:val="none"/>
              </w:rPr>
            </w:pPr>
          </w:p>
          <w:p w14:paraId="2DD91A87">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法定代表身份证复印件粘帖处（正、反面）</w:t>
            </w:r>
          </w:p>
        </w:tc>
      </w:tr>
    </w:tbl>
    <w:p w14:paraId="23E07CE5">
      <w:pPr>
        <w:spacing w:line="360" w:lineRule="auto"/>
        <w:ind w:firstLine="482" w:firstLineChars="200"/>
        <w:jc w:val="left"/>
        <w:rPr>
          <w:rFonts w:hint="eastAsia" w:ascii="宋体" w:hAnsi="宋体" w:cs="宋体"/>
          <w:b/>
          <w:color w:val="auto"/>
          <w:sz w:val="32"/>
          <w:szCs w:val="32"/>
          <w:highlight w:val="none"/>
        </w:rPr>
      </w:pPr>
      <w:r>
        <w:rPr>
          <w:rFonts w:hint="eastAsia" w:ascii="宋体" w:hAnsi="宋体" w:cs="宋体"/>
          <w:b/>
          <w:color w:val="auto"/>
          <w:sz w:val="24"/>
          <w:highlight w:val="none"/>
        </w:rPr>
        <w:t>附件：</w:t>
      </w:r>
    </w:p>
    <w:p w14:paraId="2FE32B3E">
      <w:pPr>
        <w:adjustRightInd w:val="0"/>
        <w:snapToGrid w:val="0"/>
        <w:spacing w:line="300" w:lineRule="auto"/>
        <w:jc w:val="left"/>
        <w:rPr>
          <w:rFonts w:hint="eastAsia" w:ascii="宋体" w:hAnsi="宋体" w:cs="宋体"/>
          <w:b/>
          <w:color w:val="auto"/>
          <w:szCs w:val="21"/>
          <w:highlight w:val="none"/>
        </w:rPr>
      </w:pPr>
      <w:r>
        <w:rPr>
          <w:rFonts w:hint="eastAsia" w:ascii="宋体" w:hAnsi="宋体" w:cs="宋体"/>
          <w:b/>
          <w:color w:val="auto"/>
          <w:highlight w:val="none"/>
        </w:rPr>
        <w:t xml:space="preserve"> </w:t>
      </w:r>
    </w:p>
    <w:p w14:paraId="66F017D9">
      <w:pPr>
        <w:spacing w:line="520" w:lineRule="exact"/>
        <w:ind w:firstLine="880"/>
        <w:jc w:val="left"/>
        <w:rPr>
          <w:rFonts w:hint="eastAsia" w:ascii="宋体" w:hAnsi="宋体" w:cs="宋体"/>
          <w:bCs/>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三、法定代表人授权委托书</w:t>
      </w:r>
    </w:p>
    <w:p w14:paraId="7CB2895E">
      <w:pPr>
        <w:spacing w:line="50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 xml:space="preserve"> </w:t>
      </w:r>
    </w:p>
    <w:p w14:paraId="4F3C9D73">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授权委托书（非联合体竞标格式）</w:t>
      </w:r>
    </w:p>
    <w:p w14:paraId="1E3FC7BF">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（如有委托时）</w:t>
      </w:r>
    </w:p>
    <w:p w14:paraId="0156A7F8">
      <w:pPr>
        <w:spacing w:line="520" w:lineRule="exact"/>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14:paraId="238A1492">
      <w:pPr>
        <w:spacing w:line="360" w:lineRule="auto"/>
        <w:rPr>
          <w:rFonts w:hint="eastAsia" w:ascii="宋体" w:hAnsi="宋体" w:cs="宋体"/>
          <w:color w:val="auto"/>
          <w:sz w:val="24"/>
          <w:highlight w:val="none"/>
        </w:rPr>
      </w:pPr>
      <w:r>
        <w:rPr>
          <w:rFonts w:hint="eastAsia" w:ascii="宋体" w:hAnsi="宋体" w:cs="宋体"/>
          <w:color w:val="auto"/>
          <w:sz w:val="24"/>
          <w:highlight w:val="none"/>
        </w:rPr>
        <w:t>致采购人：</w:t>
      </w:r>
      <w:bookmarkStart w:id="97" w:name="PO_3000001868_PM031_7"/>
      <w:bookmarkEnd w:id="97"/>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BCBC72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bookmarkStart w:id="98" w:name="PO_3000001868_PM002_7"/>
      <w:bookmarkEnd w:id="98"/>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4A2063CA">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65D9D25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26AD730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6A4F6F6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附：法定代表人身份证明书及委托代理人有效身份证正反面复印件</w:t>
      </w:r>
    </w:p>
    <w:p w14:paraId="03187185">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DF3C30C">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委托代理人（签字）：         法定代表人（签字或盖章）：                    </w:t>
      </w:r>
    </w:p>
    <w:p w14:paraId="3CE8F6B7">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05105920">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D4336CB">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rPr>
        <w:t>供应商名称（电子签章）：</w:t>
      </w:r>
    </w:p>
    <w:p w14:paraId="242750BB">
      <w:pPr>
        <w:spacing w:line="360" w:lineRule="auto"/>
        <w:jc w:val="center"/>
        <w:rPr>
          <w:rFonts w:hint="eastAsia" w:ascii="宋体" w:hAnsi="宋体" w:cs="宋体"/>
          <w:b/>
          <w:color w:val="auto"/>
          <w:sz w:val="24"/>
          <w:highlight w:val="none"/>
        </w:rPr>
      </w:pPr>
      <w:r>
        <w:rPr>
          <w:rFonts w:hint="eastAsia" w:ascii="宋体" w:hAnsi="宋体" w:cs="宋体"/>
          <w:color w:val="auto"/>
          <w:kern w:val="0"/>
          <w:sz w:val="24"/>
          <w:highlight w:val="none"/>
        </w:rPr>
        <w:t xml:space="preserve">                                                   日期：  年  月   日</w:t>
      </w:r>
    </w:p>
    <w:p w14:paraId="4738553A">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203B7BA">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17479493">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6FB9BC9">
      <w:pPr>
        <w:spacing w:line="360" w:lineRule="auto"/>
        <w:ind w:firstLine="480" w:firstLineChars="200"/>
        <w:jc w:val="left"/>
        <w:rPr>
          <w:rFonts w:hint="eastAsia" w:ascii="宋体" w:hAnsi="宋体" w:cs="宋体"/>
          <w:color w:val="auto"/>
          <w:szCs w:val="21"/>
          <w:highlight w:val="none"/>
        </w:rPr>
      </w:pPr>
      <w:r>
        <w:rPr>
          <w:rFonts w:hint="eastAsia" w:ascii="宋体" w:hAnsi="宋体" w:cs="宋体"/>
          <w:color w:val="auto"/>
          <w:sz w:val="24"/>
          <w:highlight w:val="none"/>
        </w:rPr>
        <w:t>3. 法人、其他组织竞标时“我方”是指“我单位”，自然人竞标时“我方”是指“本人”。</w:t>
      </w:r>
    </w:p>
    <w:p w14:paraId="2799966D">
      <w:pPr>
        <w:spacing w:line="500" w:lineRule="exact"/>
        <w:jc w:val="center"/>
        <w:rPr>
          <w:rFonts w:hint="eastAsia" w:ascii="宋体" w:hAnsi="宋体" w:cs="宋体"/>
          <w:color w:val="auto"/>
          <w:sz w:val="44"/>
          <w:szCs w:val="44"/>
          <w:highlight w:val="none"/>
        </w:rPr>
      </w:pPr>
      <w:r>
        <w:rPr>
          <w:rFonts w:hint="eastAsia" w:ascii="宋体" w:hAnsi="宋体" w:cs="宋体"/>
          <w:color w:val="auto"/>
          <w:highlight w:val="none"/>
        </w:rPr>
        <w:br w:type="page"/>
      </w:r>
      <w:r>
        <w:rPr>
          <w:rFonts w:hint="eastAsia" w:ascii="宋体" w:hAnsi="宋体" w:cs="宋体"/>
          <w:color w:val="auto"/>
          <w:sz w:val="44"/>
          <w:szCs w:val="44"/>
          <w:highlight w:val="none"/>
        </w:rPr>
        <w:t>授权委托书（联合体竞标格式）</w:t>
      </w:r>
    </w:p>
    <w:p w14:paraId="5DFFACFA">
      <w:pPr>
        <w:spacing w:line="50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（如有委托时）</w:t>
      </w:r>
    </w:p>
    <w:p w14:paraId="29C24341">
      <w:pPr>
        <w:spacing w:line="50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 xml:space="preserve"> </w:t>
      </w:r>
    </w:p>
    <w:p w14:paraId="5CB99CA5">
      <w:pPr>
        <w:spacing w:line="50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14:paraId="3C25F1F7">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本授权委托书声明：根据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（联合体其他成员名称）签订的《联合体竞标协议书》的内容，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（牵头人名称）的法定代表人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（姓名）现授权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（姓名）为联合委托代理人，并代表我方全权办理针对上述项目的所有采购程序和环节的具体事务和签署相关文件。</w:t>
      </w:r>
    </w:p>
    <w:p w14:paraId="4B3D5FC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4F13304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2B23CEF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0D4BEF5C">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CF34A5E">
      <w:pPr>
        <w:spacing w:line="360" w:lineRule="auto"/>
        <w:ind w:firstLine="1560" w:firstLineChars="650"/>
        <w:rPr>
          <w:rFonts w:hint="eastAsia" w:ascii="宋体" w:hAnsi="宋体" w:cs="宋体"/>
          <w:color w:val="auto"/>
          <w:sz w:val="24"/>
          <w:highlight w:val="none"/>
        </w:rPr>
      </w:pPr>
      <w:r>
        <w:rPr>
          <w:rFonts w:hint="eastAsia" w:ascii="宋体" w:hAnsi="宋体" w:cs="宋体"/>
          <w:color w:val="auto"/>
          <w:sz w:val="24"/>
          <w:highlight w:val="none"/>
        </w:rPr>
        <w:t>牵头人法定代表人（签字或盖章）：</w:t>
      </w:r>
    </w:p>
    <w:p w14:paraId="516B8914">
      <w:pPr>
        <w:spacing w:line="360" w:lineRule="auto"/>
        <w:ind w:firstLine="3120" w:firstLineChars="1300"/>
        <w:rPr>
          <w:rFonts w:hint="eastAsia" w:ascii="宋体" w:hAnsi="宋体" w:cs="宋体"/>
          <w:color w:val="auto"/>
          <w:sz w:val="24"/>
          <w:highlight w:val="none"/>
        </w:rPr>
      </w:pPr>
      <w:r>
        <w:rPr>
          <w:rFonts w:hint="eastAsia" w:ascii="宋体" w:hAnsi="宋体" w:cs="宋体"/>
          <w:color w:val="auto"/>
          <w:sz w:val="24"/>
          <w:highlight w:val="none"/>
        </w:rPr>
        <w:t>牵头人（电子签章）：</w:t>
      </w:r>
    </w:p>
    <w:p w14:paraId="61E96ED3">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3A2F9FD6">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913D669">
      <w:pPr>
        <w:spacing w:line="360" w:lineRule="auto"/>
        <w:ind w:firstLine="3120" w:firstLineChars="1300"/>
        <w:rPr>
          <w:rFonts w:hint="eastAsia" w:ascii="宋体" w:hAnsi="宋体" w:cs="宋体"/>
          <w:color w:val="auto"/>
          <w:sz w:val="24"/>
          <w:highlight w:val="none"/>
        </w:rPr>
      </w:pPr>
      <w:r>
        <w:rPr>
          <w:rFonts w:hint="eastAsia" w:ascii="宋体" w:hAnsi="宋体" w:cs="宋体"/>
          <w:color w:val="auto"/>
          <w:sz w:val="24"/>
          <w:highlight w:val="none"/>
        </w:rPr>
        <w:t>被授权人（签字）：</w:t>
      </w:r>
    </w:p>
    <w:p w14:paraId="0B18F008">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4D69FD8B">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1CBE8B5">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569CBA34">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2.本授权委托书应由联合体牵头人的法定代表人按上述规定签署。</w:t>
      </w:r>
    </w:p>
    <w:p w14:paraId="703CF7F1">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9A63E84">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4.法人、其他组织竞标时“我方”是指“我单位”，自然人竞标时“我方”是指“本人”。</w:t>
      </w:r>
    </w:p>
    <w:p w14:paraId="2F09471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 xml:space="preserve"> </w:t>
      </w:r>
    </w:p>
    <w:p w14:paraId="3D30BEE7">
      <w:pPr>
        <w:spacing w:line="520" w:lineRule="exact"/>
        <w:ind w:firstLine="640" w:firstLineChars="200"/>
        <w:jc w:val="left"/>
        <w:rPr>
          <w:rFonts w:hint="eastAsia" w:ascii="宋体" w:hAnsi="宋体" w:cs="宋体"/>
          <w:b/>
          <w:color w:val="auto"/>
          <w:sz w:val="30"/>
          <w:szCs w:val="30"/>
          <w:highlight w:val="none"/>
        </w:rPr>
      </w:pPr>
      <w:r>
        <w:rPr>
          <w:rFonts w:hint="eastAsia" w:ascii="宋体" w:hAnsi="宋体" w:cs="宋体"/>
          <w:color w:val="auto"/>
          <w:sz w:val="32"/>
          <w:szCs w:val="32"/>
          <w:highlight w:val="none"/>
        </w:rPr>
        <w:br w:type="page"/>
      </w:r>
      <w:r>
        <w:rPr>
          <w:rFonts w:hint="eastAsia" w:ascii="宋体" w:hAnsi="宋体" w:cs="宋体"/>
          <w:b/>
          <w:color w:val="auto"/>
          <w:sz w:val="30"/>
          <w:szCs w:val="30"/>
          <w:highlight w:val="none"/>
        </w:rPr>
        <w:t>四、商务条款偏离表</w:t>
      </w:r>
    </w:p>
    <w:p w14:paraId="0CC93437">
      <w:pPr>
        <w:spacing w:line="500" w:lineRule="exact"/>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商务条款偏离表</w:t>
      </w:r>
    </w:p>
    <w:p w14:paraId="0A9B298B">
      <w:pPr>
        <w:spacing w:line="520" w:lineRule="exact"/>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14:paraId="3EBAA001">
      <w:pPr>
        <w:spacing w:line="360" w:lineRule="auto"/>
        <w:rPr>
          <w:rFonts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5385280E">
      <w:pPr>
        <w:spacing w:line="360" w:lineRule="auto"/>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bookmarkStart w:id="99" w:name="PO_3000001868_PM002_8"/>
      <w:r>
        <w:rPr>
          <w:rFonts w:hint="eastAsia" w:ascii="宋体" w:hAnsi="宋体" w:cs="宋体"/>
          <w:color w:val="auto"/>
          <w:sz w:val="24"/>
          <w:highlight w:val="none"/>
          <w:u w:val="single"/>
        </w:rPr>
        <w:t xml:space="preserve"> </w:t>
      </w:r>
      <w:bookmarkEnd w:id="99"/>
      <w:r>
        <w:rPr>
          <w:rFonts w:hint="eastAsia" w:ascii="宋体" w:hAnsi="宋体" w:cs="宋体"/>
          <w:color w:val="auto"/>
          <w:sz w:val="24"/>
          <w:highlight w:val="none"/>
          <w:u w:val="single"/>
        </w:rPr>
        <w:t xml:space="preserve">        </w:t>
      </w:r>
    </w:p>
    <w:p w14:paraId="75491269">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分标号</w:t>
      </w:r>
      <w:r>
        <w:rPr>
          <w:rFonts w:hint="eastAsia" w:ascii="宋体" w:hAnsi="宋体" w:cs="宋体"/>
          <w:color w:val="auto"/>
          <w:highlight w:val="none"/>
        </w:rPr>
        <w:t>（此处有分标时填写具体分标号，无分标时填写“无”）</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3660"/>
        <w:gridCol w:w="2539"/>
        <w:gridCol w:w="2367"/>
      </w:tblGrid>
      <w:tr w14:paraId="51F8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4" w:type="pct"/>
            <w:tcBorders>
              <w:top w:val="single" w:color="auto" w:sz="4" w:space="0"/>
              <w:left w:val="single" w:color="auto" w:sz="4" w:space="0"/>
              <w:bottom w:val="single" w:color="auto" w:sz="4" w:space="0"/>
              <w:right w:val="single" w:color="auto" w:sz="4" w:space="0"/>
            </w:tcBorders>
            <w:noWrap w:val="0"/>
            <w:vAlign w:val="top"/>
          </w:tcPr>
          <w:p w14:paraId="0BE9EFB9">
            <w:pPr>
              <w:spacing w:line="340" w:lineRule="exact"/>
              <w:jc w:val="center"/>
              <w:rPr>
                <w:rFonts w:hint="eastAsia" w:ascii="宋体" w:hAnsi="宋体" w:cs="宋体"/>
                <w:color w:val="auto"/>
                <w:szCs w:val="21"/>
                <w:highlight w:val="none"/>
              </w:rPr>
            </w:pPr>
            <w:r>
              <w:rPr>
                <w:rFonts w:hint="eastAsia" w:ascii="宋体" w:hAnsi="宋体" w:cs="宋体"/>
                <w:color w:val="auto"/>
                <w:highlight w:val="none"/>
              </w:rPr>
              <w:t>项号</w:t>
            </w:r>
          </w:p>
        </w:tc>
        <w:tc>
          <w:tcPr>
            <w:tcW w:w="1981" w:type="pct"/>
            <w:tcBorders>
              <w:top w:val="single" w:color="auto" w:sz="4" w:space="0"/>
              <w:left w:val="nil"/>
              <w:bottom w:val="single" w:color="auto" w:sz="4" w:space="0"/>
              <w:right w:val="single" w:color="auto" w:sz="4" w:space="0"/>
            </w:tcBorders>
            <w:noWrap w:val="0"/>
            <w:vAlign w:val="top"/>
          </w:tcPr>
          <w:p w14:paraId="1606BD70">
            <w:pPr>
              <w:spacing w:line="340" w:lineRule="exact"/>
              <w:jc w:val="center"/>
              <w:rPr>
                <w:rFonts w:hint="eastAsia" w:ascii="宋体" w:hAnsi="宋体" w:cs="宋体"/>
                <w:color w:val="auto"/>
                <w:szCs w:val="21"/>
                <w:highlight w:val="none"/>
              </w:rPr>
            </w:pPr>
            <w:r>
              <w:rPr>
                <w:rFonts w:hint="eastAsia" w:ascii="宋体" w:hAnsi="宋体" w:cs="宋体"/>
                <w:color w:val="auto"/>
                <w:highlight w:val="none"/>
              </w:rPr>
              <w:t>采购文件的商务需求</w:t>
            </w:r>
          </w:p>
        </w:tc>
        <w:tc>
          <w:tcPr>
            <w:tcW w:w="1374" w:type="pct"/>
            <w:tcBorders>
              <w:top w:val="single" w:color="auto" w:sz="4" w:space="0"/>
              <w:left w:val="nil"/>
              <w:bottom w:val="single" w:color="auto" w:sz="4" w:space="0"/>
              <w:right w:val="single" w:color="auto" w:sz="4" w:space="0"/>
            </w:tcBorders>
            <w:noWrap w:val="0"/>
            <w:vAlign w:val="top"/>
          </w:tcPr>
          <w:p w14:paraId="417D2105">
            <w:pPr>
              <w:spacing w:line="340" w:lineRule="exact"/>
              <w:jc w:val="center"/>
              <w:rPr>
                <w:rFonts w:hint="eastAsia" w:ascii="宋体" w:hAnsi="宋体" w:cs="宋体"/>
                <w:color w:val="auto"/>
                <w:szCs w:val="21"/>
                <w:highlight w:val="none"/>
              </w:rPr>
            </w:pPr>
            <w:r>
              <w:rPr>
                <w:rFonts w:hint="eastAsia" w:ascii="宋体" w:hAnsi="宋体" w:cs="宋体"/>
                <w:color w:val="auto"/>
                <w:highlight w:val="none"/>
              </w:rPr>
              <w:t>响应文件承诺的商务条款</w:t>
            </w:r>
          </w:p>
        </w:tc>
        <w:tc>
          <w:tcPr>
            <w:tcW w:w="1279" w:type="pct"/>
            <w:tcBorders>
              <w:top w:val="single" w:color="auto" w:sz="4" w:space="0"/>
              <w:left w:val="nil"/>
              <w:bottom w:val="single" w:color="auto" w:sz="4" w:space="0"/>
              <w:right w:val="single" w:color="auto" w:sz="4" w:space="0"/>
            </w:tcBorders>
            <w:noWrap w:val="0"/>
            <w:vAlign w:val="top"/>
          </w:tcPr>
          <w:p w14:paraId="6D7F8615">
            <w:pPr>
              <w:spacing w:line="300" w:lineRule="exact"/>
              <w:jc w:val="center"/>
              <w:rPr>
                <w:rFonts w:hint="eastAsia" w:ascii="宋体" w:hAnsi="宋体" w:cs="宋体"/>
                <w:color w:val="auto"/>
                <w:szCs w:val="21"/>
                <w:highlight w:val="none"/>
              </w:rPr>
            </w:pPr>
            <w:r>
              <w:rPr>
                <w:rFonts w:hint="eastAsia" w:ascii="宋体" w:hAnsi="宋体" w:cs="宋体"/>
                <w:color w:val="auto"/>
                <w:highlight w:val="none"/>
              </w:rPr>
              <w:t>偏离说明</w:t>
            </w:r>
          </w:p>
        </w:tc>
      </w:tr>
      <w:tr w14:paraId="62B7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restart"/>
            <w:tcBorders>
              <w:top w:val="nil"/>
              <w:left w:val="single" w:color="auto" w:sz="4" w:space="0"/>
              <w:bottom w:val="single" w:color="auto" w:sz="4" w:space="0"/>
              <w:right w:val="single" w:color="auto" w:sz="4" w:space="0"/>
            </w:tcBorders>
            <w:noWrap w:val="0"/>
            <w:vAlign w:val="top"/>
          </w:tcPr>
          <w:p w14:paraId="31B9DE70">
            <w:pPr>
              <w:spacing w:line="340" w:lineRule="exact"/>
              <w:rPr>
                <w:rFonts w:hint="eastAsia" w:ascii="宋体" w:hAnsi="宋体" w:cs="宋体"/>
                <w:color w:val="auto"/>
                <w:szCs w:val="21"/>
                <w:highlight w:val="none"/>
              </w:rPr>
            </w:pPr>
            <w:r>
              <w:rPr>
                <w:rFonts w:hint="eastAsia" w:ascii="宋体" w:hAnsi="宋体" w:cs="宋体"/>
                <w:color w:val="auto"/>
                <w:highlight w:val="none"/>
              </w:rPr>
              <w:t>一</w:t>
            </w:r>
          </w:p>
        </w:tc>
        <w:tc>
          <w:tcPr>
            <w:tcW w:w="1981" w:type="pct"/>
            <w:tcBorders>
              <w:top w:val="single" w:color="auto" w:sz="4" w:space="0"/>
              <w:left w:val="nil"/>
              <w:bottom w:val="single" w:color="auto" w:sz="4" w:space="0"/>
              <w:right w:val="single" w:color="auto" w:sz="4" w:space="0"/>
            </w:tcBorders>
            <w:noWrap w:val="0"/>
            <w:vAlign w:val="top"/>
          </w:tcPr>
          <w:p w14:paraId="44EEBA9B">
            <w:pPr>
              <w:rPr>
                <w:rFonts w:hint="eastAsia" w:ascii="宋体" w:hAnsi="宋体" w:cs="宋体"/>
                <w:color w:val="auto"/>
                <w:szCs w:val="21"/>
                <w:highlight w:val="none"/>
              </w:rPr>
            </w:pPr>
            <w:r>
              <w:rPr>
                <w:rFonts w:hint="eastAsia" w:ascii="宋体" w:hAnsi="宋体" w:cs="宋体"/>
                <w:color w:val="auto"/>
                <w:highlight w:val="none"/>
              </w:rPr>
              <w:t>1  ……</w:t>
            </w:r>
          </w:p>
        </w:tc>
        <w:tc>
          <w:tcPr>
            <w:tcW w:w="1374" w:type="pct"/>
            <w:tcBorders>
              <w:top w:val="single" w:color="auto" w:sz="4" w:space="0"/>
              <w:left w:val="nil"/>
              <w:bottom w:val="single" w:color="auto" w:sz="4" w:space="0"/>
              <w:right w:val="single" w:color="auto" w:sz="4" w:space="0"/>
            </w:tcBorders>
            <w:noWrap w:val="0"/>
            <w:vAlign w:val="top"/>
          </w:tcPr>
          <w:p w14:paraId="27A73547">
            <w:pPr>
              <w:rPr>
                <w:rFonts w:hint="eastAsia" w:ascii="宋体" w:hAnsi="宋体" w:cs="宋体"/>
                <w:color w:val="auto"/>
                <w:szCs w:val="21"/>
                <w:highlight w:val="none"/>
              </w:rPr>
            </w:pPr>
            <w:r>
              <w:rPr>
                <w:rFonts w:hint="eastAsia" w:ascii="宋体" w:hAnsi="宋体" w:cs="宋体"/>
                <w:color w:val="auto"/>
                <w:highlight w:val="none"/>
              </w:rPr>
              <w:t>1  ……</w:t>
            </w:r>
          </w:p>
        </w:tc>
        <w:tc>
          <w:tcPr>
            <w:tcW w:w="1279" w:type="pct"/>
            <w:tcBorders>
              <w:top w:val="single" w:color="auto" w:sz="4" w:space="0"/>
              <w:left w:val="nil"/>
              <w:bottom w:val="single" w:color="auto" w:sz="4" w:space="0"/>
              <w:right w:val="single" w:color="auto" w:sz="4" w:space="0"/>
            </w:tcBorders>
            <w:noWrap w:val="0"/>
            <w:vAlign w:val="top"/>
          </w:tcPr>
          <w:p w14:paraId="6B5181BA">
            <w:pPr>
              <w:spacing w:line="300" w:lineRule="exact"/>
              <w:rPr>
                <w:rFonts w:hint="eastAsia" w:ascii="宋体" w:hAnsi="宋体" w:cs="宋体"/>
                <w:color w:val="auto"/>
                <w:szCs w:val="21"/>
                <w:highlight w:val="none"/>
              </w:rPr>
            </w:pPr>
          </w:p>
        </w:tc>
      </w:tr>
      <w:tr w14:paraId="3735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762030D4">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760A4142">
            <w:pPr>
              <w:spacing w:line="340" w:lineRule="exact"/>
              <w:rPr>
                <w:rFonts w:hint="eastAsia" w:ascii="宋体" w:hAnsi="宋体" w:cs="宋体"/>
                <w:color w:val="auto"/>
                <w:szCs w:val="21"/>
                <w:highlight w:val="none"/>
              </w:rPr>
            </w:pPr>
            <w:r>
              <w:rPr>
                <w:rFonts w:hint="eastAsia" w:ascii="宋体" w:hAnsi="宋体" w:cs="宋体"/>
                <w:color w:val="auto"/>
                <w:highlight w:val="none"/>
              </w:rPr>
              <w:t>2  ……</w:t>
            </w:r>
          </w:p>
          <w:p w14:paraId="50D0E86E">
            <w:pPr>
              <w:spacing w:line="340" w:lineRule="exact"/>
              <w:rPr>
                <w:rFonts w:hint="eastAsia" w:ascii="宋体" w:hAnsi="宋体" w:cs="宋体"/>
                <w:color w:val="auto"/>
                <w:szCs w:val="21"/>
                <w:highlight w:val="none"/>
              </w:rPr>
            </w:pPr>
          </w:p>
        </w:tc>
        <w:tc>
          <w:tcPr>
            <w:tcW w:w="1374" w:type="pct"/>
            <w:tcBorders>
              <w:top w:val="single" w:color="auto" w:sz="4" w:space="0"/>
              <w:left w:val="nil"/>
              <w:bottom w:val="single" w:color="auto" w:sz="4" w:space="0"/>
              <w:right w:val="single" w:color="auto" w:sz="4" w:space="0"/>
            </w:tcBorders>
            <w:noWrap w:val="0"/>
            <w:vAlign w:val="top"/>
          </w:tcPr>
          <w:p w14:paraId="062E633A">
            <w:pPr>
              <w:spacing w:line="340" w:lineRule="exact"/>
              <w:rPr>
                <w:rFonts w:hint="eastAsia" w:ascii="宋体" w:hAnsi="宋体" w:cs="宋体"/>
                <w:color w:val="auto"/>
                <w:szCs w:val="21"/>
                <w:highlight w:val="none"/>
              </w:rPr>
            </w:pPr>
            <w:r>
              <w:rPr>
                <w:rFonts w:hint="eastAsia" w:ascii="宋体" w:hAnsi="宋体" w:cs="宋体"/>
                <w:color w:val="auto"/>
                <w:highlight w:val="none"/>
              </w:rPr>
              <w:t>2  ……</w:t>
            </w:r>
          </w:p>
          <w:p w14:paraId="6F20B375">
            <w:pPr>
              <w:spacing w:line="300" w:lineRule="exact"/>
              <w:rPr>
                <w:rFonts w:hint="eastAsia" w:ascii="宋体" w:hAnsi="宋体" w:cs="宋体"/>
                <w:color w:val="auto"/>
                <w:szCs w:val="21"/>
                <w:highlight w:val="none"/>
              </w:rPr>
            </w:pPr>
          </w:p>
        </w:tc>
        <w:tc>
          <w:tcPr>
            <w:tcW w:w="1279" w:type="pct"/>
            <w:tcBorders>
              <w:top w:val="single" w:color="auto" w:sz="4" w:space="0"/>
              <w:left w:val="nil"/>
              <w:bottom w:val="single" w:color="auto" w:sz="4" w:space="0"/>
              <w:right w:val="single" w:color="auto" w:sz="4" w:space="0"/>
            </w:tcBorders>
            <w:noWrap w:val="0"/>
            <w:vAlign w:val="top"/>
          </w:tcPr>
          <w:p w14:paraId="7D4D9903">
            <w:pPr>
              <w:spacing w:line="300" w:lineRule="exact"/>
              <w:rPr>
                <w:rFonts w:hint="eastAsia" w:ascii="宋体" w:hAnsi="宋体" w:cs="宋体"/>
                <w:color w:val="auto"/>
                <w:szCs w:val="21"/>
                <w:highlight w:val="none"/>
              </w:rPr>
            </w:pPr>
          </w:p>
        </w:tc>
      </w:tr>
      <w:tr w14:paraId="506F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29C41EA0">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1732FF6D">
            <w:pPr>
              <w:spacing w:line="340" w:lineRule="exact"/>
              <w:rPr>
                <w:rFonts w:hint="eastAsia" w:ascii="宋体" w:hAnsi="宋体" w:cs="宋体"/>
                <w:color w:val="auto"/>
                <w:szCs w:val="21"/>
                <w:highlight w:val="none"/>
              </w:rPr>
            </w:pPr>
            <w:r>
              <w:rPr>
                <w:rFonts w:hint="eastAsia" w:ascii="宋体" w:hAnsi="宋体" w:cs="宋体"/>
                <w:color w:val="auto"/>
                <w:highlight w:val="none"/>
              </w:rPr>
              <w:t>3  ……</w:t>
            </w:r>
          </w:p>
          <w:p w14:paraId="3483C479">
            <w:pPr>
              <w:spacing w:line="340" w:lineRule="exact"/>
              <w:rPr>
                <w:rFonts w:hint="eastAsia" w:ascii="宋体" w:hAnsi="宋体" w:cs="宋体"/>
                <w:color w:val="auto"/>
                <w:szCs w:val="21"/>
                <w:highlight w:val="none"/>
              </w:rPr>
            </w:pPr>
          </w:p>
        </w:tc>
        <w:tc>
          <w:tcPr>
            <w:tcW w:w="1374" w:type="pct"/>
            <w:tcBorders>
              <w:top w:val="single" w:color="auto" w:sz="4" w:space="0"/>
              <w:left w:val="nil"/>
              <w:bottom w:val="single" w:color="auto" w:sz="4" w:space="0"/>
              <w:right w:val="single" w:color="auto" w:sz="4" w:space="0"/>
            </w:tcBorders>
            <w:noWrap w:val="0"/>
            <w:vAlign w:val="top"/>
          </w:tcPr>
          <w:p w14:paraId="57961D8C">
            <w:pPr>
              <w:spacing w:line="340" w:lineRule="exact"/>
              <w:rPr>
                <w:rFonts w:hint="eastAsia" w:ascii="宋体" w:hAnsi="宋体" w:cs="宋体"/>
                <w:color w:val="auto"/>
                <w:szCs w:val="21"/>
                <w:highlight w:val="none"/>
              </w:rPr>
            </w:pPr>
            <w:r>
              <w:rPr>
                <w:rFonts w:hint="eastAsia" w:ascii="宋体" w:hAnsi="宋体" w:cs="宋体"/>
                <w:color w:val="auto"/>
                <w:highlight w:val="none"/>
              </w:rPr>
              <w:t>3  ……</w:t>
            </w:r>
          </w:p>
          <w:p w14:paraId="6112BE25">
            <w:pPr>
              <w:spacing w:line="300" w:lineRule="exact"/>
              <w:rPr>
                <w:rFonts w:hint="eastAsia" w:ascii="宋体" w:hAnsi="宋体" w:cs="宋体"/>
                <w:color w:val="auto"/>
                <w:szCs w:val="21"/>
                <w:highlight w:val="none"/>
              </w:rPr>
            </w:pPr>
          </w:p>
        </w:tc>
        <w:tc>
          <w:tcPr>
            <w:tcW w:w="1279" w:type="pct"/>
            <w:tcBorders>
              <w:top w:val="single" w:color="auto" w:sz="4" w:space="0"/>
              <w:left w:val="nil"/>
              <w:bottom w:val="single" w:color="auto" w:sz="4" w:space="0"/>
              <w:right w:val="single" w:color="auto" w:sz="4" w:space="0"/>
            </w:tcBorders>
            <w:noWrap w:val="0"/>
            <w:vAlign w:val="top"/>
          </w:tcPr>
          <w:p w14:paraId="1AE33955">
            <w:pPr>
              <w:spacing w:line="300" w:lineRule="exact"/>
              <w:rPr>
                <w:rFonts w:hint="eastAsia" w:ascii="宋体" w:hAnsi="宋体" w:cs="宋体"/>
                <w:color w:val="auto"/>
                <w:szCs w:val="21"/>
                <w:highlight w:val="none"/>
              </w:rPr>
            </w:pPr>
          </w:p>
        </w:tc>
      </w:tr>
      <w:tr w14:paraId="7C19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414187B9">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4B17F016">
            <w:pPr>
              <w:spacing w:line="340" w:lineRule="exact"/>
              <w:rPr>
                <w:rFonts w:hint="eastAsia" w:ascii="宋体" w:hAnsi="宋体" w:cs="宋体"/>
                <w:color w:val="auto"/>
                <w:szCs w:val="21"/>
                <w:highlight w:val="none"/>
              </w:rPr>
            </w:pPr>
            <w:r>
              <w:rPr>
                <w:rFonts w:hint="eastAsia" w:ascii="宋体" w:hAnsi="宋体" w:cs="宋体"/>
                <w:color w:val="auto"/>
                <w:highlight w:val="none"/>
              </w:rPr>
              <w:t>……</w:t>
            </w:r>
          </w:p>
        </w:tc>
        <w:tc>
          <w:tcPr>
            <w:tcW w:w="1374" w:type="pct"/>
            <w:tcBorders>
              <w:top w:val="single" w:color="auto" w:sz="4" w:space="0"/>
              <w:left w:val="nil"/>
              <w:bottom w:val="single" w:color="auto" w:sz="4" w:space="0"/>
              <w:right w:val="single" w:color="auto" w:sz="4" w:space="0"/>
            </w:tcBorders>
            <w:noWrap w:val="0"/>
            <w:vAlign w:val="top"/>
          </w:tcPr>
          <w:p w14:paraId="60335CE8">
            <w:pPr>
              <w:spacing w:line="300" w:lineRule="exact"/>
              <w:rPr>
                <w:rFonts w:hint="eastAsia" w:ascii="宋体" w:hAnsi="宋体" w:cs="宋体"/>
                <w:color w:val="auto"/>
                <w:szCs w:val="21"/>
                <w:highlight w:val="none"/>
              </w:rPr>
            </w:pPr>
            <w:r>
              <w:rPr>
                <w:rFonts w:hint="eastAsia" w:ascii="宋体" w:hAnsi="宋体" w:cs="宋体"/>
                <w:color w:val="auto"/>
                <w:highlight w:val="none"/>
              </w:rPr>
              <w:t>……</w:t>
            </w:r>
          </w:p>
        </w:tc>
        <w:tc>
          <w:tcPr>
            <w:tcW w:w="1279" w:type="pct"/>
            <w:tcBorders>
              <w:top w:val="single" w:color="auto" w:sz="4" w:space="0"/>
              <w:left w:val="nil"/>
              <w:bottom w:val="single" w:color="auto" w:sz="4" w:space="0"/>
              <w:right w:val="single" w:color="auto" w:sz="4" w:space="0"/>
            </w:tcBorders>
            <w:noWrap w:val="0"/>
            <w:vAlign w:val="top"/>
          </w:tcPr>
          <w:p w14:paraId="5C535B53">
            <w:pPr>
              <w:spacing w:line="300" w:lineRule="exact"/>
              <w:rPr>
                <w:rFonts w:hint="eastAsia" w:ascii="宋体" w:hAnsi="宋体" w:cs="宋体"/>
                <w:color w:val="auto"/>
                <w:szCs w:val="21"/>
                <w:highlight w:val="none"/>
              </w:rPr>
            </w:pPr>
          </w:p>
        </w:tc>
      </w:tr>
      <w:tr w14:paraId="2C71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restart"/>
            <w:tcBorders>
              <w:top w:val="nil"/>
              <w:left w:val="single" w:color="auto" w:sz="4" w:space="0"/>
              <w:bottom w:val="single" w:color="auto" w:sz="4" w:space="0"/>
              <w:right w:val="single" w:color="auto" w:sz="4" w:space="0"/>
            </w:tcBorders>
            <w:noWrap w:val="0"/>
            <w:vAlign w:val="top"/>
          </w:tcPr>
          <w:p w14:paraId="3EB754E5">
            <w:pPr>
              <w:spacing w:line="340" w:lineRule="exact"/>
              <w:rPr>
                <w:rFonts w:hint="eastAsia" w:ascii="宋体" w:hAnsi="宋体" w:cs="宋体"/>
                <w:color w:val="auto"/>
                <w:szCs w:val="21"/>
                <w:highlight w:val="none"/>
              </w:rPr>
            </w:pPr>
            <w:r>
              <w:rPr>
                <w:rFonts w:hint="eastAsia" w:ascii="宋体" w:hAnsi="宋体" w:cs="宋体"/>
                <w:color w:val="auto"/>
                <w:highlight w:val="none"/>
              </w:rPr>
              <w:t>二</w:t>
            </w:r>
          </w:p>
        </w:tc>
        <w:tc>
          <w:tcPr>
            <w:tcW w:w="1981" w:type="pct"/>
            <w:tcBorders>
              <w:top w:val="single" w:color="auto" w:sz="4" w:space="0"/>
              <w:left w:val="nil"/>
              <w:bottom w:val="single" w:color="auto" w:sz="4" w:space="0"/>
              <w:right w:val="single" w:color="auto" w:sz="4" w:space="0"/>
            </w:tcBorders>
            <w:noWrap w:val="0"/>
            <w:vAlign w:val="top"/>
          </w:tcPr>
          <w:p w14:paraId="4C903E21">
            <w:pPr>
              <w:rPr>
                <w:rFonts w:hint="eastAsia" w:ascii="宋体" w:hAnsi="宋体" w:cs="宋体"/>
                <w:color w:val="auto"/>
                <w:szCs w:val="21"/>
                <w:highlight w:val="none"/>
              </w:rPr>
            </w:pPr>
            <w:r>
              <w:rPr>
                <w:rFonts w:hint="eastAsia" w:ascii="宋体" w:hAnsi="宋体" w:cs="宋体"/>
                <w:color w:val="auto"/>
                <w:highlight w:val="none"/>
              </w:rPr>
              <w:t>1  ……</w:t>
            </w:r>
          </w:p>
        </w:tc>
        <w:tc>
          <w:tcPr>
            <w:tcW w:w="1374" w:type="pct"/>
            <w:tcBorders>
              <w:top w:val="single" w:color="auto" w:sz="4" w:space="0"/>
              <w:left w:val="nil"/>
              <w:bottom w:val="single" w:color="auto" w:sz="4" w:space="0"/>
              <w:right w:val="single" w:color="auto" w:sz="4" w:space="0"/>
            </w:tcBorders>
            <w:noWrap w:val="0"/>
            <w:vAlign w:val="top"/>
          </w:tcPr>
          <w:p w14:paraId="367F31A7">
            <w:pPr>
              <w:rPr>
                <w:rFonts w:hint="eastAsia" w:ascii="宋体" w:hAnsi="宋体" w:cs="宋体"/>
                <w:color w:val="auto"/>
                <w:szCs w:val="21"/>
                <w:highlight w:val="none"/>
              </w:rPr>
            </w:pPr>
            <w:r>
              <w:rPr>
                <w:rFonts w:hint="eastAsia" w:ascii="宋体" w:hAnsi="宋体" w:cs="宋体"/>
                <w:color w:val="auto"/>
                <w:highlight w:val="none"/>
              </w:rPr>
              <w:t>1  ……</w:t>
            </w:r>
          </w:p>
        </w:tc>
        <w:tc>
          <w:tcPr>
            <w:tcW w:w="1279" w:type="pct"/>
            <w:tcBorders>
              <w:top w:val="single" w:color="auto" w:sz="4" w:space="0"/>
              <w:left w:val="nil"/>
              <w:bottom w:val="single" w:color="auto" w:sz="4" w:space="0"/>
              <w:right w:val="single" w:color="auto" w:sz="4" w:space="0"/>
            </w:tcBorders>
            <w:noWrap w:val="0"/>
            <w:vAlign w:val="top"/>
          </w:tcPr>
          <w:p w14:paraId="23CAA93B">
            <w:pPr>
              <w:spacing w:line="300" w:lineRule="exact"/>
              <w:rPr>
                <w:rFonts w:hint="eastAsia" w:ascii="宋体" w:hAnsi="宋体" w:cs="宋体"/>
                <w:color w:val="auto"/>
                <w:szCs w:val="21"/>
                <w:highlight w:val="none"/>
              </w:rPr>
            </w:pPr>
          </w:p>
        </w:tc>
      </w:tr>
      <w:tr w14:paraId="66F6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172FF8BF">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672E3E37">
            <w:pPr>
              <w:spacing w:line="340" w:lineRule="exact"/>
              <w:rPr>
                <w:rFonts w:hint="eastAsia" w:ascii="宋体" w:hAnsi="宋体" w:cs="宋体"/>
                <w:color w:val="auto"/>
                <w:szCs w:val="21"/>
                <w:highlight w:val="none"/>
              </w:rPr>
            </w:pPr>
            <w:r>
              <w:rPr>
                <w:rFonts w:hint="eastAsia" w:ascii="宋体" w:hAnsi="宋体" w:cs="宋体"/>
                <w:color w:val="auto"/>
                <w:highlight w:val="none"/>
              </w:rPr>
              <w:t>2  ……</w:t>
            </w:r>
          </w:p>
          <w:p w14:paraId="25D45FB7">
            <w:pPr>
              <w:spacing w:line="340" w:lineRule="exact"/>
              <w:rPr>
                <w:rFonts w:hint="eastAsia" w:ascii="宋体" w:hAnsi="宋体" w:cs="宋体"/>
                <w:color w:val="auto"/>
                <w:szCs w:val="21"/>
                <w:highlight w:val="none"/>
              </w:rPr>
            </w:pPr>
          </w:p>
        </w:tc>
        <w:tc>
          <w:tcPr>
            <w:tcW w:w="1374" w:type="pct"/>
            <w:tcBorders>
              <w:top w:val="single" w:color="auto" w:sz="4" w:space="0"/>
              <w:left w:val="nil"/>
              <w:bottom w:val="single" w:color="auto" w:sz="4" w:space="0"/>
              <w:right w:val="single" w:color="auto" w:sz="4" w:space="0"/>
            </w:tcBorders>
            <w:noWrap w:val="0"/>
            <w:vAlign w:val="top"/>
          </w:tcPr>
          <w:p w14:paraId="0B93BC80">
            <w:pPr>
              <w:spacing w:line="340" w:lineRule="exact"/>
              <w:rPr>
                <w:rFonts w:hint="eastAsia" w:ascii="宋体" w:hAnsi="宋体" w:cs="宋体"/>
                <w:color w:val="auto"/>
                <w:szCs w:val="21"/>
                <w:highlight w:val="none"/>
              </w:rPr>
            </w:pPr>
            <w:r>
              <w:rPr>
                <w:rFonts w:hint="eastAsia" w:ascii="宋体" w:hAnsi="宋体" w:cs="宋体"/>
                <w:color w:val="auto"/>
                <w:highlight w:val="none"/>
              </w:rPr>
              <w:t>2  ……</w:t>
            </w:r>
          </w:p>
          <w:p w14:paraId="5C7316AB">
            <w:pPr>
              <w:spacing w:line="300" w:lineRule="exact"/>
              <w:rPr>
                <w:rFonts w:hint="eastAsia" w:ascii="宋体" w:hAnsi="宋体" w:cs="宋体"/>
                <w:color w:val="auto"/>
                <w:szCs w:val="21"/>
                <w:highlight w:val="none"/>
              </w:rPr>
            </w:pPr>
          </w:p>
        </w:tc>
        <w:tc>
          <w:tcPr>
            <w:tcW w:w="1279" w:type="pct"/>
            <w:tcBorders>
              <w:top w:val="single" w:color="auto" w:sz="4" w:space="0"/>
              <w:left w:val="nil"/>
              <w:bottom w:val="single" w:color="auto" w:sz="4" w:space="0"/>
              <w:right w:val="single" w:color="auto" w:sz="4" w:space="0"/>
            </w:tcBorders>
            <w:noWrap w:val="0"/>
            <w:vAlign w:val="top"/>
          </w:tcPr>
          <w:p w14:paraId="1D3E50B7">
            <w:pPr>
              <w:spacing w:line="300" w:lineRule="exact"/>
              <w:rPr>
                <w:rFonts w:hint="eastAsia" w:ascii="宋体" w:hAnsi="宋体" w:cs="宋体"/>
                <w:color w:val="auto"/>
                <w:szCs w:val="21"/>
                <w:highlight w:val="none"/>
              </w:rPr>
            </w:pPr>
          </w:p>
        </w:tc>
      </w:tr>
      <w:tr w14:paraId="6F9C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2BAFF25F">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75CDCB23">
            <w:pPr>
              <w:spacing w:line="340" w:lineRule="exact"/>
              <w:rPr>
                <w:rFonts w:hint="eastAsia" w:ascii="宋体" w:hAnsi="宋体" w:cs="宋体"/>
                <w:color w:val="auto"/>
                <w:szCs w:val="21"/>
                <w:highlight w:val="none"/>
              </w:rPr>
            </w:pPr>
            <w:r>
              <w:rPr>
                <w:rFonts w:hint="eastAsia" w:ascii="宋体" w:hAnsi="宋体" w:cs="宋体"/>
                <w:color w:val="auto"/>
                <w:highlight w:val="none"/>
              </w:rPr>
              <w:t>3  ……</w:t>
            </w:r>
          </w:p>
          <w:p w14:paraId="0D1B21B6">
            <w:pPr>
              <w:spacing w:line="340" w:lineRule="exact"/>
              <w:rPr>
                <w:rFonts w:hint="eastAsia" w:ascii="宋体" w:hAnsi="宋体" w:cs="宋体"/>
                <w:color w:val="auto"/>
                <w:szCs w:val="21"/>
                <w:highlight w:val="none"/>
              </w:rPr>
            </w:pPr>
          </w:p>
        </w:tc>
        <w:tc>
          <w:tcPr>
            <w:tcW w:w="1374" w:type="pct"/>
            <w:tcBorders>
              <w:top w:val="single" w:color="auto" w:sz="4" w:space="0"/>
              <w:left w:val="nil"/>
              <w:bottom w:val="single" w:color="auto" w:sz="4" w:space="0"/>
              <w:right w:val="single" w:color="auto" w:sz="4" w:space="0"/>
            </w:tcBorders>
            <w:noWrap w:val="0"/>
            <w:vAlign w:val="top"/>
          </w:tcPr>
          <w:p w14:paraId="2B164108">
            <w:pPr>
              <w:spacing w:line="340" w:lineRule="exact"/>
              <w:rPr>
                <w:rFonts w:hint="eastAsia" w:ascii="宋体" w:hAnsi="宋体" w:cs="宋体"/>
                <w:color w:val="auto"/>
                <w:szCs w:val="21"/>
                <w:highlight w:val="none"/>
              </w:rPr>
            </w:pPr>
            <w:r>
              <w:rPr>
                <w:rFonts w:hint="eastAsia" w:ascii="宋体" w:hAnsi="宋体" w:cs="宋体"/>
                <w:color w:val="auto"/>
                <w:highlight w:val="none"/>
              </w:rPr>
              <w:t>3  ……</w:t>
            </w:r>
          </w:p>
          <w:p w14:paraId="00826D50">
            <w:pPr>
              <w:spacing w:line="300" w:lineRule="exact"/>
              <w:rPr>
                <w:rFonts w:hint="eastAsia" w:ascii="宋体" w:hAnsi="宋体" w:cs="宋体"/>
                <w:color w:val="auto"/>
                <w:szCs w:val="21"/>
                <w:highlight w:val="none"/>
              </w:rPr>
            </w:pPr>
          </w:p>
        </w:tc>
        <w:tc>
          <w:tcPr>
            <w:tcW w:w="1279" w:type="pct"/>
            <w:tcBorders>
              <w:top w:val="single" w:color="auto" w:sz="4" w:space="0"/>
              <w:left w:val="nil"/>
              <w:bottom w:val="single" w:color="auto" w:sz="4" w:space="0"/>
              <w:right w:val="single" w:color="auto" w:sz="4" w:space="0"/>
            </w:tcBorders>
            <w:noWrap w:val="0"/>
            <w:vAlign w:val="top"/>
          </w:tcPr>
          <w:p w14:paraId="1B6C7404">
            <w:pPr>
              <w:spacing w:line="300" w:lineRule="exact"/>
              <w:rPr>
                <w:rFonts w:hint="eastAsia" w:ascii="宋体" w:hAnsi="宋体" w:cs="宋体"/>
                <w:color w:val="auto"/>
                <w:szCs w:val="21"/>
                <w:highlight w:val="none"/>
              </w:rPr>
            </w:pPr>
          </w:p>
        </w:tc>
      </w:tr>
      <w:tr w14:paraId="3F6D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0705BB07">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589787FD">
            <w:pPr>
              <w:spacing w:line="340" w:lineRule="exact"/>
              <w:rPr>
                <w:rFonts w:hint="eastAsia" w:ascii="宋体" w:hAnsi="宋体" w:cs="宋体"/>
                <w:color w:val="auto"/>
                <w:szCs w:val="21"/>
                <w:highlight w:val="none"/>
              </w:rPr>
            </w:pPr>
            <w:r>
              <w:rPr>
                <w:rFonts w:hint="eastAsia" w:ascii="宋体" w:hAnsi="宋体" w:cs="宋体"/>
                <w:color w:val="auto"/>
                <w:highlight w:val="none"/>
              </w:rPr>
              <w:t>……</w:t>
            </w:r>
          </w:p>
        </w:tc>
        <w:tc>
          <w:tcPr>
            <w:tcW w:w="1374" w:type="pct"/>
            <w:tcBorders>
              <w:top w:val="single" w:color="auto" w:sz="4" w:space="0"/>
              <w:left w:val="nil"/>
              <w:bottom w:val="single" w:color="auto" w:sz="4" w:space="0"/>
              <w:right w:val="single" w:color="auto" w:sz="4" w:space="0"/>
            </w:tcBorders>
            <w:noWrap w:val="0"/>
            <w:vAlign w:val="top"/>
          </w:tcPr>
          <w:p w14:paraId="33919E30">
            <w:pPr>
              <w:spacing w:line="300" w:lineRule="exact"/>
              <w:rPr>
                <w:rFonts w:hint="eastAsia" w:ascii="宋体" w:hAnsi="宋体" w:cs="宋体"/>
                <w:color w:val="auto"/>
                <w:szCs w:val="21"/>
                <w:highlight w:val="none"/>
              </w:rPr>
            </w:pPr>
            <w:r>
              <w:rPr>
                <w:rFonts w:hint="eastAsia" w:ascii="宋体" w:hAnsi="宋体" w:cs="宋体"/>
                <w:color w:val="auto"/>
                <w:highlight w:val="none"/>
              </w:rPr>
              <w:t>……</w:t>
            </w:r>
          </w:p>
        </w:tc>
        <w:tc>
          <w:tcPr>
            <w:tcW w:w="1279" w:type="pct"/>
            <w:tcBorders>
              <w:top w:val="single" w:color="auto" w:sz="4" w:space="0"/>
              <w:left w:val="nil"/>
              <w:bottom w:val="single" w:color="auto" w:sz="4" w:space="0"/>
              <w:right w:val="single" w:color="auto" w:sz="4" w:space="0"/>
            </w:tcBorders>
            <w:noWrap w:val="0"/>
            <w:vAlign w:val="top"/>
          </w:tcPr>
          <w:p w14:paraId="78645B63">
            <w:pPr>
              <w:spacing w:line="300" w:lineRule="exact"/>
              <w:rPr>
                <w:rFonts w:hint="eastAsia" w:ascii="宋体" w:hAnsi="宋体" w:cs="宋体"/>
                <w:color w:val="auto"/>
                <w:szCs w:val="21"/>
                <w:highlight w:val="none"/>
              </w:rPr>
            </w:pPr>
          </w:p>
        </w:tc>
      </w:tr>
      <w:tr w14:paraId="22AA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restart"/>
            <w:tcBorders>
              <w:top w:val="nil"/>
              <w:left w:val="single" w:color="auto" w:sz="4" w:space="0"/>
              <w:bottom w:val="single" w:color="auto" w:sz="4" w:space="0"/>
              <w:right w:val="single" w:color="auto" w:sz="4" w:space="0"/>
            </w:tcBorders>
            <w:noWrap w:val="0"/>
            <w:vAlign w:val="top"/>
          </w:tcPr>
          <w:p w14:paraId="3FF2B653">
            <w:pPr>
              <w:spacing w:line="340" w:lineRule="exact"/>
              <w:rPr>
                <w:rFonts w:hint="eastAsia" w:ascii="宋体" w:hAnsi="宋体" w:cs="宋体"/>
                <w:color w:val="auto"/>
                <w:szCs w:val="21"/>
                <w:highlight w:val="none"/>
              </w:rPr>
            </w:pPr>
            <w:r>
              <w:rPr>
                <w:rFonts w:hint="eastAsia" w:ascii="宋体" w:hAnsi="宋体" w:cs="宋体"/>
                <w:color w:val="auto"/>
                <w:highlight w:val="none"/>
              </w:rPr>
              <w:t>……</w:t>
            </w:r>
          </w:p>
        </w:tc>
        <w:tc>
          <w:tcPr>
            <w:tcW w:w="1981" w:type="pct"/>
            <w:tcBorders>
              <w:top w:val="single" w:color="auto" w:sz="4" w:space="0"/>
              <w:left w:val="nil"/>
              <w:bottom w:val="single" w:color="auto" w:sz="4" w:space="0"/>
              <w:right w:val="single" w:color="auto" w:sz="4" w:space="0"/>
            </w:tcBorders>
            <w:noWrap w:val="0"/>
            <w:vAlign w:val="top"/>
          </w:tcPr>
          <w:p w14:paraId="0F5D32FF">
            <w:pPr>
              <w:rPr>
                <w:rFonts w:hint="eastAsia" w:ascii="宋体" w:hAnsi="宋体" w:cs="宋体"/>
                <w:color w:val="auto"/>
                <w:szCs w:val="21"/>
                <w:highlight w:val="none"/>
              </w:rPr>
            </w:pPr>
            <w:r>
              <w:rPr>
                <w:rFonts w:hint="eastAsia" w:ascii="宋体" w:hAnsi="宋体" w:cs="宋体"/>
                <w:color w:val="auto"/>
                <w:highlight w:val="none"/>
              </w:rPr>
              <w:t>1  ……</w:t>
            </w:r>
          </w:p>
        </w:tc>
        <w:tc>
          <w:tcPr>
            <w:tcW w:w="1374" w:type="pct"/>
            <w:tcBorders>
              <w:top w:val="single" w:color="auto" w:sz="4" w:space="0"/>
              <w:left w:val="nil"/>
              <w:bottom w:val="single" w:color="auto" w:sz="4" w:space="0"/>
              <w:right w:val="single" w:color="auto" w:sz="4" w:space="0"/>
            </w:tcBorders>
            <w:noWrap w:val="0"/>
            <w:vAlign w:val="top"/>
          </w:tcPr>
          <w:p w14:paraId="07172685">
            <w:pPr>
              <w:rPr>
                <w:rFonts w:hint="eastAsia" w:ascii="宋体" w:hAnsi="宋体" w:cs="宋体"/>
                <w:color w:val="auto"/>
                <w:szCs w:val="21"/>
                <w:highlight w:val="none"/>
              </w:rPr>
            </w:pPr>
            <w:r>
              <w:rPr>
                <w:rFonts w:hint="eastAsia" w:ascii="宋体" w:hAnsi="宋体" w:cs="宋体"/>
                <w:color w:val="auto"/>
                <w:highlight w:val="none"/>
              </w:rPr>
              <w:t>1  ……</w:t>
            </w:r>
          </w:p>
        </w:tc>
        <w:tc>
          <w:tcPr>
            <w:tcW w:w="1279" w:type="pct"/>
            <w:tcBorders>
              <w:top w:val="single" w:color="auto" w:sz="4" w:space="0"/>
              <w:left w:val="nil"/>
              <w:bottom w:val="single" w:color="auto" w:sz="4" w:space="0"/>
              <w:right w:val="single" w:color="auto" w:sz="4" w:space="0"/>
            </w:tcBorders>
            <w:noWrap w:val="0"/>
            <w:vAlign w:val="top"/>
          </w:tcPr>
          <w:p w14:paraId="23A9AFAE">
            <w:pPr>
              <w:spacing w:line="300" w:lineRule="exact"/>
              <w:rPr>
                <w:rFonts w:hint="eastAsia" w:ascii="宋体" w:hAnsi="宋体" w:cs="宋体"/>
                <w:color w:val="auto"/>
                <w:szCs w:val="21"/>
                <w:highlight w:val="none"/>
              </w:rPr>
            </w:pPr>
          </w:p>
        </w:tc>
      </w:tr>
      <w:tr w14:paraId="6AF1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4A8D7D74">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5375EC64">
            <w:pPr>
              <w:spacing w:line="340" w:lineRule="exact"/>
              <w:rPr>
                <w:rFonts w:hint="eastAsia" w:ascii="宋体" w:hAnsi="宋体" w:cs="宋体"/>
                <w:color w:val="auto"/>
                <w:szCs w:val="21"/>
                <w:highlight w:val="none"/>
              </w:rPr>
            </w:pPr>
            <w:r>
              <w:rPr>
                <w:rFonts w:hint="eastAsia" w:ascii="宋体" w:hAnsi="宋体" w:cs="宋体"/>
                <w:color w:val="auto"/>
                <w:highlight w:val="none"/>
              </w:rPr>
              <w:t>2  ……</w:t>
            </w:r>
          </w:p>
          <w:p w14:paraId="388DD753">
            <w:pPr>
              <w:spacing w:line="340" w:lineRule="exact"/>
              <w:rPr>
                <w:rFonts w:hint="eastAsia" w:ascii="宋体" w:hAnsi="宋体" w:cs="宋体"/>
                <w:color w:val="auto"/>
                <w:szCs w:val="21"/>
                <w:highlight w:val="none"/>
              </w:rPr>
            </w:pPr>
          </w:p>
        </w:tc>
        <w:tc>
          <w:tcPr>
            <w:tcW w:w="1374" w:type="pct"/>
            <w:tcBorders>
              <w:top w:val="single" w:color="auto" w:sz="4" w:space="0"/>
              <w:left w:val="nil"/>
              <w:bottom w:val="single" w:color="auto" w:sz="4" w:space="0"/>
              <w:right w:val="single" w:color="auto" w:sz="4" w:space="0"/>
            </w:tcBorders>
            <w:noWrap w:val="0"/>
            <w:vAlign w:val="top"/>
          </w:tcPr>
          <w:p w14:paraId="40DE8C88">
            <w:pPr>
              <w:spacing w:line="340" w:lineRule="exact"/>
              <w:rPr>
                <w:rFonts w:hint="eastAsia" w:ascii="宋体" w:hAnsi="宋体" w:cs="宋体"/>
                <w:color w:val="auto"/>
                <w:szCs w:val="21"/>
                <w:highlight w:val="none"/>
              </w:rPr>
            </w:pPr>
            <w:r>
              <w:rPr>
                <w:rFonts w:hint="eastAsia" w:ascii="宋体" w:hAnsi="宋体" w:cs="宋体"/>
                <w:color w:val="auto"/>
                <w:highlight w:val="none"/>
              </w:rPr>
              <w:t>2  ……</w:t>
            </w:r>
          </w:p>
          <w:p w14:paraId="735D2831">
            <w:pPr>
              <w:spacing w:line="300" w:lineRule="exact"/>
              <w:rPr>
                <w:rFonts w:hint="eastAsia" w:ascii="宋体" w:hAnsi="宋体" w:cs="宋体"/>
                <w:color w:val="auto"/>
                <w:szCs w:val="21"/>
                <w:highlight w:val="none"/>
              </w:rPr>
            </w:pPr>
          </w:p>
        </w:tc>
        <w:tc>
          <w:tcPr>
            <w:tcW w:w="1279" w:type="pct"/>
            <w:tcBorders>
              <w:top w:val="single" w:color="auto" w:sz="4" w:space="0"/>
              <w:left w:val="nil"/>
              <w:bottom w:val="single" w:color="auto" w:sz="4" w:space="0"/>
              <w:right w:val="single" w:color="auto" w:sz="4" w:space="0"/>
            </w:tcBorders>
            <w:noWrap w:val="0"/>
            <w:vAlign w:val="top"/>
          </w:tcPr>
          <w:p w14:paraId="081E5FBF">
            <w:pPr>
              <w:spacing w:line="300" w:lineRule="exact"/>
              <w:rPr>
                <w:rFonts w:hint="eastAsia" w:ascii="宋体" w:hAnsi="宋体" w:cs="宋体"/>
                <w:color w:val="auto"/>
                <w:szCs w:val="21"/>
                <w:highlight w:val="none"/>
              </w:rPr>
            </w:pPr>
          </w:p>
        </w:tc>
      </w:tr>
      <w:tr w14:paraId="7B32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162344B6">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7B515395">
            <w:pPr>
              <w:spacing w:line="340" w:lineRule="exact"/>
              <w:rPr>
                <w:rFonts w:hint="eastAsia" w:ascii="宋体" w:hAnsi="宋体" w:cs="宋体"/>
                <w:color w:val="auto"/>
                <w:szCs w:val="21"/>
                <w:highlight w:val="none"/>
              </w:rPr>
            </w:pPr>
            <w:r>
              <w:rPr>
                <w:rFonts w:hint="eastAsia" w:ascii="宋体" w:hAnsi="宋体" w:cs="宋体"/>
                <w:color w:val="auto"/>
                <w:highlight w:val="none"/>
              </w:rPr>
              <w:t>3  ……</w:t>
            </w:r>
          </w:p>
          <w:p w14:paraId="0B90B19B">
            <w:pPr>
              <w:spacing w:line="340" w:lineRule="exact"/>
              <w:rPr>
                <w:rFonts w:hint="eastAsia" w:ascii="宋体" w:hAnsi="宋体" w:cs="宋体"/>
                <w:color w:val="auto"/>
                <w:szCs w:val="21"/>
                <w:highlight w:val="none"/>
              </w:rPr>
            </w:pPr>
          </w:p>
        </w:tc>
        <w:tc>
          <w:tcPr>
            <w:tcW w:w="1374" w:type="pct"/>
            <w:tcBorders>
              <w:top w:val="single" w:color="auto" w:sz="4" w:space="0"/>
              <w:left w:val="nil"/>
              <w:bottom w:val="single" w:color="auto" w:sz="4" w:space="0"/>
              <w:right w:val="single" w:color="auto" w:sz="4" w:space="0"/>
            </w:tcBorders>
            <w:noWrap w:val="0"/>
            <w:vAlign w:val="top"/>
          </w:tcPr>
          <w:p w14:paraId="42757F96">
            <w:pPr>
              <w:spacing w:line="340" w:lineRule="exact"/>
              <w:rPr>
                <w:rFonts w:hint="eastAsia" w:ascii="宋体" w:hAnsi="宋体" w:cs="宋体"/>
                <w:color w:val="auto"/>
                <w:szCs w:val="21"/>
                <w:highlight w:val="none"/>
              </w:rPr>
            </w:pPr>
            <w:r>
              <w:rPr>
                <w:rFonts w:hint="eastAsia" w:ascii="宋体" w:hAnsi="宋体" w:cs="宋体"/>
                <w:color w:val="auto"/>
                <w:highlight w:val="none"/>
              </w:rPr>
              <w:t>3  ……</w:t>
            </w:r>
          </w:p>
          <w:p w14:paraId="21AF06D0">
            <w:pPr>
              <w:spacing w:line="300" w:lineRule="exact"/>
              <w:rPr>
                <w:rFonts w:hint="eastAsia" w:ascii="宋体" w:hAnsi="宋体" w:cs="宋体"/>
                <w:color w:val="auto"/>
                <w:szCs w:val="21"/>
                <w:highlight w:val="none"/>
              </w:rPr>
            </w:pPr>
          </w:p>
        </w:tc>
        <w:tc>
          <w:tcPr>
            <w:tcW w:w="1279" w:type="pct"/>
            <w:tcBorders>
              <w:top w:val="single" w:color="auto" w:sz="4" w:space="0"/>
              <w:left w:val="nil"/>
              <w:bottom w:val="single" w:color="auto" w:sz="4" w:space="0"/>
              <w:right w:val="single" w:color="auto" w:sz="4" w:space="0"/>
            </w:tcBorders>
            <w:noWrap w:val="0"/>
            <w:vAlign w:val="top"/>
          </w:tcPr>
          <w:p w14:paraId="4C3377BD">
            <w:pPr>
              <w:spacing w:line="300" w:lineRule="exact"/>
              <w:rPr>
                <w:rFonts w:hint="eastAsia" w:ascii="宋体" w:hAnsi="宋体" w:cs="宋体"/>
                <w:color w:val="auto"/>
                <w:szCs w:val="21"/>
                <w:highlight w:val="none"/>
              </w:rPr>
            </w:pPr>
          </w:p>
        </w:tc>
      </w:tr>
      <w:tr w14:paraId="79B3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64" w:type="pct"/>
            <w:vMerge w:val="continue"/>
            <w:tcBorders>
              <w:top w:val="nil"/>
              <w:left w:val="single" w:color="auto" w:sz="4" w:space="0"/>
              <w:bottom w:val="single" w:color="auto" w:sz="4" w:space="0"/>
              <w:right w:val="single" w:color="auto" w:sz="4" w:space="0"/>
            </w:tcBorders>
            <w:noWrap w:val="0"/>
            <w:vAlign w:val="center"/>
          </w:tcPr>
          <w:p w14:paraId="5D9FEA6A">
            <w:pPr>
              <w:widowControl/>
              <w:jc w:val="left"/>
              <w:rPr>
                <w:rFonts w:hint="eastAsia" w:ascii="宋体" w:hAnsi="宋体" w:cs="宋体"/>
                <w:color w:val="auto"/>
                <w:szCs w:val="21"/>
                <w:highlight w:val="none"/>
              </w:rPr>
            </w:pPr>
          </w:p>
        </w:tc>
        <w:tc>
          <w:tcPr>
            <w:tcW w:w="1981" w:type="pct"/>
            <w:tcBorders>
              <w:top w:val="single" w:color="auto" w:sz="4" w:space="0"/>
              <w:left w:val="nil"/>
              <w:bottom w:val="single" w:color="auto" w:sz="4" w:space="0"/>
              <w:right w:val="single" w:color="auto" w:sz="4" w:space="0"/>
            </w:tcBorders>
            <w:noWrap w:val="0"/>
            <w:vAlign w:val="top"/>
          </w:tcPr>
          <w:p w14:paraId="0E3B49D1">
            <w:pPr>
              <w:spacing w:line="340" w:lineRule="exact"/>
              <w:rPr>
                <w:rFonts w:hint="eastAsia" w:ascii="宋体" w:hAnsi="宋体" w:cs="宋体"/>
                <w:color w:val="auto"/>
                <w:szCs w:val="21"/>
                <w:highlight w:val="none"/>
              </w:rPr>
            </w:pPr>
            <w:r>
              <w:rPr>
                <w:rFonts w:hint="eastAsia" w:ascii="宋体" w:hAnsi="宋体" w:cs="宋体"/>
                <w:color w:val="auto"/>
                <w:highlight w:val="none"/>
              </w:rPr>
              <w:t>……</w:t>
            </w:r>
          </w:p>
        </w:tc>
        <w:tc>
          <w:tcPr>
            <w:tcW w:w="1374" w:type="pct"/>
            <w:tcBorders>
              <w:top w:val="single" w:color="auto" w:sz="4" w:space="0"/>
              <w:left w:val="nil"/>
              <w:bottom w:val="single" w:color="auto" w:sz="4" w:space="0"/>
              <w:right w:val="single" w:color="auto" w:sz="4" w:space="0"/>
            </w:tcBorders>
            <w:noWrap w:val="0"/>
            <w:vAlign w:val="top"/>
          </w:tcPr>
          <w:p w14:paraId="65C269B7">
            <w:pPr>
              <w:spacing w:line="300" w:lineRule="exact"/>
              <w:rPr>
                <w:rFonts w:hint="eastAsia" w:ascii="宋体" w:hAnsi="宋体" w:cs="宋体"/>
                <w:color w:val="auto"/>
                <w:szCs w:val="21"/>
                <w:highlight w:val="none"/>
              </w:rPr>
            </w:pPr>
            <w:r>
              <w:rPr>
                <w:rFonts w:hint="eastAsia" w:ascii="宋体" w:hAnsi="宋体" w:cs="宋体"/>
                <w:color w:val="auto"/>
                <w:highlight w:val="none"/>
              </w:rPr>
              <w:t>……</w:t>
            </w:r>
          </w:p>
        </w:tc>
        <w:tc>
          <w:tcPr>
            <w:tcW w:w="1279" w:type="pct"/>
            <w:tcBorders>
              <w:top w:val="single" w:color="auto" w:sz="4" w:space="0"/>
              <w:left w:val="nil"/>
              <w:bottom w:val="single" w:color="auto" w:sz="4" w:space="0"/>
              <w:right w:val="single" w:color="auto" w:sz="4" w:space="0"/>
            </w:tcBorders>
            <w:noWrap w:val="0"/>
            <w:vAlign w:val="top"/>
          </w:tcPr>
          <w:p w14:paraId="3F7E2FD6">
            <w:pPr>
              <w:spacing w:line="300" w:lineRule="exact"/>
              <w:rPr>
                <w:rFonts w:hint="eastAsia" w:ascii="宋体" w:hAnsi="宋体" w:cs="宋体"/>
                <w:color w:val="auto"/>
                <w:szCs w:val="21"/>
                <w:highlight w:val="none"/>
              </w:rPr>
            </w:pPr>
          </w:p>
        </w:tc>
      </w:tr>
      <w:tr w14:paraId="4200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4"/>
            <w:tcBorders>
              <w:top w:val="single" w:color="auto" w:sz="4" w:space="0"/>
              <w:left w:val="single" w:color="auto" w:sz="4" w:space="0"/>
              <w:bottom w:val="single" w:color="auto" w:sz="4" w:space="0"/>
              <w:right w:val="single" w:color="auto" w:sz="4" w:space="0"/>
            </w:tcBorders>
            <w:noWrap w:val="0"/>
            <w:vAlign w:val="top"/>
          </w:tcPr>
          <w:p w14:paraId="3BAB89BB">
            <w:pPr>
              <w:spacing w:line="340" w:lineRule="exact"/>
              <w:rPr>
                <w:rFonts w:hint="eastAsia" w:ascii="宋体" w:hAnsi="宋体" w:cs="宋体"/>
                <w:color w:val="auto"/>
                <w:szCs w:val="21"/>
                <w:highlight w:val="none"/>
              </w:rPr>
            </w:pPr>
            <w:r>
              <w:rPr>
                <w:rFonts w:hint="eastAsia" w:ascii="宋体" w:hAnsi="宋体" w:cs="宋体"/>
                <w:color w:val="auto"/>
                <w:highlight w:val="none"/>
                <w:u w:val="single"/>
              </w:rPr>
              <w:t>　　</w:t>
            </w:r>
            <w:r>
              <w:rPr>
                <w:rFonts w:hint="eastAsia" w:ascii="宋体" w:hAnsi="宋体" w:cs="宋体"/>
                <w:color w:val="auto"/>
                <w:highlight w:val="none"/>
              </w:rPr>
              <w:t>分标（此处有分标时填写具体分标号，无分标时填写“无”）</w:t>
            </w:r>
          </w:p>
        </w:tc>
      </w:tr>
    </w:tbl>
    <w:p w14:paraId="74973431">
      <w:pPr>
        <w:pStyle w:val="12"/>
        <w:spacing w:line="400" w:lineRule="exac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0B94F2EC">
      <w:pPr>
        <w:pStyle w:val="12"/>
        <w:spacing w:line="400" w:lineRule="exac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1.说明：应对照磋商文件“第二章 采购需求”中的商务条款逐条作出明确响应，并作出偏离说明。</w:t>
      </w:r>
    </w:p>
    <w:p w14:paraId="1C3A8BA8">
      <w:pPr>
        <w:pStyle w:val="12"/>
        <w:spacing w:line="400" w:lineRule="exac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采购文件要求，在“偏离说明”中注明“正偏离”、“负偏离”或者“无偏离”。既不属于“正偏离”也不属于“负偏离”即为“无偏离”。当响应文件的商务内容低于采购文件的要求时，供应商应当如实写明“负偏离”，否则视为虚假应标。</w:t>
      </w:r>
    </w:p>
    <w:p w14:paraId="542D04E0">
      <w:pPr>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3. 表格内容应按采购需求填写，不得留空。</w:t>
      </w:r>
    </w:p>
    <w:p w14:paraId="2DAD8EB5">
      <w:pPr>
        <w:pStyle w:val="14"/>
        <w:spacing w:line="400" w:lineRule="exact"/>
        <w:rPr>
          <w:rFonts w:hint="eastAsia" w:hAnsi="宋体" w:cs="宋体"/>
          <w:color w:val="auto"/>
          <w:sz w:val="24"/>
          <w:szCs w:val="24"/>
          <w:highlight w:val="none"/>
        </w:rPr>
      </w:pPr>
      <w:r>
        <w:rPr>
          <w:rFonts w:hint="eastAsia" w:hAnsi="宋体" w:cs="宋体"/>
          <w:color w:val="auto"/>
          <w:sz w:val="24"/>
          <w:szCs w:val="24"/>
          <w:highlight w:val="none"/>
        </w:rPr>
        <w:t>4. 如商务条款偏离表中的竞标响应与佐证材料不一致的，以佐证材料为准。</w:t>
      </w:r>
    </w:p>
    <w:p w14:paraId="661D4B35">
      <w:pPr>
        <w:spacing w:line="360" w:lineRule="auto"/>
        <w:rPr>
          <w:rFonts w:hint="eastAsia" w:ascii="宋体" w:hAnsi="宋体" w:cs="宋体"/>
          <w:color w:val="auto"/>
          <w:kern w:val="0"/>
          <w:sz w:val="24"/>
          <w:highlight w:val="none"/>
        </w:rPr>
      </w:pPr>
    </w:p>
    <w:p w14:paraId="28D6CCC1">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kern w:val="0"/>
          <w:sz w:val="24"/>
          <w:highlight w:val="none"/>
        </w:rPr>
        <w:t>供应商名称（电子签章）：</w:t>
      </w:r>
    </w:p>
    <w:p w14:paraId="46801285">
      <w:pPr>
        <w:spacing w:line="360" w:lineRule="auto"/>
        <w:jc w:val="center"/>
        <w:rPr>
          <w:rFonts w:hint="eastAsia" w:ascii="宋体" w:hAnsi="宋体" w:cs="宋体"/>
          <w:b/>
          <w:color w:val="auto"/>
          <w:sz w:val="30"/>
          <w:szCs w:val="30"/>
          <w:highlight w:val="none"/>
        </w:rPr>
      </w:pPr>
      <w:r>
        <w:rPr>
          <w:rFonts w:hint="eastAsia" w:ascii="宋体" w:hAnsi="宋体" w:cs="宋体"/>
          <w:color w:val="auto"/>
          <w:kern w:val="0"/>
          <w:sz w:val="24"/>
          <w:highlight w:val="none"/>
        </w:rPr>
        <w:t xml:space="preserve">                                                   日期：  年  月   日</w:t>
      </w:r>
    </w:p>
    <w:p w14:paraId="3FAE70D0">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五、供应商情况介绍</w:t>
      </w:r>
    </w:p>
    <w:p w14:paraId="7CA65630">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14:paraId="1FBA718D">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3E11ECB">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rPr>
        <w:t>日期：  年  月   日</w:t>
      </w:r>
    </w:p>
    <w:p w14:paraId="63DB0BE0">
      <w:pPr>
        <w:snapToGrid w:val="0"/>
        <w:spacing w:before="120" w:beforeLines="50" w:after="50"/>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14:paraId="1B7C86EA">
      <w:pPr>
        <w:snapToGrid w:val="0"/>
        <w:spacing w:before="120" w:beforeLines="50" w:after="50"/>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14:paraId="7E9EC804">
      <w:pPr>
        <w:rPr>
          <w:rFonts w:hint="eastAsia"/>
          <w:color w:val="auto"/>
          <w:highlight w:val="none"/>
        </w:rPr>
      </w:pPr>
      <w:r>
        <w:rPr>
          <w:rFonts w:hint="eastAsia"/>
          <w:color w:val="auto"/>
          <w:highlight w:val="none"/>
        </w:rPr>
        <w:t xml:space="preserve"> </w:t>
      </w:r>
    </w:p>
    <w:p w14:paraId="7D9DA9A4">
      <w:pPr>
        <w:rPr>
          <w:rFonts w:hint="eastAsia" w:ascii="宋体" w:hAnsi="宋体" w:cs="宋体"/>
          <w:b/>
          <w:color w:val="auto"/>
          <w:sz w:val="30"/>
          <w:szCs w:val="30"/>
          <w:highlight w:val="none"/>
        </w:rPr>
      </w:pPr>
      <w:r>
        <w:rPr>
          <w:rFonts w:hint="eastAsia"/>
          <w:color w:val="auto"/>
          <w:highlight w:val="none"/>
        </w:rPr>
        <w:t xml:space="preserve"> </w:t>
      </w:r>
      <w:r>
        <w:rPr>
          <w:rFonts w:hint="eastAsia" w:ascii="宋体" w:hAnsi="宋体" w:cs="宋体"/>
          <w:b/>
          <w:color w:val="auto"/>
          <w:sz w:val="30"/>
          <w:szCs w:val="30"/>
          <w:highlight w:val="none"/>
        </w:rPr>
        <w:t>六、供应商类似的业绩证明文件</w:t>
      </w:r>
    </w:p>
    <w:p w14:paraId="0EC3C6D5">
      <w:pPr>
        <w:autoSpaceDE w:val="0"/>
        <w:autoSpaceDN w:val="0"/>
        <w:spacing w:line="440" w:lineRule="exact"/>
        <w:ind w:firstLine="120"/>
        <w:rPr>
          <w:rFonts w:ascii="宋体" w:hAnsi="宋体"/>
          <w:color w:val="auto"/>
          <w:szCs w:val="21"/>
          <w:highlight w:val="none"/>
        </w:rPr>
      </w:pPr>
      <w:r>
        <w:rPr>
          <w:rFonts w:hint="eastAsia" w:ascii="宋体" w:hAnsi="宋体" w:cs="仿宋_GB2312"/>
          <w:b/>
          <w:color w:val="auto"/>
          <w:szCs w:val="21"/>
          <w:highlight w:val="none"/>
        </w:rPr>
        <w:t>附表 ：相关项目业绩一览表（供应商同类项目合同复印件格式自拟）</w:t>
      </w:r>
    </w:p>
    <w:p w14:paraId="3435F68F">
      <w:pPr>
        <w:spacing w:line="440" w:lineRule="exact"/>
        <w:ind w:left="72"/>
        <w:rPr>
          <w:rFonts w:hint="eastAsia" w:ascii="宋体" w:hAnsi="宋体"/>
          <w:color w:val="auto"/>
          <w:highlight w:val="none"/>
        </w:rPr>
      </w:pPr>
    </w:p>
    <w:tbl>
      <w:tblPr>
        <w:tblStyle w:val="21"/>
        <w:tblpPr w:leftFromText="180" w:rightFromText="180" w:vertAnchor="page" w:horzAnchor="page" w:tblpXSpec="center" w:tblpY="6214"/>
        <w:tblW w:w="499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38"/>
        <w:gridCol w:w="1650"/>
        <w:gridCol w:w="1015"/>
        <w:gridCol w:w="1015"/>
        <w:gridCol w:w="2670"/>
        <w:gridCol w:w="1648"/>
      </w:tblGrid>
      <w:tr w14:paraId="47742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12" w:hRule="atLeast"/>
          <w:jc w:val="center"/>
        </w:trPr>
        <w:tc>
          <w:tcPr>
            <w:tcW w:w="670" w:type="pct"/>
            <w:vMerge w:val="restart"/>
            <w:tcBorders>
              <w:top w:val="single" w:color="auto" w:sz="4" w:space="0"/>
              <w:left w:val="single" w:color="auto" w:sz="4" w:space="0"/>
              <w:bottom w:val="single" w:color="auto" w:sz="4" w:space="0"/>
              <w:right w:val="single" w:color="auto" w:sz="4" w:space="0"/>
            </w:tcBorders>
            <w:noWrap w:val="0"/>
            <w:vAlign w:val="center"/>
          </w:tcPr>
          <w:p w14:paraId="25D2E77E">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采购人名称</w:t>
            </w:r>
          </w:p>
        </w:tc>
        <w:tc>
          <w:tcPr>
            <w:tcW w:w="893" w:type="pct"/>
            <w:vMerge w:val="restart"/>
            <w:tcBorders>
              <w:top w:val="single" w:color="auto" w:sz="4" w:space="0"/>
              <w:left w:val="single" w:color="auto" w:sz="4" w:space="0"/>
              <w:bottom w:val="single" w:color="auto" w:sz="4" w:space="0"/>
              <w:right w:val="single" w:color="auto" w:sz="4" w:space="0"/>
            </w:tcBorders>
            <w:noWrap w:val="0"/>
            <w:vAlign w:val="center"/>
          </w:tcPr>
          <w:p w14:paraId="4A00656B">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项目名称</w:t>
            </w:r>
          </w:p>
        </w:tc>
        <w:tc>
          <w:tcPr>
            <w:tcW w:w="549" w:type="pct"/>
            <w:vMerge w:val="restart"/>
            <w:tcBorders>
              <w:top w:val="single" w:color="auto" w:sz="4" w:space="0"/>
              <w:left w:val="single" w:color="auto" w:sz="4" w:space="0"/>
              <w:bottom w:val="single" w:color="auto" w:sz="4" w:space="0"/>
              <w:right w:val="single" w:color="auto" w:sz="4" w:space="0"/>
            </w:tcBorders>
            <w:noWrap w:val="0"/>
            <w:vAlign w:val="center"/>
          </w:tcPr>
          <w:p w14:paraId="377A63B1">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合同</w:t>
            </w:r>
          </w:p>
          <w:p w14:paraId="0B395D5B">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金额</w:t>
            </w:r>
          </w:p>
          <w:p w14:paraId="1E4FA991">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（万元）</w:t>
            </w:r>
          </w:p>
        </w:tc>
        <w:tc>
          <w:tcPr>
            <w:tcW w:w="1994" w:type="pct"/>
            <w:gridSpan w:val="2"/>
            <w:tcBorders>
              <w:top w:val="single" w:color="auto" w:sz="4" w:space="0"/>
              <w:left w:val="single" w:color="auto" w:sz="4" w:space="0"/>
              <w:bottom w:val="single" w:color="auto" w:sz="4" w:space="0"/>
              <w:right w:val="single" w:color="auto" w:sz="4" w:space="0"/>
            </w:tcBorders>
            <w:noWrap w:val="0"/>
            <w:vAlign w:val="center"/>
          </w:tcPr>
          <w:p w14:paraId="6E9B186D">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附件在响应文件中页码</w:t>
            </w:r>
          </w:p>
        </w:tc>
        <w:tc>
          <w:tcPr>
            <w:tcW w:w="892" w:type="pct"/>
            <w:tcBorders>
              <w:top w:val="single" w:color="auto" w:sz="4" w:space="0"/>
              <w:left w:val="single" w:color="auto" w:sz="4" w:space="0"/>
              <w:bottom w:val="single" w:color="auto" w:sz="4" w:space="0"/>
              <w:right w:val="single" w:color="auto" w:sz="4" w:space="0"/>
            </w:tcBorders>
            <w:noWrap w:val="0"/>
            <w:vAlign w:val="center"/>
          </w:tcPr>
          <w:p w14:paraId="15A3506C">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采购人联系人及联系电话</w:t>
            </w:r>
          </w:p>
        </w:tc>
      </w:tr>
      <w:tr w14:paraId="27492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2" w:hRule="atLeast"/>
          <w:jc w:val="center"/>
        </w:trPr>
        <w:tc>
          <w:tcPr>
            <w:tcW w:w="670" w:type="pct"/>
            <w:vMerge w:val="continue"/>
            <w:tcBorders>
              <w:top w:val="single" w:color="auto" w:sz="4" w:space="0"/>
              <w:left w:val="single" w:color="auto" w:sz="4" w:space="0"/>
              <w:bottom w:val="single" w:color="auto" w:sz="4" w:space="0"/>
              <w:right w:val="single" w:color="auto" w:sz="4" w:space="0"/>
            </w:tcBorders>
            <w:noWrap w:val="0"/>
            <w:vAlign w:val="center"/>
          </w:tcPr>
          <w:p w14:paraId="14007425">
            <w:pPr>
              <w:spacing w:line="440" w:lineRule="exact"/>
              <w:jc w:val="left"/>
              <w:rPr>
                <w:rFonts w:ascii="宋体" w:hAnsi="宋体"/>
                <w:color w:val="auto"/>
                <w:szCs w:val="21"/>
                <w:highlight w:val="none"/>
              </w:rPr>
            </w:pPr>
          </w:p>
        </w:tc>
        <w:tc>
          <w:tcPr>
            <w:tcW w:w="893" w:type="pct"/>
            <w:vMerge w:val="continue"/>
            <w:tcBorders>
              <w:top w:val="single" w:color="auto" w:sz="4" w:space="0"/>
              <w:left w:val="single" w:color="auto" w:sz="4" w:space="0"/>
              <w:bottom w:val="single" w:color="auto" w:sz="4" w:space="0"/>
              <w:right w:val="single" w:color="auto" w:sz="4" w:space="0"/>
            </w:tcBorders>
            <w:noWrap w:val="0"/>
            <w:vAlign w:val="center"/>
          </w:tcPr>
          <w:p w14:paraId="46346FD9">
            <w:pPr>
              <w:spacing w:line="440" w:lineRule="exact"/>
              <w:jc w:val="left"/>
              <w:rPr>
                <w:rFonts w:ascii="宋体" w:hAnsi="宋体"/>
                <w:color w:val="auto"/>
                <w:szCs w:val="21"/>
                <w:highlight w:val="none"/>
              </w:rPr>
            </w:pPr>
          </w:p>
        </w:tc>
        <w:tc>
          <w:tcPr>
            <w:tcW w:w="549" w:type="pct"/>
            <w:vMerge w:val="continue"/>
            <w:tcBorders>
              <w:top w:val="single" w:color="auto" w:sz="4" w:space="0"/>
              <w:left w:val="single" w:color="auto" w:sz="4" w:space="0"/>
              <w:bottom w:val="single" w:color="auto" w:sz="4" w:space="0"/>
              <w:right w:val="single" w:color="auto" w:sz="4" w:space="0"/>
            </w:tcBorders>
            <w:noWrap w:val="0"/>
            <w:vAlign w:val="center"/>
          </w:tcPr>
          <w:p w14:paraId="3FDA3317">
            <w:pPr>
              <w:spacing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center"/>
          </w:tcPr>
          <w:p w14:paraId="1F635C72">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合同</w:t>
            </w:r>
          </w:p>
        </w:tc>
        <w:tc>
          <w:tcPr>
            <w:tcW w:w="1445" w:type="pct"/>
            <w:tcBorders>
              <w:top w:val="single" w:color="auto" w:sz="4" w:space="0"/>
              <w:left w:val="single" w:color="auto" w:sz="4" w:space="0"/>
              <w:bottom w:val="single" w:color="auto" w:sz="4" w:space="0"/>
              <w:right w:val="single" w:color="auto" w:sz="4" w:space="0"/>
            </w:tcBorders>
            <w:noWrap w:val="0"/>
            <w:vAlign w:val="center"/>
          </w:tcPr>
          <w:p w14:paraId="428F46F8">
            <w:pPr>
              <w:snapToGrid w:val="0"/>
              <w:spacing w:line="440" w:lineRule="exact"/>
              <w:jc w:val="center"/>
              <w:rPr>
                <w:rFonts w:ascii="宋体" w:hAnsi="宋体"/>
                <w:color w:val="auto"/>
                <w:szCs w:val="21"/>
                <w:highlight w:val="none"/>
              </w:rPr>
            </w:pPr>
            <w:r>
              <w:rPr>
                <w:rFonts w:hint="eastAsia" w:ascii="宋体" w:hAnsi="宋体"/>
                <w:color w:val="auto"/>
                <w:szCs w:val="21"/>
                <w:highlight w:val="none"/>
              </w:rPr>
              <w:t>用户评价</w:t>
            </w:r>
          </w:p>
        </w:tc>
        <w:tc>
          <w:tcPr>
            <w:tcW w:w="892" w:type="pct"/>
            <w:tcBorders>
              <w:top w:val="single" w:color="auto" w:sz="4" w:space="0"/>
              <w:left w:val="single" w:color="auto" w:sz="4" w:space="0"/>
              <w:bottom w:val="single" w:color="auto" w:sz="4" w:space="0"/>
              <w:right w:val="single" w:color="auto" w:sz="4" w:space="0"/>
            </w:tcBorders>
            <w:noWrap w:val="0"/>
            <w:vAlign w:val="center"/>
          </w:tcPr>
          <w:p w14:paraId="7FE04F54">
            <w:pPr>
              <w:spacing w:line="440" w:lineRule="exact"/>
              <w:jc w:val="left"/>
              <w:rPr>
                <w:rFonts w:ascii="宋体" w:hAnsi="宋体"/>
                <w:color w:val="auto"/>
                <w:szCs w:val="21"/>
                <w:highlight w:val="none"/>
              </w:rPr>
            </w:pPr>
          </w:p>
        </w:tc>
      </w:tr>
      <w:tr w14:paraId="094085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0" w:type="pct"/>
            <w:tcBorders>
              <w:top w:val="single" w:color="auto" w:sz="4" w:space="0"/>
              <w:left w:val="single" w:color="auto" w:sz="4" w:space="0"/>
              <w:bottom w:val="single" w:color="auto" w:sz="4" w:space="0"/>
              <w:right w:val="single" w:color="auto" w:sz="4" w:space="0"/>
            </w:tcBorders>
            <w:noWrap w:val="0"/>
            <w:vAlign w:val="top"/>
          </w:tcPr>
          <w:p w14:paraId="3FBA480D">
            <w:pPr>
              <w:snapToGrid w:val="0"/>
              <w:spacing w:line="440" w:lineRule="exact"/>
              <w:jc w:val="left"/>
              <w:rPr>
                <w:rFonts w:ascii="宋体" w:hAnsi="宋体"/>
                <w:color w:val="auto"/>
                <w:szCs w:val="21"/>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2112F92B">
            <w:pPr>
              <w:snapToGrid w:val="0"/>
              <w:spacing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0FF784B6">
            <w:pPr>
              <w:snapToGrid w:val="0"/>
              <w:spacing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08D6C8BF">
            <w:pPr>
              <w:snapToGrid w:val="0"/>
              <w:spacing w:line="440" w:lineRule="exact"/>
              <w:jc w:val="left"/>
              <w:rPr>
                <w:rFonts w:ascii="宋体" w:hAnsi="宋体"/>
                <w:color w:val="auto"/>
                <w:szCs w:val="21"/>
                <w:highlight w:val="none"/>
              </w:rPr>
            </w:pPr>
          </w:p>
        </w:tc>
        <w:tc>
          <w:tcPr>
            <w:tcW w:w="1445" w:type="pct"/>
            <w:tcBorders>
              <w:top w:val="single" w:color="auto" w:sz="4" w:space="0"/>
              <w:left w:val="single" w:color="auto" w:sz="4" w:space="0"/>
              <w:bottom w:val="single" w:color="auto" w:sz="4" w:space="0"/>
              <w:right w:val="single" w:color="auto" w:sz="4" w:space="0"/>
            </w:tcBorders>
            <w:noWrap w:val="0"/>
            <w:vAlign w:val="top"/>
          </w:tcPr>
          <w:p w14:paraId="1B28A121">
            <w:pPr>
              <w:snapToGrid w:val="0"/>
              <w:spacing w:line="440" w:lineRule="exact"/>
              <w:jc w:val="left"/>
              <w:rPr>
                <w:rFonts w:ascii="宋体" w:hAnsi="宋体"/>
                <w:color w:val="auto"/>
                <w:szCs w:val="21"/>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6113EA17">
            <w:pPr>
              <w:snapToGrid w:val="0"/>
              <w:spacing w:line="440" w:lineRule="exact"/>
              <w:jc w:val="left"/>
              <w:rPr>
                <w:rFonts w:ascii="宋体" w:hAnsi="宋体"/>
                <w:color w:val="auto"/>
                <w:szCs w:val="21"/>
                <w:highlight w:val="none"/>
              </w:rPr>
            </w:pPr>
          </w:p>
        </w:tc>
      </w:tr>
      <w:tr w14:paraId="2BBFD9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670" w:type="pct"/>
            <w:tcBorders>
              <w:top w:val="single" w:color="auto" w:sz="4" w:space="0"/>
              <w:left w:val="single" w:color="auto" w:sz="4" w:space="0"/>
              <w:bottom w:val="single" w:color="auto" w:sz="4" w:space="0"/>
              <w:right w:val="single" w:color="auto" w:sz="4" w:space="0"/>
            </w:tcBorders>
            <w:noWrap w:val="0"/>
            <w:vAlign w:val="top"/>
          </w:tcPr>
          <w:p w14:paraId="5228AAC1">
            <w:pPr>
              <w:snapToGrid w:val="0"/>
              <w:spacing w:before="50" w:after="120" w:afterLines="50" w:line="440" w:lineRule="exact"/>
              <w:jc w:val="left"/>
              <w:rPr>
                <w:rFonts w:ascii="宋体" w:hAnsi="宋体"/>
                <w:color w:val="auto"/>
                <w:szCs w:val="21"/>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23DB9EFF">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08EC6BDA">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73CBF740">
            <w:pPr>
              <w:snapToGrid w:val="0"/>
              <w:spacing w:before="50" w:after="120" w:afterLines="50" w:line="440" w:lineRule="exact"/>
              <w:jc w:val="left"/>
              <w:rPr>
                <w:rFonts w:ascii="宋体" w:hAnsi="宋体"/>
                <w:color w:val="auto"/>
                <w:szCs w:val="21"/>
                <w:highlight w:val="none"/>
              </w:rPr>
            </w:pPr>
          </w:p>
        </w:tc>
        <w:tc>
          <w:tcPr>
            <w:tcW w:w="1445" w:type="pct"/>
            <w:tcBorders>
              <w:top w:val="single" w:color="auto" w:sz="4" w:space="0"/>
              <w:left w:val="single" w:color="auto" w:sz="4" w:space="0"/>
              <w:bottom w:val="single" w:color="auto" w:sz="4" w:space="0"/>
              <w:right w:val="single" w:color="auto" w:sz="4" w:space="0"/>
            </w:tcBorders>
            <w:noWrap w:val="0"/>
            <w:vAlign w:val="top"/>
          </w:tcPr>
          <w:p w14:paraId="6C232676">
            <w:pPr>
              <w:snapToGrid w:val="0"/>
              <w:spacing w:before="50" w:after="120" w:afterLines="50" w:line="440" w:lineRule="exact"/>
              <w:jc w:val="left"/>
              <w:rPr>
                <w:rFonts w:ascii="宋体" w:hAnsi="宋体"/>
                <w:color w:val="auto"/>
                <w:szCs w:val="21"/>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75A7B15F">
            <w:pPr>
              <w:snapToGrid w:val="0"/>
              <w:spacing w:before="50" w:after="120" w:afterLines="50" w:line="440" w:lineRule="exact"/>
              <w:jc w:val="left"/>
              <w:rPr>
                <w:rFonts w:ascii="宋体" w:hAnsi="宋体"/>
                <w:color w:val="auto"/>
                <w:szCs w:val="21"/>
                <w:highlight w:val="none"/>
              </w:rPr>
            </w:pPr>
          </w:p>
        </w:tc>
      </w:tr>
      <w:tr w14:paraId="468732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70" w:type="pct"/>
            <w:tcBorders>
              <w:top w:val="single" w:color="auto" w:sz="4" w:space="0"/>
              <w:left w:val="single" w:color="auto" w:sz="4" w:space="0"/>
              <w:bottom w:val="single" w:color="auto" w:sz="4" w:space="0"/>
              <w:right w:val="single" w:color="auto" w:sz="4" w:space="0"/>
            </w:tcBorders>
            <w:noWrap w:val="0"/>
            <w:vAlign w:val="top"/>
          </w:tcPr>
          <w:p w14:paraId="282F6624">
            <w:pPr>
              <w:snapToGrid w:val="0"/>
              <w:spacing w:before="50" w:after="120" w:afterLines="50" w:line="440" w:lineRule="exact"/>
              <w:jc w:val="left"/>
              <w:rPr>
                <w:rFonts w:ascii="宋体" w:hAnsi="宋体"/>
                <w:color w:val="auto"/>
                <w:szCs w:val="21"/>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4E89853E">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14C5CE0D">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3413751C">
            <w:pPr>
              <w:snapToGrid w:val="0"/>
              <w:spacing w:before="50" w:after="120" w:afterLines="50" w:line="440" w:lineRule="exact"/>
              <w:jc w:val="left"/>
              <w:rPr>
                <w:rFonts w:ascii="宋体" w:hAnsi="宋体"/>
                <w:color w:val="auto"/>
                <w:szCs w:val="21"/>
                <w:highlight w:val="none"/>
              </w:rPr>
            </w:pPr>
          </w:p>
        </w:tc>
        <w:tc>
          <w:tcPr>
            <w:tcW w:w="1445" w:type="pct"/>
            <w:tcBorders>
              <w:top w:val="single" w:color="auto" w:sz="4" w:space="0"/>
              <w:left w:val="single" w:color="auto" w:sz="4" w:space="0"/>
              <w:bottom w:val="single" w:color="auto" w:sz="4" w:space="0"/>
              <w:right w:val="single" w:color="auto" w:sz="4" w:space="0"/>
            </w:tcBorders>
            <w:noWrap w:val="0"/>
            <w:vAlign w:val="top"/>
          </w:tcPr>
          <w:p w14:paraId="64A3FEE6">
            <w:pPr>
              <w:snapToGrid w:val="0"/>
              <w:spacing w:before="50" w:after="120" w:afterLines="50" w:line="440" w:lineRule="exact"/>
              <w:jc w:val="left"/>
              <w:rPr>
                <w:rFonts w:ascii="宋体" w:hAnsi="宋体"/>
                <w:color w:val="auto"/>
                <w:szCs w:val="21"/>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6C743C37">
            <w:pPr>
              <w:snapToGrid w:val="0"/>
              <w:spacing w:before="50" w:after="120" w:afterLines="50" w:line="440" w:lineRule="exact"/>
              <w:jc w:val="left"/>
              <w:rPr>
                <w:rFonts w:ascii="宋体" w:hAnsi="宋体"/>
                <w:color w:val="auto"/>
                <w:szCs w:val="21"/>
                <w:highlight w:val="none"/>
              </w:rPr>
            </w:pPr>
          </w:p>
        </w:tc>
      </w:tr>
      <w:tr w14:paraId="448B73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670" w:type="pct"/>
            <w:tcBorders>
              <w:top w:val="single" w:color="auto" w:sz="4" w:space="0"/>
              <w:left w:val="single" w:color="auto" w:sz="4" w:space="0"/>
              <w:bottom w:val="single" w:color="auto" w:sz="4" w:space="0"/>
              <w:right w:val="single" w:color="auto" w:sz="4" w:space="0"/>
            </w:tcBorders>
            <w:noWrap w:val="0"/>
            <w:vAlign w:val="top"/>
          </w:tcPr>
          <w:p w14:paraId="40B1A839">
            <w:pPr>
              <w:snapToGrid w:val="0"/>
              <w:spacing w:before="50" w:after="120" w:afterLines="50" w:line="440" w:lineRule="exact"/>
              <w:jc w:val="left"/>
              <w:rPr>
                <w:rFonts w:ascii="宋体" w:hAnsi="宋体"/>
                <w:color w:val="auto"/>
                <w:szCs w:val="21"/>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3FCEBC3C">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480DABEE">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45390D73">
            <w:pPr>
              <w:snapToGrid w:val="0"/>
              <w:spacing w:before="50" w:after="120" w:afterLines="50" w:line="440" w:lineRule="exact"/>
              <w:jc w:val="left"/>
              <w:rPr>
                <w:rFonts w:ascii="宋体" w:hAnsi="宋体"/>
                <w:color w:val="auto"/>
                <w:szCs w:val="21"/>
                <w:highlight w:val="none"/>
              </w:rPr>
            </w:pPr>
          </w:p>
        </w:tc>
        <w:tc>
          <w:tcPr>
            <w:tcW w:w="1445" w:type="pct"/>
            <w:tcBorders>
              <w:top w:val="single" w:color="auto" w:sz="4" w:space="0"/>
              <w:left w:val="single" w:color="auto" w:sz="4" w:space="0"/>
              <w:bottom w:val="single" w:color="auto" w:sz="4" w:space="0"/>
              <w:right w:val="single" w:color="auto" w:sz="4" w:space="0"/>
            </w:tcBorders>
            <w:noWrap w:val="0"/>
            <w:vAlign w:val="top"/>
          </w:tcPr>
          <w:p w14:paraId="41C44D78">
            <w:pPr>
              <w:snapToGrid w:val="0"/>
              <w:spacing w:before="50" w:after="120" w:afterLines="50" w:line="440" w:lineRule="exact"/>
              <w:jc w:val="left"/>
              <w:rPr>
                <w:rFonts w:ascii="宋体" w:hAnsi="宋体"/>
                <w:color w:val="auto"/>
                <w:szCs w:val="21"/>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7BD6B51C">
            <w:pPr>
              <w:snapToGrid w:val="0"/>
              <w:spacing w:before="50" w:after="120" w:afterLines="50" w:line="440" w:lineRule="exact"/>
              <w:jc w:val="left"/>
              <w:rPr>
                <w:rFonts w:ascii="宋体" w:hAnsi="宋体"/>
                <w:color w:val="auto"/>
                <w:szCs w:val="21"/>
                <w:highlight w:val="none"/>
              </w:rPr>
            </w:pPr>
          </w:p>
        </w:tc>
      </w:tr>
      <w:tr w14:paraId="0E83F0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670" w:type="pct"/>
            <w:tcBorders>
              <w:top w:val="single" w:color="auto" w:sz="4" w:space="0"/>
              <w:left w:val="single" w:color="auto" w:sz="4" w:space="0"/>
              <w:bottom w:val="single" w:color="auto" w:sz="4" w:space="0"/>
              <w:right w:val="single" w:color="auto" w:sz="4" w:space="0"/>
            </w:tcBorders>
            <w:noWrap w:val="0"/>
            <w:vAlign w:val="top"/>
          </w:tcPr>
          <w:p w14:paraId="269C3018">
            <w:pPr>
              <w:snapToGrid w:val="0"/>
              <w:spacing w:before="50" w:after="120" w:afterLines="50" w:line="440" w:lineRule="exact"/>
              <w:jc w:val="left"/>
              <w:rPr>
                <w:rFonts w:ascii="宋体" w:hAnsi="宋体"/>
                <w:color w:val="auto"/>
                <w:szCs w:val="21"/>
                <w:highlight w:val="none"/>
              </w:rPr>
            </w:pPr>
          </w:p>
        </w:tc>
        <w:tc>
          <w:tcPr>
            <w:tcW w:w="893" w:type="pct"/>
            <w:tcBorders>
              <w:top w:val="single" w:color="auto" w:sz="4" w:space="0"/>
              <w:left w:val="single" w:color="auto" w:sz="4" w:space="0"/>
              <w:bottom w:val="single" w:color="auto" w:sz="4" w:space="0"/>
              <w:right w:val="single" w:color="auto" w:sz="4" w:space="0"/>
            </w:tcBorders>
            <w:noWrap w:val="0"/>
            <w:vAlign w:val="top"/>
          </w:tcPr>
          <w:p w14:paraId="1AE7EE2E">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09F0623C">
            <w:pPr>
              <w:snapToGrid w:val="0"/>
              <w:spacing w:before="50" w:after="120" w:afterLines="50" w:line="440" w:lineRule="exact"/>
              <w:jc w:val="left"/>
              <w:rPr>
                <w:rFonts w:ascii="宋体" w:hAnsi="宋体"/>
                <w:color w:val="auto"/>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0"/>
            <w:vAlign w:val="top"/>
          </w:tcPr>
          <w:p w14:paraId="496977E6">
            <w:pPr>
              <w:snapToGrid w:val="0"/>
              <w:spacing w:before="50" w:after="120" w:afterLines="50" w:line="440" w:lineRule="exact"/>
              <w:jc w:val="left"/>
              <w:rPr>
                <w:rFonts w:ascii="宋体" w:hAnsi="宋体"/>
                <w:color w:val="auto"/>
                <w:szCs w:val="21"/>
                <w:highlight w:val="none"/>
              </w:rPr>
            </w:pPr>
          </w:p>
        </w:tc>
        <w:tc>
          <w:tcPr>
            <w:tcW w:w="1445" w:type="pct"/>
            <w:tcBorders>
              <w:top w:val="single" w:color="auto" w:sz="4" w:space="0"/>
              <w:left w:val="single" w:color="auto" w:sz="4" w:space="0"/>
              <w:bottom w:val="single" w:color="auto" w:sz="4" w:space="0"/>
              <w:right w:val="single" w:color="auto" w:sz="4" w:space="0"/>
            </w:tcBorders>
            <w:noWrap w:val="0"/>
            <w:vAlign w:val="top"/>
          </w:tcPr>
          <w:p w14:paraId="471B167F">
            <w:pPr>
              <w:snapToGrid w:val="0"/>
              <w:spacing w:before="50" w:after="120" w:afterLines="50" w:line="440" w:lineRule="exact"/>
              <w:jc w:val="left"/>
              <w:rPr>
                <w:rFonts w:ascii="宋体" w:hAnsi="宋体"/>
                <w:color w:val="auto"/>
                <w:szCs w:val="21"/>
                <w:highlight w:val="none"/>
              </w:rPr>
            </w:pPr>
          </w:p>
        </w:tc>
        <w:tc>
          <w:tcPr>
            <w:tcW w:w="892" w:type="pct"/>
            <w:tcBorders>
              <w:top w:val="single" w:color="auto" w:sz="4" w:space="0"/>
              <w:left w:val="single" w:color="auto" w:sz="4" w:space="0"/>
              <w:bottom w:val="single" w:color="auto" w:sz="4" w:space="0"/>
              <w:right w:val="single" w:color="auto" w:sz="4" w:space="0"/>
            </w:tcBorders>
            <w:noWrap w:val="0"/>
            <w:vAlign w:val="top"/>
          </w:tcPr>
          <w:p w14:paraId="1DE10883">
            <w:pPr>
              <w:snapToGrid w:val="0"/>
              <w:spacing w:before="50" w:after="120" w:afterLines="50" w:line="440" w:lineRule="exact"/>
              <w:jc w:val="left"/>
              <w:rPr>
                <w:rFonts w:ascii="宋体" w:hAnsi="宋体"/>
                <w:color w:val="auto"/>
                <w:szCs w:val="21"/>
                <w:highlight w:val="none"/>
              </w:rPr>
            </w:pPr>
          </w:p>
        </w:tc>
      </w:tr>
    </w:tbl>
    <w:p w14:paraId="0CF231F7">
      <w:pPr>
        <w:spacing w:line="440" w:lineRule="exact"/>
        <w:ind w:left="72"/>
        <w:rPr>
          <w:rFonts w:ascii="宋体" w:hAnsi="宋体"/>
          <w:color w:val="auto"/>
          <w:highlight w:val="none"/>
        </w:rPr>
      </w:pPr>
      <w:r>
        <w:rPr>
          <w:rFonts w:hint="eastAsia" w:ascii="宋体" w:hAnsi="宋体"/>
          <w:color w:val="auto"/>
          <w:highlight w:val="none"/>
        </w:rPr>
        <w:t>注：供应商可按上述的格式自行编制，须随表提交相应的合同复印件并注明所在供应商商务技术文件页码。</w:t>
      </w:r>
    </w:p>
    <w:p w14:paraId="1A5539AA">
      <w:pPr>
        <w:snapToGrid w:val="0"/>
        <w:spacing w:line="440" w:lineRule="exact"/>
        <w:ind w:firstLine="4935" w:firstLineChars="2350"/>
        <w:rPr>
          <w:rFonts w:ascii="宋体" w:hAnsi="宋体"/>
          <w:color w:val="auto"/>
          <w:szCs w:val="21"/>
          <w:highlight w:val="none"/>
        </w:rPr>
      </w:pPr>
      <w:r>
        <w:rPr>
          <w:rFonts w:ascii="宋体" w:hAnsi="宋体"/>
          <w:color w:val="auto"/>
          <w:szCs w:val="21"/>
          <w:highlight w:val="none"/>
        </w:rPr>
        <w:t xml:space="preserve"> </w:t>
      </w:r>
    </w:p>
    <w:p w14:paraId="55357C8A">
      <w:pPr>
        <w:snapToGrid w:val="0"/>
        <w:spacing w:line="440" w:lineRule="exact"/>
        <w:ind w:firstLine="4935" w:firstLineChars="2350"/>
        <w:rPr>
          <w:rFonts w:ascii="宋体" w:hAnsi="宋体"/>
          <w:color w:val="auto"/>
          <w:szCs w:val="21"/>
          <w:highlight w:val="none"/>
        </w:rPr>
      </w:pPr>
    </w:p>
    <w:p w14:paraId="56137595">
      <w:pPr>
        <w:snapToGrid w:val="0"/>
        <w:spacing w:line="440" w:lineRule="exact"/>
        <w:ind w:left="4410" w:leftChars="2100" w:firstLine="5670" w:firstLineChars="2700"/>
        <w:rPr>
          <w:rFonts w:ascii="宋体" w:hAnsi="宋体" w:cs="仿宋_GB2312"/>
          <w:color w:val="auto"/>
          <w:kern w:val="0"/>
          <w:szCs w:val="21"/>
          <w:highlight w:val="none"/>
        </w:rPr>
      </w:pPr>
      <w:r>
        <w:rPr>
          <w:rFonts w:ascii="宋体" w:hAnsi="宋体"/>
          <w:color w:val="auto"/>
          <w:szCs w:val="21"/>
          <w:highlight w:val="none"/>
        </w:rPr>
        <w:t xml:space="preserve"> </w:t>
      </w:r>
      <w:r>
        <w:rPr>
          <w:rFonts w:hint="eastAsia" w:ascii="宋体" w:hAnsi="宋体" w:cs="仿宋_GB2312"/>
          <w:color w:val="auto"/>
          <w:kern w:val="0"/>
          <w:szCs w:val="21"/>
          <w:highlight w:val="none"/>
          <w:lang w:val="zh-CN"/>
        </w:rPr>
        <w:t>供应商名称(电子签章)：</w:t>
      </w:r>
    </w:p>
    <w:p w14:paraId="50037665">
      <w:pPr>
        <w:spacing w:line="440" w:lineRule="exact"/>
        <w:jc w:val="center"/>
        <w:rPr>
          <w:rFonts w:hint="eastAsia" w:ascii="宋体" w:hAnsi="宋体" w:cs="仿宋_GB2312"/>
          <w:color w:val="auto"/>
          <w:szCs w:val="21"/>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r>
        <w:rPr>
          <w:rFonts w:hint="eastAsia" w:ascii="宋体" w:hAnsi="宋体" w:cs="仿宋_GB2312"/>
          <w:color w:val="auto"/>
          <w:kern w:val="0"/>
          <w:szCs w:val="21"/>
          <w:highlight w:val="none"/>
          <w:lang w:val="zh-CN"/>
        </w:rPr>
        <w:t xml:space="preserve">                                                     日期</w:t>
      </w:r>
      <w:r>
        <w:rPr>
          <w:rFonts w:hint="eastAsia" w:ascii="宋体" w:hAnsi="宋体" w:cs="仿宋_GB2312"/>
          <w:color w:val="auto"/>
          <w:kern w:val="0"/>
          <w:szCs w:val="21"/>
          <w:highlight w:val="none"/>
        </w:rPr>
        <w:t xml:space="preserve">：  年  </w:t>
      </w:r>
      <w:r>
        <w:rPr>
          <w:rFonts w:hint="eastAsia" w:ascii="宋体" w:hAnsi="宋体" w:cs="仿宋_GB2312"/>
          <w:color w:val="auto"/>
          <w:kern w:val="0"/>
          <w:szCs w:val="21"/>
          <w:highlight w:val="none"/>
          <w:lang w:val="zh-CN"/>
        </w:rPr>
        <w:t>月</w:t>
      </w:r>
      <w:r>
        <w:rPr>
          <w:rFonts w:hint="eastAsia" w:ascii="宋体" w:hAnsi="宋体" w:cs="仿宋_GB2312"/>
          <w:color w:val="auto"/>
          <w:kern w:val="0"/>
          <w:szCs w:val="21"/>
          <w:highlight w:val="none"/>
        </w:rPr>
        <w:t xml:space="preserve">   日</w:t>
      </w:r>
    </w:p>
    <w:p w14:paraId="24A27D12">
      <w:pPr>
        <w:snapToGrid w:val="0"/>
        <w:spacing w:line="360" w:lineRule="auto"/>
        <w:ind w:firstLine="602" w:firstLineChars="200"/>
        <w:rPr>
          <w:rFonts w:hint="eastAsia" w:ascii="宋体" w:hAnsi="宋体" w:cs="宋体"/>
          <w:color w:val="auto"/>
          <w:sz w:val="32"/>
          <w:szCs w:val="32"/>
          <w:highlight w:val="none"/>
        </w:rPr>
      </w:pPr>
      <w:r>
        <w:rPr>
          <w:rFonts w:hint="eastAsia" w:ascii="宋体" w:hAnsi="宋体" w:cs="宋体"/>
          <w:b/>
          <w:color w:val="auto"/>
          <w:sz w:val="30"/>
          <w:szCs w:val="30"/>
          <w:highlight w:val="none"/>
        </w:rPr>
        <w:t>七、服务需求偏离表</w:t>
      </w:r>
    </w:p>
    <w:p w14:paraId="2F53227E">
      <w:pPr>
        <w:spacing w:line="500" w:lineRule="exact"/>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竞标产品服务需求偏离表</w:t>
      </w:r>
    </w:p>
    <w:p w14:paraId="77B49EE9">
      <w:pPr>
        <w:spacing w:line="500" w:lineRule="exact"/>
        <w:jc w:val="center"/>
        <w:rPr>
          <w:rFonts w:hint="eastAsia" w:ascii="宋体" w:hAnsi="宋体" w:cs="宋体"/>
          <w:b/>
          <w:color w:val="auto"/>
          <w:sz w:val="32"/>
          <w:szCs w:val="32"/>
          <w:highlight w:val="none"/>
        </w:rPr>
      </w:pPr>
      <w:r>
        <w:rPr>
          <w:rFonts w:hint="eastAsia" w:ascii="宋体" w:hAnsi="宋体" w:cs="宋体"/>
          <w:bCs/>
          <w:color w:val="auto"/>
          <w:sz w:val="44"/>
          <w:szCs w:val="44"/>
          <w:highlight w:val="none"/>
        </w:rPr>
        <w:t>(注：按采购需求具体条款修改)</w:t>
      </w:r>
    </w:p>
    <w:p w14:paraId="7DF5428F">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0D7DF6D">
      <w:pPr>
        <w:pStyle w:val="14"/>
        <w:spacing w:line="360" w:lineRule="auto"/>
        <w:rPr>
          <w:rFonts w:hint="eastAsia" w:hAnsi="宋体" w:cs="宋体"/>
          <w:color w:val="auto"/>
          <w:sz w:val="24"/>
          <w:szCs w:val="24"/>
          <w:highlight w:val="none"/>
          <w:u w:val="single"/>
        </w:rPr>
      </w:pPr>
      <w:r>
        <w:rPr>
          <w:rFonts w:hint="eastAsia" w:hAnsi="宋体" w:cs="宋体"/>
          <w:color w:val="auto"/>
          <w:sz w:val="24"/>
          <w:szCs w:val="24"/>
          <w:highlight w:val="none"/>
        </w:rPr>
        <w:t>项目名称：</w:t>
      </w:r>
      <w:r>
        <w:rPr>
          <w:rFonts w:hint="eastAsia" w:hAnsi="宋体" w:cs="宋体"/>
          <w:color w:val="auto"/>
          <w:sz w:val="24"/>
          <w:szCs w:val="24"/>
          <w:highlight w:val="none"/>
          <w:u w:val="single"/>
        </w:rPr>
        <w:t xml:space="preserve">              </w:t>
      </w:r>
    </w:p>
    <w:p w14:paraId="6FC867A5">
      <w:pPr>
        <w:pStyle w:val="14"/>
        <w:spacing w:line="360" w:lineRule="auto"/>
        <w:rPr>
          <w:rFonts w:hint="eastAsia" w:hAnsi="宋体" w:cs="宋体"/>
          <w:color w:val="auto"/>
          <w:sz w:val="24"/>
          <w:szCs w:val="24"/>
          <w:highlight w:val="none"/>
          <w:u w:val="single"/>
        </w:rPr>
      </w:pPr>
      <w:r>
        <w:rPr>
          <w:rFonts w:hint="eastAsia" w:hAnsi="宋体" w:cs="宋体"/>
          <w:color w:val="auto"/>
          <w:sz w:val="24"/>
          <w:szCs w:val="24"/>
          <w:highlight w:val="none"/>
          <w:u w:val="single"/>
        </w:rPr>
        <w:t xml:space="preserve">项目编号：             </w:t>
      </w:r>
    </w:p>
    <w:p w14:paraId="70E82F02">
      <w:pPr>
        <w:pStyle w:val="14"/>
        <w:spacing w:line="360" w:lineRule="auto"/>
        <w:rPr>
          <w:rFonts w:hAnsi="宋体" w:cs="宋体"/>
          <w:color w:val="auto"/>
          <w:sz w:val="24"/>
          <w:szCs w:val="24"/>
          <w:highlight w:val="none"/>
        </w:rPr>
      </w:pPr>
      <w:r>
        <w:rPr>
          <w:rFonts w:hint="eastAsia" w:hAnsi="宋体" w:cs="宋体"/>
          <w:color w:val="auto"/>
          <w:sz w:val="24"/>
          <w:szCs w:val="24"/>
          <w:highlight w:val="none"/>
          <w:u w:val="single"/>
        </w:rPr>
        <w:t>所竞分标（如有）：</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305"/>
        <w:gridCol w:w="840"/>
        <w:gridCol w:w="1805"/>
        <w:gridCol w:w="1302"/>
        <w:gridCol w:w="751"/>
        <w:gridCol w:w="1313"/>
        <w:gridCol w:w="1252"/>
      </w:tblGrid>
      <w:tr w14:paraId="19E6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365" w:type="pct"/>
            <w:vMerge w:val="restart"/>
            <w:tcBorders>
              <w:top w:val="single" w:color="auto" w:sz="4" w:space="0"/>
              <w:left w:val="single" w:color="auto" w:sz="4" w:space="0"/>
              <w:bottom w:val="single" w:color="auto" w:sz="4" w:space="0"/>
              <w:right w:val="single" w:color="auto" w:sz="4" w:space="0"/>
            </w:tcBorders>
            <w:noWrap w:val="0"/>
            <w:vAlign w:val="center"/>
          </w:tcPr>
          <w:p w14:paraId="2E590F93">
            <w:pPr>
              <w:rPr>
                <w:rFonts w:hint="eastAsia" w:ascii="宋体" w:hAnsi="宋体" w:cs="宋体"/>
                <w:color w:val="auto"/>
                <w:szCs w:val="21"/>
                <w:highlight w:val="none"/>
              </w:rPr>
            </w:pPr>
            <w:r>
              <w:rPr>
                <w:rFonts w:hint="eastAsia" w:ascii="宋体" w:hAnsi="宋体" w:cs="宋体"/>
                <w:color w:val="auto"/>
                <w:highlight w:val="none"/>
              </w:rPr>
              <w:t>项号</w:t>
            </w:r>
          </w:p>
        </w:tc>
        <w:tc>
          <w:tcPr>
            <w:tcW w:w="2136" w:type="pct"/>
            <w:gridSpan w:val="3"/>
            <w:tcBorders>
              <w:top w:val="single" w:color="auto" w:sz="4" w:space="0"/>
              <w:left w:val="nil"/>
              <w:bottom w:val="single" w:color="auto" w:sz="4" w:space="0"/>
              <w:right w:val="single" w:color="auto" w:sz="4" w:space="0"/>
            </w:tcBorders>
            <w:noWrap w:val="0"/>
            <w:vAlign w:val="center"/>
          </w:tcPr>
          <w:p w14:paraId="4532E137">
            <w:pPr>
              <w:jc w:val="center"/>
              <w:rPr>
                <w:rFonts w:hint="eastAsia" w:ascii="宋体" w:hAnsi="宋体" w:cs="宋体"/>
                <w:color w:val="auto"/>
                <w:szCs w:val="21"/>
                <w:highlight w:val="none"/>
              </w:rPr>
            </w:pPr>
            <w:r>
              <w:rPr>
                <w:rFonts w:hint="eastAsia" w:ascii="宋体" w:hAnsi="宋体" w:cs="宋体"/>
                <w:color w:val="auto"/>
                <w:highlight w:val="none"/>
              </w:rPr>
              <w:t>采购文件需求</w:t>
            </w:r>
          </w:p>
        </w:tc>
        <w:tc>
          <w:tcPr>
            <w:tcW w:w="1820" w:type="pct"/>
            <w:gridSpan w:val="3"/>
            <w:tcBorders>
              <w:top w:val="single" w:color="auto" w:sz="4" w:space="0"/>
              <w:left w:val="nil"/>
              <w:bottom w:val="single" w:color="auto" w:sz="4" w:space="0"/>
              <w:right w:val="single" w:color="auto" w:sz="4" w:space="0"/>
            </w:tcBorders>
            <w:noWrap w:val="0"/>
            <w:vAlign w:val="center"/>
          </w:tcPr>
          <w:p w14:paraId="308382E9">
            <w:pPr>
              <w:jc w:val="center"/>
              <w:rPr>
                <w:rFonts w:hint="eastAsia" w:ascii="宋体" w:hAnsi="宋体" w:cs="宋体"/>
                <w:color w:val="auto"/>
                <w:szCs w:val="21"/>
                <w:highlight w:val="none"/>
              </w:rPr>
            </w:pPr>
            <w:r>
              <w:rPr>
                <w:rFonts w:hint="eastAsia" w:ascii="宋体" w:hAnsi="宋体" w:cs="宋体"/>
                <w:color w:val="auto"/>
                <w:highlight w:val="none"/>
              </w:rPr>
              <w:t>响应文件承诺</w:t>
            </w:r>
          </w:p>
        </w:tc>
        <w:tc>
          <w:tcPr>
            <w:tcW w:w="677" w:type="pct"/>
            <w:vMerge w:val="restart"/>
            <w:tcBorders>
              <w:top w:val="single" w:color="auto" w:sz="4" w:space="0"/>
              <w:left w:val="nil"/>
              <w:bottom w:val="single" w:color="auto" w:sz="4" w:space="0"/>
              <w:right w:val="single" w:color="auto" w:sz="4" w:space="0"/>
            </w:tcBorders>
            <w:noWrap w:val="0"/>
            <w:vAlign w:val="center"/>
          </w:tcPr>
          <w:p w14:paraId="5BA70A02">
            <w:pPr>
              <w:rPr>
                <w:rFonts w:hint="eastAsia" w:ascii="宋体" w:hAnsi="宋体" w:cs="宋体"/>
                <w:color w:val="auto"/>
                <w:szCs w:val="21"/>
                <w:highlight w:val="none"/>
              </w:rPr>
            </w:pPr>
            <w:r>
              <w:rPr>
                <w:rFonts w:hint="eastAsia" w:ascii="宋体" w:hAnsi="宋体" w:cs="宋体"/>
                <w:color w:val="auto"/>
                <w:highlight w:val="none"/>
              </w:rPr>
              <w:t>偏离说明</w:t>
            </w:r>
          </w:p>
        </w:tc>
      </w:tr>
      <w:tr w14:paraId="2716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365" w:type="pct"/>
            <w:vMerge w:val="continue"/>
            <w:tcBorders>
              <w:top w:val="single" w:color="auto" w:sz="4" w:space="0"/>
              <w:left w:val="single" w:color="auto" w:sz="4" w:space="0"/>
              <w:bottom w:val="single" w:color="auto" w:sz="4" w:space="0"/>
              <w:right w:val="single" w:color="auto" w:sz="4" w:space="0"/>
            </w:tcBorders>
            <w:noWrap w:val="0"/>
            <w:vAlign w:val="center"/>
          </w:tcPr>
          <w:p w14:paraId="2FC894A7">
            <w:pPr>
              <w:widowControl/>
              <w:jc w:val="left"/>
              <w:rPr>
                <w:rFonts w:hint="eastAsia" w:ascii="宋体" w:hAnsi="宋体" w:cs="宋体"/>
                <w:color w:val="auto"/>
                <w:szCs w:val="21"/>
                <w:highlight w:val="none"/>
              </w:rPr>
            </w:pPr>
          </w:p>
        </w:tc>
        <w:tc>
          <w:tcPr>
            <w:tcW w:w="706" w:type="pct"/>
            <w:tcBorders>
              <w:top w:val="single" w:color="auto" w:sz="4" w:space="0"/>
              <w:left w:val="nil"/>
              <w:bottom w:val="single" w:color="auto" w:sz="4" w:space="0"/>
              <w:right w:val="single" w:color="auto" w:sz="4" w:space="0"/>
            </w:tcBorders>
            <w:noWrap w:val="0"/>
            <w:vAlign w:val="center"/>
          </w:tcPr>
          <w:p w14:paraId="1761F928">
            <w:pPr>
              <w:rPr>
                <w:rFonts w:hint="eastAsia" w:ascii="宋体" w:hAnsi="宋体" w:cs="宋体"/>
                <w:color w:val="auto"/>
                <w:szCs w:val="21"/>
                <w:highlight w:val="none"/>
              </w:rPr>
            </w:pPr>
            <w:r>
              <w:rPr>
                <w:rFonts w:hint="eastAsia" w:ascii="宋体" w:hAnsi="宋体" w:cs="宋体"/>
                <w:color w:val="auto"/>
                <w:highlight w:val="none"/>
              </w:rPr>
              <w:t>服务名称</w:t>
            </w:r>
          </w:p>
        </w:tc>
        <w:tc>
          <w:tcPr>
            <w:tcW w:w="454" w:type="pct"/>
            <w:tcBorders>
              <w:top w:val="single" w:color="auto" w:sz="4" w:space="0"/>
              <w:left w:val="nil"/>
              <w:bottom w:val="single" w:color="auto" w:sz="4" w:space="0"/>
              <w:right w:val="single" w:color="auto" w:sz="4" w:space="0"/>
            </w:tcBorders>
            <w:noWrap w:val="0"/>
            <w:vAlign w:val="center"/>
          </w:tcPr>
          <w:p w14:paraId="47A18753">
            <w:pPr>
              <w:rPr>
                <w:rFonts w:hint="eastAsia" w:ascii="宋体" w:hAnsi="宋体" w:cs="宋体"/>
                <w:color w:val="auto"/>
                <w:szCs w:val="21"/>
                <w:highlight w:val="none"/>
              </w:rPr>
            </w:pPr>
            <w:r>
              <w:rPr>
                <w:rFonts w:hint="eastAsia" w:ascii="宋体" w:hAnsi="宋体" w:cs="宋体"/>
                <w:color w:val="auto"/>
                <w:highlight w:val="none"/>
              </w:rPr>
              <w:t>数量</w:t>
            </w:r>
          </w:p>
        </w:tc>
        <w:tc>
          <w:tcPr>
            <w:tcW w:w="975" w:type="pct"/>
            <w:tcBorders>
              <w:top w:val="single" w:color="auto" w:sz="4" w:space="0"/>
              <w:left w:val="nil"/>
              <w:bottom w:val="single" w:color="auto" w:sz="4" w:space="0"/>
              <w:right w:val="single" w:color="auto" w:sz="4" w:space="0"/>
            </w:tcBorders>
            <w:noWrap w:val="0"/>
            <w:vAlign w:val="center"/>
          </w:tcPr>
          <w:p w14:paraId="0F3A2462">
            <w:pPr>
              <w:rPr>
                <w:rFonts w:hint="eastAsia" w:ascii="宋体" w:hAnsi="宋体" w:cs="宋体"/>
                <w:color w:val="auto"/>
                <w:szCs w:val="21"/>
                <w:highlight w:val="none"/>
              </w:rPr>
            </w:pPr>
            <w:r>
              <w:rPr>
                <w:rFonts w:hint="eastAsia" w:ascii="宋体" w:hAnsi="宋体" w:cs="宋体"/>
                <w:color w:val="auto"/>
                <w:highlight w:val="none"/>
              </w:rPr>
              <w:t>服务参数要求</w:t>
            </w:r>
          </w:p>
        </w:tc>
        <w:tc>
          <w:tcPr>
            <w:tcW w:w="704" w:type="pct"/>
            <w:tcBorders>
              <w:top w:val="single" w:color="auto" w:sz="4" w:space="0"/>
              <w:left w:val="nil"/>
              <w:bottom w:val="single" w:color="auto" w:sz="4" w:space="0"/>
              <w:right w:val="single" w:color="auto" w:sz="4" w:space="0"/>
            </w:tcBorders>
            <w:noWrap w:val="0"/>
            <w:vAlign w:val="center"/>
          </w:tcPr>
          <w:p w14:paraId="12BA667C">
            <w:pPr>
              <w:rPr>
                <w:rFonts w:hint="eastAsia" w:ascii="宋体" w:hAnsi="宋体" w:cs="宋体"/>
                <w:color w:val="auto"/>
                <w:szCs w:val="21"/>
                <w:highlight w:val="none"/>
              </w:rPr>
            </w:pPr>
            <w:r>
              <w:rPr>
                <w:rFonts w:hint="eastAsia" w:ascii="宋体" w:hAnsi="宋体" w:cs="宋体"/>
                <w:color w:val="auto"/>
                <w:highlight w:val="none"/>
              </w:rPr>
              <w:t>服务名称</w:t>
            </w:r>
          </w:p>
        </w:tc>
        <w:tc>
          <w:tcPr>
            <w:tcW w:w="406" w:type="pct"/>
            <w:tcBorders>
              <w:top w:val="single" w:color="auto" w:sz="4" w:space="0"/>
              <w:left w:val="nil"/>
              <w:bottom w:val="single" w:color="auto" w:sz="4" w:space="0"/>
              <w:right w:val="single" w:color="auto" w:sz="4" w:space="0"/>
            </w:tcBorders>
            <w:noWrap w:val="0"/>
            <w:vAlign w:val="center"/>
          </w:tcPr>
          <w:p w14:paraId="47CF5F20">
            <w:pPr>
              <w:rPr>
                <w:rFonts w:hint="eastAsia" w:ascii="宋体" w:hAnsi="宋体" w:cs="宋体"/>
                <w:color w:val="auto"/>
                <w:szCs w:val="21"/>
                <w:highlight w:val="none"/>
              </w:rPr>
            </w:pPr>
            <w:r>
              <w:rPr>
                <w:rFonts w:hint="eastAsia" w:ascii="宋体" w:hAnsi="宋体" w:cs="宋体"/>
                <w:color w:val="auto"/>
                <w:highlight w:val="none"/>
              </w:rPr>
              <w:t>数量</w:t>
            </w:r>
          </w:p>
        </w:tc>
        <w:tc>
          <w:tcPr>
            <w:tcW w:w="709" w:type="pct"/>
            <w:tcBorders>
              <w:top w:val="single" w:color="auto" w:sz="4" w:space="0"/>
              <w:left w:val="nil"/>
              <w:bottom w:val="single" w:color="auto" w:sz="4" w:space="0"/>
              <w:right w:val="single" w:color="auto" w:sz="4" w:space="0"/>
            </w:tcBorders>
            <w:noWrap w:val="0"/>
            <w:vAlign w:val="center"/>
          </w:tcPr>
          <w:p w14:paraId="3324A2E3">
            <w:pPr>
              <w:rPr>
                <w:rFonts w:hint="eastAsia" w:ascii="宋体" w:hAnsi="宋体" w:cs="宋体"/>
                <w:color w:val="auto"/>
                <w:szCs w:val="21"/>
                <w:highlight w:val="none"/>
              </w:rPr>
            </w:pPr>
            <w:r>
              <w:rPr>
                <w:rFonts w:hint="eastAsia" w:ascii="宋体" w:hAnsi="宋体" w:cs="宋体"/>
                <w:color w:val="auto"/>
                <w:highlight w:val="none"/>
              </w:rPr>
              <w:t>服务参数</w:t>
            </w:r>
          </w:p>
        </w:tc>
        <w:tc>
          <w:tcPr>
            <w:tcW w:w="677" w:type="pct"/>
            <w:vMerge w:val="continue"/>
            <w:tcBorders>
              <w:top w:val="single" w:color="auto" w:sz="4" w:space="0"/>
              <w:left w:val="nil"/>
              <w:bottom w:val="single" w:color="auto" w:sz="4" w:space="0"/>
              <w:right w:val="single" w:color="auto" w:sz="4" w:space="0"/>
            </w:tcBorders>
            <w:noWrap w:val="0"/>
            <w:vAlign w:val="center"/>
          </w:tcPr>
          <w:p w14:paraId="1EF35E4B">
            <w:pPr>
              <w:widowControl/>
              <w:jc w:val="left"/>
              <w:rPr>
                <w:rFonts w:hint="eastAsia" w:ascii="宋体" w:hAnsi="宋体" w:cs="宋体"/>
                <w:color w:val="auto"/>
                <w:szCs w:val="21"/>
                <w:highlight w:val="none"/>
              </w:rPr>
            </w:pPr>
          </w:p>
        </w:tc>
      </w:tr>
      <w:tr w14:paraId="3231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365" w:type="pct"/>
            <w:tcBorders>
              <w:top w:val="single" w:color="auto" w:sz="4" w:space="0"/>
              <w:left w:val="single" w:color="auto" w:sz="4" w:space="0"/>
              <w:bottom w:val="single" w:color="auto" w:sz="4" w:space="0"/>
              <w:right w:val="single" w:color="auto" w:sz="4" w:space="0"/>
            </w:tcBorders>
            <w:noWrap w:val="0"/>
            <w:vAlign w:val="center"/>
          </w:tcPr>
          <w:p w14:paraId="764B5D17">
            <w:pPr>
              <w:rPr>
                <w:rFonts w:hint="eastAsia" w:ascii="宋体" w:hAnsi="宋体" w:cs="宋体"/>
                <w:color w:val="auto"/>
                <w:szCs w:val="21"/>
                <w:highlight w:val="none"/>
              </w:rPr>
            </w:pPr>
            <w:r>
              <w:rPr>
                <w:rFonts w:hint="eastAsia" w:ascii="宋体" w:hAnsi="宋体" w:cs="宋体"/>
                <w:color w:val="auto"/>
                <w:highlight w:val="none"/>
              </w:rPr>
              <w:t>1</w:t>
            </w:r>
          </w:p>
        </w:tc>
        <w:tc>
          <w:tcPr>
            <w:tcW w:w="706" w:type="pct"/>
            <w:tcBorders>
              <w:top w:val="single" w:color="auto" w:sz="4" w:space="0"/>
              <w:left w:val="nil"/>
              <w:bottom w:val="single" w:color="auto" w:sz="4" w:space="0"/>
              <w:right w:val="single" w:color="auto" w:sz="4" w:space="0"/>
            </w:tcBorders>
            <w:noWrap w:val="0"/>
            <w:vAlign w:val="center"/>
          </w:tcPr>
          <w:p w14:paraId="7DBBFD35">
            <w:pPr>
              <w:rPr>
                <w:rFonts w:hint="eastAsia" w:ascii="宋体" w:hAnsi="宋体" w:cs="宋体"/>
                <w:color w:val="auto"/>
                <w:szCs w:val="21"/>
                <w:highlight w:val="none"/>
              </w:rPr>
            </w:pPr>
            <w:r>
              <w:rPr>
                <w:rFonts w:hint="eastAsia" w:ascii="宋体" w:hAnsi="宋体" w:cs="宋体"/>
                <w:color w:val="auto"/>
                <w:highlight w:val="none"/>
              </w:rPr>
              <w:t>……</w:t>
            </w:r>
          </w:p>
        </w:tc>
        <w:tc>
          <w:tcPr>
            <w:tcW w:w="454" w:type="pct"/>
            <w:tcBorders>
              <w:top w:val="single" w:color="auto" w:sz="4" w:space="0"/>
              <w:left w:val="nil"/>
              <w:bottom w:val="single" w:color="auto" w:sz="4" w:space="0"/>
              <w:right w:val="single" w:color="auto" w:sz="4" w:space="0"/>
            </w:tcBorders>
            <w:noWrap w:val="0"/>
            <w:vAlign w:val="center"/>
          </w:tcPr>
          <w:p w14:paraId="1C7EAB01">
            <w:pPr>
              <w:rPr>
                <w:rFonts w:hint="eastAsia" w:ascii="宋体" w:hAnsi="宋体" w:cs="宋体"/>
                <w:color w:val="auto"/>
                <w:szCs w:val="21"/>
                <w:highlight w:val="none"/>
              </w:rPr>
            </w:pPr>
            <w:r>
              <w:rPr>
                <w:rFonts w:hint="eastAsia" w:ascii="宋体" w:hAnsi="宋体" w:cs="宋体"/>
                <w:color w:val="auto"/>
                <w:highlight w:val="none"/>
              </w:rPr>
              <w:t>…</w:t>
            </w:r>
          </w:p>
        </w:tc>
        <w:tc>
          <w:tcPr>
            <w:tcW w:w="975" w:type="pct"/>
            <w:tcBorders>
              <w:top w:val="single" w:color="auto" w:sz="4" w:space="0"/>
              <w:left w:val="nil"/>
              <w:bottom w:val="single" w:color="auto" w:sz="4" w:space="0"/>
              <w:right w:val="single" w:color="auto" w:sz="4" w:space="0"/>
            </w:tcBorders>
            <w:noWrap w:val="0"/>
            <w:vAlign w:val="center"/>
          </w:tcPr>
          <w:p w14:paraId="2EB0C9CC">
            <w:pPr>
              <w:rPr>
                <w:rFonts w:hint="eastAsia" w:ascii="宋体" w:hAnsi="宋体" w:cs="宋体"/>
                <w:color w:val="auto"/>
                <w:szCs w:val="21"/>
                <w:highlight w:val="none"/>
              </w:rPr>
            </w:pPr>
            <w:r>
              <w:rPr>
                <w:rFonts w:hint="eastAsia" w:ascii="宋体" w:hAnsi="宋体" w:cs="宋体"/>
                <w:color w:val="auto"/>
                <w:highlight w:val="none"/>
              </w:rPr>
              <w:t>1  ……</w:t>
            </w:r>
          </w:p>
          <w:p w14:paraId="7A1235B6">
            <w:pPr>
              <w:rPr>
                <w:rFonts w:hint="eastAsia" w:ascii="宋体" w:hAnsi="宋体" w:cs="宋体"/>
                <w:color w:val="auto"/>
                <w:highlight w:val="none"/>
              </w:rPr>
            </w:pPr>
            <w:r>
              <w:rPr>
                <w:rFonts w:hint="eastAsia" w:ascii="宋体" w:hAnsi="宋体" w:cs="宋体"/>
                <w:color w:val="auto"/>
                <w:highlight w:val="none"/>
              </w:rPr>
              <w:t>2  ……</w:t>
            </w:r>
          </w:p>
          <w:p w14:paraId="070CF7AE">
            <w:pPr>
              <w:rPr>
                <w:rFonts w:hint="eastAsia" w:ascii="宋体" w:hAnsi="宋体" w:cs="宋体"/>
                <w:color w:val="auto"/>
                <w:highlight w:val="none"/>
              </w:rPr>
            </w:pPr>
            <w:r>
              <w:rPr>
                <w:rFonts w:hint="eastAsia" w:ascii="宋体" w:hAnsi="宋体" w:cs="宋体"/>
                <w:color w:val="auto"/>
                <w:highlight w:val="none"/>
              </w:rPr>
              <w:t>3  ……</w:t>
            </w:r>
          </w:p>
          <w:p w14:paraId="7DBC4DCD">
            <w:pPr>
              <w:rPr>
                <w:rFonts w:hint="eastAsia" w:ascii="宋体" w:hAnsi="宋体" w:cs="宋体"/>
                <w:color w:val="auto"/>
                <w:szCs w:val="21"/>
                <w:highlight w:val="none"/>
              </w:rPr>
            </w:pPr>
            <w:r>
              <w:rPr>
                <w:rFonts w:hint="eastAsia" w:ascii="宋体" w:hAnsi="宋体" w:cs="宋体"/>
                <w:color w:val="auto"/>
                <w:highlight w:val="none"/>
              </w:rPr>
              <w:t>……</w:t>
            </w:r>
          </w:p>
        </w:tc>
        <w:tc>
          <w:tcPr>
            <w:tcW w:w="704" w:type="pct"/>
            <w:tcBorders>
              <w:top w:val="single" w:color="auto" w:sz="4" w:space="0"/>
              <w:left w:val="nil"/>
              <w:bottom w:val="single" w:color="auto" w:sz="4" w:space="0"/>
              <w:right w:val="single" w:color="auto" w:sz="4" w:space="0"/>
            </w:tcBorders>
            <w:noWrap w:val="0"/>
            <w:vAlign w:val="center"/>
          </w:tcPr>
          <w:p w14:paraId="26AF5915">
            <w:pPr>
              <w:rPr>
                <w:rFonts w:hint="eastAsia" w:ascii="宋体" w:hAnsi="宋体" w:cs="宋体"/>
                <w:color w:val="auto"/>
                <w:szCs w:val="21"/>
                <w:highlight w:val="none"/>
              </w:rPr>
            </w:pPr>
            <w:r>
              <w:rPr>
                <w:rFonts w:hint="eastAsia" w:ascii="宋体" w:hAnsi="宋体" w:cs="宋体"/>
                <w:color w:val="auto"/>
                <w:highlight w:val="none"/>
              </w:rPr>
              <w:t>……</w:t>
            </w:r>
          </w:p>
        </w:tc>
        <w:tc>
          <w:tcPr>
            <w:tcW w:w="406" w:type="pct"/>
            <w:tcBorders>
              <w:top w:val="single" w:color="auto" w:sz="4" w:space="0"/>
              <w:left w:val="nil"/>
              <w:bottom w:val="single" w:color="auto" w:sz="4" w:space="0"/>
              <w:right w:val="single" w:color="auto" w:sz="4" w:space="0"/>
            </w:tcBorders>
            <w:noWrap w:val="0"/>
            <w:vAlign w:val="center"/>
          </w:tcPr>
          <w:p w14:paraId="1803D213">
            <w:pPr>
              <w:rPr>
                <w:rFonts w:hint="eastAsia" w:ascii="宋体" w:hAnsi="宋体" w:cs="宋体"/>
                <w:color w:val="auto"/>
                <w:szCs w:val="21"/>
                <w:highlight w:val="none"/>
              </w:rPr>
            </w:pPr>
            <w:r>
              <w:rPr>
                <w:rFonts w:hint="eastAsia" w:ascii="宋体" w:hAnsi="宋体" w:cs="宋体"/>
                <w:color w:val="auto"/>
                <w:highlight w:val="none"/>
              </w:rPr>
              <w:t>…</w:t>
            </w:r>
          </w:p>
        </w:tc>
        <w:tc>
          <w:tcPr>
            <w:tcW w:w="709" w:type="pct"/>
            <w:tcBorders>
              <w:top w:val="single" w:color="auto" w:sz="4" w:space="0"/>
              <w:left w:val="nil"/>
              <w:bottom w:val="single" w:color="auto" w:sz="4" w:space="0"/>
              <w:right w:val="single" w:color="auto" w:sz="4" w:space="0"/>
            </w:tcBorders>
            <w:noWrap w:val="0"/>
            <w:vAlign w:val="center"/>
          </w:tcPr>
          <w:p w14:paraId="42A88651">
            <w:pPr>
              <w:rPr>
                <w:rFonts w:hint="eastAsia" w:ascii="宋体" w:hAnsi="宋体" w:cs="宋体"/>
                <w:color w:val="auto"/>
                <w:szCs w:val="21"/>
                <w:highlight w:val="none"/>
              </w:rPr>
            </w:pPr>
            <w:r>
              <w:rPr>
                <w:rFonts w:hint="eastAsia" w:ascii="宋体" w:hAnsi="宋体" w:cs="宋体"/>
                <w:color w:val="auto"/>
                <w:highlight w:val="none"/>
              </w:rPr>
              <w:t>1  ……</w:t>
            </w:r>
          </w:p>
          <w:p w14:paraId="6AFDC39C">
            <w:pPr>
              <w:rPr>
                <w:rFonts w:hint="eastAsia" w:ascii="宋体" w:hAnsi="宋体" w:cs="宋体"/>
                <w:color w:val="auto"/>
                <w:highlight w:val="none"/>
              </w:rPr>
            </w:pPr>
            <w:r>
              <w:rPr>
                <w:rFonts w:hint="eastAsia" w:ascii="宋体" w:hAnsi="宋体" w:cs="宋体"/>
                <w:color w:val="auto"/>
                <w:highlight w:val="none"/>
              </w:rPr>
              <w:t>2  ……</w:t>
            </w:r>
          </w:p>
          <w:p w14:paraId="3706DB89">
            <w:pPr>
              <w:rPr>
                <w:rFonts w:hint="eastAsia" w:ascii="宋体" w:hAnsi="宋体" w:cs="宋体"/>
                <w:color w:val="auto"/>
                <w:highlight w:val="none"/>
              </w:rPr>
            </w:pPr>
            <w:r>
              <w:rPr>
                <w:rFonts w:hint="eastAsia" w:ascii="宋体" w:hAnsi="宋体" w:cs="宋体"/>
                <w:color w:val="auto"/>
                <w:highlight w:val="none"/>
              </w:rPr>
              <w:t>3  ……</w:t>
            </w:r>
          </w:p>
          <w:p w14:paraId="5312729F">
            <w:pPr>
              <w:rPr>
                <w:rFonts w:hint="eastAsia" w:ascii="宋体" w:hAnsi="宋体" w:cs="宋体"/>
                <w:color w:val="auto"/>
                <w:szCs w:val="21"/>
                <w:highlight w:val="none"/>
              </w:rPr>
            </w:pPr>
            <w:r>
              <w:rPr>
                <w:rFonts w:hint="eastAsia" w:ascii="宋体" w:hAnsi="宋体" w:cs="宋体"/>
                <w:color w:val="auto"/>
                <w:highlight w:val="none"/>
              </w:rPr>
              <w:t>……</w:t>
            </w:r>
          </w:p>
        </w:tc>
        <w:tc>
          <w:tcPr>
            <w:tcW w:w="677" w:type="pct"/>
            <w:tcBorders>
              <w:top w:val="single" w:color="auto" w:sz="4" w:space="0"/>
              <w:left w:val="nil"/>
              <w:bottom w:val="single" w:color="auto" w:sz="4" w:space="0"/>
              <w:right w:val="single" w:color="auto" w:sz="4" w:space="0"/>
            </w:tcBorders>
            <w:noWrap w:val="0"/>
            <w:vAlign w:val="center"/>
          </w:tcPr>
          <w:p w14:paraId="79A6B13E">
            <w:pPr>
              <w:rPr>
                <w:rFonts w:hint="eastAsia" w:ascii="宋体" w:hAnsi="宋体" w:cs="宋体"/>
                <w:color w:val="auto"/>
                <w:szCs w:val="21"/>
                <w:highlight w:val="none"/>
              </w:rPr>
            </w:pPr>
          </w:p>
        </w:tc>
      </w:tr>
      <w:tr w14:paraId="7CF2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365" w:type="pct"/>
            <w:tcBorders>
              <w:top w:val="single" w:color="auto" w:sz="4" w:space="0"/>
              <w:left w:val="single" w:color="auto" w:sz="4" w:space="0"/>
              <w:bottom w:val="single" w:color="auto" w:sz="4" w:space="0"/>
              <w:right w:val="single" w:color="auto" w:sz="4" w:space="0"/>
            </w:tcBorders>
            <w:noWrap w:val="0"/>
            <w:vAlign w:val="center"/>
          </w:tcPr>
          <w:p w14:paraId="776EAD93">
            <w:pPr>
              <w:rPr>
                <w:rFonts w:hint="eastAsia" w:ascii="宋体" w:hAnsi="宋体" w:cs="宋体"/>
                <w:color w:val="auto"/>
                <w:szCs w:val="21"/>
                <w:highlight w:val="none"/>
              </w:rPr>
            </w:pPr>
            <w:r>
              <w:rPr>
                <w:rFonts w:hint="eastAsia" w:ascii="宋体" w:hAnsi="宋体" w:cs="宋体"/>
                <w:color w:val="auto"/>
                <w:highlight w:val="none"/>
              </w:rPr>
              <w:t>2</w:t>
            </w:r>
          </w:p>
        </w:tc>
        <w:tc>
          <w:tcPr>
            <w:tcW w:w="706" w:type="pct"/>
            <w:tcBorders>
              <w:top w:val="single" w:color="auto" w:sz="4" w:space="0"/>
              <w:left w:val="nil"/>
              <w:bottom w:val="single" w:color="auto" w:sz="4" w:space="0"/>
              <w:right w:val="single" w:color="auto" w:sz="4" w:space="0"/>
            </w:tcBorders>
            <w:noWrap w:val="0"/>
            <w:vAlign w:val="center"/>
          </w:tcPr>
          <w:p w14:paraId="427EC200">
            <w:pPr>
              <w:rPr>
                <w:rFonts w:hint="eastAsia" w:ascii="宋体" w:hAnsi="宋体" w:cs="宋体"/>
                <w:color w:val="auto"/>
                <w:szCs w:val="21"/>
                <w:highlight w:val="none"/>
              </w:rPr>
            </w:pPr>
            <w:r>
              <w:rPr>
                <w:rFonts w:hint="eastAsia" w:ascii="宋体" w:hAnsi="宋体" w:cs="宋体"/>
                <w:color w:val="auto"/>
                <w:highlight w:val="none"/>
              </w:rPr>
              <w:t>……</w:t>
            </w:r>
          </w:p>
        </w:tc>
        <w:tc>
          <w:tcPr>
            <w:tcW w:w="454" w:type="pct"/>
            <w:tcBorders>
              <w:top w:val="single" w:color="auto" w:sz="4" w:space="0"/>
              <w:left w:val="nil"/>
              <w:bottom w:val="single" w:color="auto" w:sz="4" w:space="0"/>
              <w:right w:val="single" w:color="auto" w:sz="4" w:space="0"/>
            </w:tcBorders>
            <w:noWrap w:val="0"/>
            <w:vAlign w:val="center"/>
          </w:tcPr>
          <w:p w14:paraId="31AEEC0E">
            <w:pPr>
              <w:rPr>
                <w:rFonts w:hint="eastAsia" w:ascii="宋体" w:hAnsi="宋体" w:cs="宋体"/>
                <w:color w:val="auto"/>
                <w:szCs w:val="21"/>
                <w:highlight w:val="none"/>
              </w:rPr>
            </w:pPr>
            <w:r>
              <w:rPr>
                <w:rFonts w:hint="eastAsia" w:ascii="宋体" w:hAnsi="宋体" w:cs="宋体"/>
                <w:color w:val="auto"/>
                <w:highlight w:val="none"/>
              </w:rPr>
              <w:t>…</w:t>
            </w:r>
          </w:p>
        </w:tc>
        <w:tc>
          <w:tcPr>
            <w:tcW w:w="975" w:type="pct"/>
            <w:tcBorders>
              <w:top w:val="single" w:color="auto" w:sz="4" w:space="0"/>
              <w:left w:val="nil"/>
              <w:bottom w:val="single" w:color="auto" w:sz="4" w:space="0"/>
              <w:right w:val="single" w:color="auto" w:sz="4" w:space="0"/>
            </w:tcBorders>
            <w:noWrap w:val="0"/>
            <w:vAlign w:val="center"/>
          </w:tcPr>
          <w:p w14:paraId="191F7D5D">
            <w:pPr>
              <w:rPr>
                <w:rFonts w:hint="eastAsia" w:ascii="宋体" w:hAnsi="宋体" w:cs="宋体"/>
                <w:color w:val="auto"/>
                <w:szCs w:val="21"/>
                <w:highlight w:val="none"/>
              </w:rPr>
            </w:pPr>
            <w:r>
              <w:rPr>
                <w:rFonts w:hint="eastAsia" w:ascii="宋体" w:hAnsi="宋体" w:cs="宋体"/>
                <w:color w:val="auto"/>
                <w:highlight w:val="none"/>
              </w:rPr>
              <w:t>1  ……</w:t>
            </w:r>
          </w:p>
          <w:p w14:paraId="2E603D99">
            <w:pPr>
              <w:rPr>
                <w:rFonts w:hint="eastAsia" w:ascii="宋体" w:hAnsi="宋体" w:cs="宋体"/>
                <w:color w:val="auto"/>
                <w:highlight w:val="none"/>
              </w:rPr>
            </w:pPr>
            <w:r>
              <w:rPr>
                <w:rFonts w:hint="eastAsia" w:ascii="宋体" w:hAnsi="宋体" w:cs="宋体"/>
                <w:color w:val="auto"/>
                <w:highlight w:val="none"/>
              </w:rPr>
              <w:t>2  ……</w:t>
            </w:r>
          </w:p>
          <w:p w14:paraId="5605D7D2">
            <w:pPr>
              <w:rPr>
                <w:rFonts w:hint="eastAsia" w:ascii="宋体" w:hAnsi="宋体" w:cs="宋体"/>
                <w:color w:val="auto"/>
                <w:highlight w:val="none"/>
              </w:rPr>
            </w:pPr>
            <w:r>
              <w:rPr>
                <w:rFonts w:hint="eastAsia" w:ascii="宋体" w:hAnsi="宋体" w:cs="宋体"/>
                <w:color w:val="auto"/>
                <w:highlight w:val="none"/>
              </w:rPr>
              <w:t>3  ……</w:t>
            </w:r>
          </w:p>
          <w:p w14:paraId="39E645BE">
            <w:pPr>
              <w:rPr>
                <w:rFonts w:hint="eastAsia" w:ascii="宋体" w:hAnsi="宋体" w:cs="宋体"/>
                <w:color w:val="auto"/>
                <w:szCs w:val="21"/>
                <w:highlight w:val="none"/>
              </w:rPr>
            </w:pPr>
            <w:r>
              <w:rPr>
                <w:rFonts w:hint="eastAsia" w:ascii="宋体" w:hAnsi="宋体" w:cs="宋体"/>
                <w:color w:val="auto"/>
                <w:highlight w:val="none"/>
              </w:rPr>
              <w:t>……</w:t>
            </w:r>
          </w:p>
        </w:tc>
        <w:tc>
          <w:tcPr>
            <w:tcW w:w="704" w:type="pct"/>
            <w:tcBorders>
              <w:top w:val="single" w:color="auto" w:sz="4" w:space="0"/>
              <w:left w:val="nil"/>
              <w:bottom w:val="single" w:color="auto" w:sz="4" w:space="0"/>
              <w:right w:val="single" w:color="auto" w:sz="4" w:space="0"/>
            </w:tcBorders>
            <w:noWrap w:val="0"/>
            <w:vAlign w:val="center"/>
          </w:tcPr>
          <w:p w14:paraId="3C0539C7">
            <w:pPr>
              <w:rPr>
                <w:rFonts w:hint="eastAsia" w:ascii="宋体" w:hAnsi="宋体" w:cs="宋体"/>
                <w:color w:val="auto"/>
                <w:szCs w:val="21"/>
                <w:highlight w:val="none"/>
              </w:rPr>
            </w:pPr>
            <w:r>
              <w:rPr>
                <w:rFonts w:hint="eastAsia" w:ascii="宋体" w:hAnsi="宋体" w:cs="宋体"/>
                <w:color w:val="auto"/>
                <w:highlight w:val="none"/>
              </w:rPr>
              <w:t>……</w:t>
            </w:r>
          </w:p>
        </w:tc>
        <w:tc>
          <w:tcPr>
            <w:tcW w:w="406" w:type="pct"/>
            <w:tcBorders>
              <w:top w:val="single" w:color="auto" w:sz="4" w:space="0"/>
              <w:left w:val="nil"/>
              <w:bottom w:val="single" w:color="auto" w:sz="4" w:space="0"/>
              <w:right w:val="single" w:color="auto" w:sz="4" w:space="0"/>
            </w:tcBorders>
            <w:noWrap w:val="0"/>
            <w:vAlign w:val="center"/>
          </w:tcPr>
          <w:p w14:paraId="3F709639">
            <w:pPr>
              <w:rPr>
                <w:rFonts w:hint="eastAsia" w:ascii="宋体" w:hAnsi="宋体" w:cs="宋体"/>
                <w:color w:val="auto"/>
                <w:szCs w:val="21"/>
                <w:highlight w:val="none"/>
              </w:rPr>
            </w:pPr>
            <w:r>
              <w:rPr>
                <w:rFonts w:hint="eastAsia" w:ascii="宋体" w:hAnsi="宋体" w:cs="宋体"/>
                <w:color w:val="auto"/>
                <w:highlight w:val="none"/>
              </w:rPr>
              <w:t>…</w:t>
            </w:r>
          </w:p>
        </w:tc>
        <w:tc>
          <w:tcPr>
            <w:tcW w:w="709" w:type="pct"/>
            <w:tcBorders>
              <w:top w:val="single" w:color="auto" w:sz="4" w:space="0"/>
              <w:left w:val="nil"/>
              <w:bottom w:val="single" w:color="auto" w:sz="4" w:space="0"/>
              <w:right w:val="single" w:color="auto" w:sz="4" w:space="0"/>
            </w:tcBorders>
            <w:noWrap w:val="0"/>
            <w:vAlign w:val="center"/>
          </w:tcPr>
          <w:p w14:paraId="5B7D2F23">
            <w:pPr>
              <w:rPr>
                <w:rFonts w:hint="eastAsia" w:ascii="宋体" w:hAnsi="宋体" w:cs="宋体"/>
                <w:color w:val="auto"/>
                <w:szCs w:val="21"/>
                <w:highlight w:val="none"/>
              </w:rPr>
            </w:pPr>
            <w:r>
              <w:rPr>
                <w:rFonts w:hint="eastAsia" w:ascii="宋体" w:hAnsi="宋体" w:cs="宋体"/>
                <w:color w:val="auto"/>
                <w:highlight w:val="none"/>
              </w:rPr>
              <w:t>1  ……</w:t>
            </w:r>
          </w:p>
          <w:p w14:paraId="5B6CD5AB">
            <w:pPr>
              <w:rPr>
                <w:rFonts w:hint="eastAsia" w:ascii="宋体" w:hAnsi="宋体" w:cs="宋体"/>
                <w:color w:val="auto"/>
                <w:highlight w:val="none"/>
              </w:rPr>
            </w:pPr>
            <w:r>
              <w:rPr>
                <w:rFonts w:hint="eastAsia" w:ascii="宋体" w:hAnsi="宋体" w:cs="宋体"/>
                <w:color w:val="auto"/>
                <w:highlight w:val="none"/>
              </w:rPr>
              <w:t>2  ……</w:t>
            </w:r>
          </w:p>
          <w:p w14:paraId="5C97E931">
            <w:pPr>
              <w:rPr>
                <w:rFonts w:hint="eastAsia" w:ascii="宋体" w:hAnsi="宋体" w:cs="宋体"/>
                <w:color w:val="auto"/>
                <w:highlight w:val="none"/>
              </w:rPr>
            </w:pPr>
            <w:r>
              <w:rPr>
                <w:rFonts w:hint="eastAsia" w:ascii="宋体" w:hAnsi="宋体" w:cs="宋体"/>
                <w:color w:val="auto"/>
                <w:highlight w:val="none"/>
              </w:rPr>
              <w:t>3  ……</w:t>
            </w:r>
          </w:p>
          <w:p w14:paraId="1893E1CC">
            <w:pPr>
              <w:rPr>
                <w:rFonts w:hint="eastAsia" w:ascii="宋体" w:hAnsi="宋体" w:cs="宋体"/>
                <w:color w:val="auto"/>
                <w:szCs w:val="21"/>
                <w:highlight w:val="none"/>
              </w:rPr>
            </w:pPr>
            <w:r>
              <w:rPr>
                <w:rFonts w:hint="eastAsia" w:ascii="宋体" w:hAnsi="宋体" w:cs="宋体"/>
                <w:color w:val="auto"/>
                <w:highlight w:val="none"/>
              </w:rPr>
              <w:t>……</w:t>
            </w:r>
          </w:p>
        </w:tc>
        <w:tc>
          <w:tcPr>
            <w:tcW w:w="677" w:type="pct"/>
            <w:tcBorders>
              <w:top w:val="single" w:color="auto" w:sz="4" w:space="0"/>
              <w:left w:val="nil"/>
              <w:bottom w:val="single" w:color="auto" w:sz="4" w:space="0"/>
              <w:right w:val="single" w:color="auto" w:sz="4" w:space="0"/>
            </w:tcBorders>
            <w:noWrap w:val="0"/>
            <w:vAlign w:val="center"/>
          </w:tcPr>
          <w:p w14:paraId="05686B35">
            <w:pPr>
              <w:rPr>
                <w:rFonts w:hint="eastAsia" w:ascii="宋体" w:hAnsi="宋体" w:cs="宋体"/>
                <w:color w:val="auto"/>
                <w:szCs w:val="21"/>
                <w:highlight w:val="none"/>
              </w:rPr>
            </w:pPr>
          </w:p>
        </w:tc>
      </w:tr>
      <w:tr w14:paraId="232E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365" w:type="pct"/>
            <w:tcBorders>
              <w:top w:val="single" w:color="auto" w:sz="4" w:space="0"/>
              <w:left w:val="single" w:color="auto" w:sz="4" w:space="0"/>
              <w:bottom w:val="single" w:color="auto" w:sz="4" w:space="0"/>
              <w:right w:val="single" w:color="auto" w:sz="4" w:space="0"/>
            </w:tcBorders>
            <w:noWrap w:val="0"/>
            <w:vAlign w:val="center"/>
          </w:tcPr>
          <w:p w14:paraId="44D677A0">
            <w:pPr>
              <w:rPr>
                <w:rFonts w:hint="eastAsia" w:ascii="宋体" w:hAnsi="宋体" w:cs="宋体"/>
                <w:color w:val="auto"/>
                <w:szCs w:val="21"/>
                <w:highlight w:val="none"/>
              </w:rPr>
            </w:pPr>
            <w:r>
              <w:rPr>
                <w:rFonts w:hint="eastAsia" w:ascii="宋体" w:hAnsi="宋体" w:cs="宋体"/>
                <w:color w:val="auto"/>
                <w:highlight w:val="none"/>
              </w:rPr>
              <w:t>...</w:t>
            </w:r>
          </w:p>
        </w:tc>
        <w:tc>
          <w:tcPr>
            <w:tcW w:w="706" w:type="pct"/>
            <w:tcBorders>
              <w:top w:val="single" w:color="auto" w:sz="4" w:space="0"/>
              <w:left w:val="nil"/>
              <w:bottom w:val="single" w:color="auto" w:sz="4" w:space="0"/>
              <w:right w:val="single" w:color="auto" w:sz="4" w:space="0"/>
            </w:tcBorders>
            <w:noWrap w:val="0"/>
            <w:vAlign w:val="center"/>
          </w:tcPr>
          <w:p w14:paraId="1D24CFE4">
            <w:pPr>
              <w:rPr>
                <w:rFonts w:hint="eastAsia" w:ascii="宋体" w:hAnsi="宋体" w:cs="宋体"/>
                <w:color w:val="auto"/>
                <w:szCs w:val="21"/>
                <w:highlight w:val="none"/>
              </w:rPr>
            </w:pPr>
          </w:p>
        </w:tc>
        <w:tc>
          <w:tcPr>
            <w:tcW w:w="454" w:type="pct"/>
            <w:tcBorders>
              <w:top w:val="single" w:color="auto" w:sz="4" w:space="0"/>
              <w:left w:val="nil"/>
              <w:bottom w:val="single" w:color="auto" w:sz="4" w:space="0"/>
              <w:right w:val="single" w:color="auto" w:sz="4" w:space="0"/>
            </w:tcBorders>
            <w:noWrap w:val="0"/>
            <w:vAlign w:val="center"/>
          </w:tcPr>
          <w:p w14:paraId="3C505902">
            <w:pPr>
              <w:rPr>
                <w:rFonts w:hint="eastAsia" w:ascii="宋体" w:hAnsi="宋体" w:cs="宋体"/>
                <w:color w:val="auto"/>
                <w:szCs w:val="21"/>
                <w:highlight w:val="none"/>
              </w:rPr>
            </w:pPr>
          </w:p>
        </w:tc>
        <w:tc>
          <w:tcPr>
            <w:tcW w:w="975" w:type="pct"/>
            <w:tcBorders>
              <w:top w:val="single" w:color="auto" w:sz="4" w:space="0"/>
              <w:left w:val="nil"/>
              <w:bottom w:val="single" w:color="auto" w:sz="4" w:space="0"/>
              <w:right w:val="single" w:color="auto" w:sz="4" w:space="0"/>
            </w:tcBorders>
            <w:noWrap w:val="0"/>
            <w:vAlign w:val="center"/>
          </w:tcPr>
          <w:p w14:paraId="674B903F">
            <w:pPr>
              <w:rPr>
                <w:rFonts w:hint="eastAsia" w:ascii="宋体" w:hAnsi="宋体" w:cs="宋体"/>
                <w:color w:val="auto"/>
                <w:szCs w:val="21"/>
                <w:highlight w:val="none"/>
              </w:rPr>
            </w:pPr>
          </w:p>
        </w:tc>
        <w:tc>
          <w:tcPr>
            <w:tcW w:w="704" w:type="pct"/>
            <w:tcBorders>
              <w:top w:val="single" w:color="auto" w:sz="4" w:space="0"/>
              <w:left w:val="nil"/>
              <w:bottom w:val="single" w:color="auto" w:sz="4" w:space="0"/>
              <w:right w:val="single" w:color="auto" w:sz="4" w:space="0"/>
            </w:tcBorders>
            <w:noWrap w:val="0"/>
            <w:vAlign w:val="center"/>
          </w:tcPr>
          <w:p w14:paraId="6FB9A8BA">
            <w:pPr>
              <w:rPr>
                <w:rFonts w:hint="eastAsia" w:ascii="宋体" w:hAnsi="宋体" w:cs="宋体"/>
                <w:color w:val="auto"/>
                <w:szCs w:val="21"/>
                <w:highlight w:val="none"/>
              </w:rPr>
            </w:pPr>
          </w:p>
        </w:tc>
        <w:tc>
          <w:tcPr>
            <w:tcW w:w="406" w:type="pct"/>
            <w:tcBorders>
              <w:top w:val="single" w:color="auto" w:sz="4" w:space="0"/>
              <w:left w:val="nil"/>
              <w:bottom w:val="single" w:color="auto" w:sz="4" w:space="0"/>
              <w:right w:val="single" w:color="auto" w:sz="4" w:space="0"/>
            </w:tcBorders>
            <w:noWrap w:val="0"/>
            <w:vAlign w:val="center"/>
          </w:tcPr>
          <w:p w14:paraId="0A7C2EBE">
            <w:pPr>
              <w:rPr>
                <w:rFonts w:hint="eastAsia" w:ascii="宋体" w:hAnsi="宋体" w:cs="宋体"/>
                <w:color w:val="auto"/>
                <w:szCs w:val="21"/>
                <w:highlight w:val="none"/>
              </w:rPr>
            </w:pPr>
          </w:p>
        </w:tc>
        <w:tc>
          <w:tcPr>
            <w:tcW w:w="709" w:type="pct"/>
            <w:tcBorders>
              <w:top w:val="single" w:color="auto" w:sz="4" w:space="0"/>
              <w:left w:val="nil"/>
              <w:bottom w:val="single" w:color="auto" w:sz="4" w:space="0"/>
              <w:right w:val="single" w:color="auto" w:sz="4" w:space="0"/>
            </w:tcBorders>
            <w:noWrap w:val="0"/>
            <w:vAlign w:val="center"/>
          </w:tcPr>
          <w:p w14:paraId="3208B3D1">
            <w:pPr>
              <w:rPr>
                <w:rFonts w:hint="eastAsia" w:ascii="宋体" w:hAnsi="宋体" w:cs="宋体"/>
                <w:color w:val="auto"/>
                <w:szCs w:val="21"/>
                <w:highlight w:val="none"/>
              </w:rPr>
            </w:pPr>
          </w:p>
        </w:tc>
        <w:tc>
          <w:tcPr>
            <w:tcW w:w="677" w:type="pct"/>
            <w:tcBorders>
              <w:top w:val="single" w:color="auto" w:sz="4" w:space="0"/>
              <w:left w:val="nil"/>
              <w:bottom w:val="single" w:color="auto" w:sz="4" w:space="0"/>
              <w:right w:val="single" w:color="auto" w:sz="4" w:space="0"/>
            </w:tcBorders>
            <w:noWrap w:val="0"/>
            <w:vAlign w:val="center"/>
          </w:tcPr>
          <w:p w14:paraId="14C2C55A">
            <w:pPr>
              <w:rPr>
                <w:rFonts w:hint="eastAsia" w:ascii="宋体" w:hAnsi="宋体" w:cs="宋体"/>
                <w:color w:val="auto"/>
                <w:szCs w:val="21"/>
                <w:highlight w:val="none"/>
              </w:rPr>
            </w:pPr>
          </w:p>
        </w:tc>
      </w:tr>
    </w:tbl>
    <w:p w14:paraId="2EB95A54">
      <w:pPr>
        <w:pStyle w:val="11"/>
        <w:spacing w:after="0"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注：</w:t>
      </w:r>
    </w:p>
    <w:p w14:paraId="0908975B">
      <w:pPr>
        <w:pStyle w:val="11"/>
        <w:spacing w:after="0"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1.说明：应对照磋商文件“第二章”中“服务需求一览表”的采购清单及技术参数条款逐条作出明确响应，并作出偏离说明。</w:t>
      </w:r>
    </w:p>
    <w:p w14:paraId="1284EF83">
      <w:pPr>
        <w:pStyle w:val="12"/>
        <w:spacing w:line="40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当响应文件的商务内容低于竞争性磋商采购文件要求时，供应商应当如实写明“负偏离”，否则视为虚假应标。</w:t>
      </w:r>
    </w:p>
    <w:p w14:paraId="0739668F">
      <w:pPr>
        <w:spacing w:line="400" w:lineRule="exact"/>
        <w:rPr>
          <w:rFonts w:hint="eastAsia" w:ascii="宋体" w:hAnsi="宋体" w:cs="宋体"/>
          <w:color w:val="auto"/>
          <w:kern w:val="0"/>
          <w:szCs w:val="21"/>
          <w:highlight w:val="none"/>
        </w:rPr>
      </w:pPr>
      <w:r>
        <w:rPr>
          <w:rFonts w:hint="eastAsia" w:ascii="宋体" w:hAnsi="宋体" w:cs="宋体"/>
          <w:color w:val="auto"/>
          <w:kern w:val="0"/>
          <w:highlight w:val="none"/>
        </w:rPr>
        <w:t>3. 表格内容应按采购需求填写，不得留空。</w:t>
      </w:r>
    </w:p>
    <w:p w14:paraId="76CB451E">
      <w:pPr>
        <w:pStyle w:val="14"/>
        <w:spacing w:line="400" w:lineRule="exact"/>
        <w:rPr>
          <w:rFonts w:hint="eastAsia" w:hAnsi="宋体" w:cs="宋体"/>
          <w:color w:val="auto"/>
          <w:sz w:val="24"/>
          <w:szCs w:val="24"/>
          <w:highlight w:val="none"/>
        </w:rPr>
      </w:pPr>
      <w:r>
        <w:rPr>
          <w:rFonts w:hint="eastAsia" w:hAnsi="宋体" w:cs="宋体"/>
          <w:color w:val="auto"/>
          <w:sz w:val="21"/>
          <w:highlight w:val="none"/>
        </w:rPr>
        <w:t>4. 如服务需求偏离表中的竞标响应与佐证材料不一致的，以佐证材料为准。</w:t>
      </w:r>
    </w:p>
    <w:p w14:paraId="6C41A4A2">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14:paraId="08D97B6F">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598A4F4">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rPr>
        <w:t>日期：  年  月   日</w:t>
      </w:r>
    </w:p>
    <w:p w14:paraId="7F5AD478">
      <w:pPr>
        <w:adjustRightInd w:val="0"/>
        <w:snapToGrid w:val="0"/>
        <w:spacing w:line="520" w:lineRule="exact"/>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 xml:space="preserve"> </w:t>
      </w:r>
    </w:p>
    <w:p w14:paraId="3BF398B2">
      <w:pPr>
        <w:snapToGrid w:val="0"/>
        <w:spacing w:line="360" w:lineRule="auto"/>
        <w:ind w:firstLine="602" w:firstLineChars="200"/>
        <w:rPr>
          <w:rFonts w:hint="eastAsia" w:ascii="宋体" w:hAnsi="宋体" w:cs="宋体"/>
          <w:b/>
          <w:color w:val="auto"/>
          <w:sz w:val="30"/>
          <w:szCs w:val="30"/>
          <w:highlight w:val="none"/>
        </w:rPr>
      </w:pPr>
    </w:p>
    <w:p w14:paraId="5C602AD9">
      <w:pPr>
        <w:snapToGrid w:val="0"/>
        <w:spacing w:line="360" w:lineRule="auto"/>
        <w:ind w:firstLine="602" w:firstLineChars="200"/>
        <w:rPr>
          <w:rFonts w:hint="eastAsia" w:ascii="宋体" w:hAnsi="宋体" w:cs="宋体"/>
          <w:b/>
          <w:color w:val="auto"/>
          <w:sz w:val="30"/>
          <w:szCs w:val="30"/>
          <w:highlight w:val="none"/>
        </w:rPr>
      </w:pPr>
    </w:p>
    <w:p w14:paraId="610464DC">
      <w:pPr>
        <w:snapToGrid w:val="0"/>
        <w:spacing w:line="360" w:lineRule="auto"/>
        <w:ind w:firstLine="602" w:firstLineChars="200"/>
        <w:rPr>
          <w:rFonts w:hint="eastAsia" w:ascii="宋体" w:hAnsi="宋体" w:cs="宋体"/>
          <w:b/>
          <w:color w:val="auto"/>
          <w:sz w:val="30"/>
          <w:szCs w:val="30"/>
          <w:highlight w:val="none"/>
        </w:rPr>
      </w:pPr>
    </w:p>
    <w:p w14:paraId="51557027">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八、组织服务方案</w:t>
      </w:r>
    </w:p>
    <w:p w14:paraId="3586699F">
      <w:pPr>
        <w:autoSpaceDE w:val="0"/>
        <w:autoSpaceDN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（由供应商根据采购需求及采购文件要求编制）</w:t>
      </w:r>
    </w:p>
    <w:p w14:paraId="7CBFBB75">
      <w:pPr>
        <w:rPr>
          <w:rFonts w:hint="eastAsia" w:ascii="宋体" w:hAnsi="宋体" w:cs="宋体"/>
          <w:b/>
          <w:bCs/>
          <w:color w:val="auto"/>
          <w:kern w:val="0"/>
          <w:sz w:val="24"/>
          <w:highlight w:val="none"/>
        </w:rPr>
      </w:pPr>
      <w:bookmarkStart w:id="100" w:name="_Toc78473822"/>
      <w:bookmarkEnd w:id="100"/>
      <w:r>
        <w:rPr>
          <w:rFonts w:hint="eastAsia" w:ascii="宋体" w:hAnsi="宋体" w:cs="宋体"/>
          <w:b/>
          <w:bCs/>
          <w:color w:val="auto"/>
          <w:kern w:val="0"/>
          <w:sz w:val="24"/>
          <w:highlight w:val="none"/>
        </w:rPr>
        <w:t>附表：项目实施进度计划表</w:t>
      </w:r>
      <w:r>
        <w:rPr>
          <w:rFonts w:hint="eastAsia" w:ascii="宋体" w:hAnsi="宋体" w:cs="宋体"/>
          <w:b/>
          <w:color w:val="auto"/>
          <w:sz w:val="24"/>
          <w:highlight w:val="none"/>
        </w:rPr>
        <w:t>(以生效日算起) （如需要则填写）</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486"/>
        <w:gridCol w:w="486"/>
        <w:gridCol w:w="486"/>
        <w:gridCol w:w="486"/>
        <w:gridCol w:w="486"/>
        <w:gridCol w:w="486"/>
        <w:gridCol w:w="486"/>
        <w:gridCol w:w="487"/>
        <w:gridCol w:w="487"/>
        <w:gridCol w:w="487"/>
        <w:gridCol w:w="487"/>
        <w:gridCol w:w="487"/>
        <w:gridCol w:w="487"/>
        <w:gridCol w:w="487"/>
        <w:gridCol w:w="487"/>
        <w:gridCol w:w="487"/>
      </w:tblGrid>
      <w:tr w14:paraId="159E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8"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0F8F3473">
            <w:pPr>
              <w:spacing w:line="360" w:lineRule="auto"/>
              <w:rPr>
                <w:rFonts w:hint="eastAsia" w:ascii="宋体" w:hAnsi="宋体" w:cs="宋体"/>
                <w:color w:val="auto"/>
                <w:sz w:val="24"/>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INCLUDEPICTURE "d:\\Documents\\WeChat Files\\QS96814\\FileStorage\\ADMINI~1\\AppData\\Local\\Temp\\ksohtml7452\\wps1.png" \* MERGEFORMAT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drawing>
                <wp:inline distT="0" distB="0" distL="114300" distR="114300">
                  <wp:extent cx="762635" cy="1190625"/>
                  <wp:effectExtent l="0" t="0" r="18415" b="9525"/>
                  <wp:docPr id="3" name="图片 1"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wps1"/>
                          <pic:cNvPicPr>
                            <a:picLocks noChangeAspect="1"/>
                          </pic:cNvPicPr>
                        </pic:nvPicPr>
                        <pic:blipFill>
                          <a:blip r:embed="rId10"/>
                          <a:stretch>
                            <a:fillRect/>
                          </a:stretch>
                        </pic:blipFill>
                        <pic:spPr>
                          <a:xfrm>
                            <a:off x="0" y="0"/>
                            <a:ext cx="762635" cy="1190625"/>
                          </a:xfrm>
                          <a:prstGeom prst="rect">
                            <a:avLst/>
                          </a:prstGeom>
                          <a:noFill/>
                          <a:ln>
                            <a:noFill/>
                          </a:ln>
                        </pic:spPr>
                      </pic:pic>
                    </a:graphicData>
                  </a:graphic>
                </wp:inline>
              </w:drawing>
            </w:r>
            <w:r>
              <w:rPr>
                <w:rFonts w:hint="eastAsia" w:ascii="宋体" w:hAnsi="宋体" w:cs="宋体"/>
                <w:color w:val="auto"/>
                <w:sz w:val="24"/>
                <w:highlight w:val="none"/>
              </w:rPr>
              <w:fldChar w:fldCharType="end"/>
            </w:r>
          </w:p>
          <w:p w14:paraId="648C6778">
            <w:pPr>
              <w:spacing w:line="360" w:lineRule="auto"/>
              <w:rPr>
                <w:rFonts w:hint="eastAsia" w:ascii="宋体" w:hAnsi="宋体" w:cs="宋体"/>
                <w:color w:val="auto"/>
                <w:sz w:val="24"/>
                <w:highlight w:val="none"/>
              </w:rPr>
            </w:pPr>
          </w:p>
          <w:p w14:paraId="496275C5">
            <w:pPr>
              <w:spacing w:line="360" w:lineRule="auto"/>
              <w:rPr>
                <w:rFonts w:hint="eastAsia" w:ascii="宋体" w:hAnsi="宋体" w:cs="宋体"/>
                <w:color w:val="auto"/>
                <w:sz w:val="24"/>
                <w:highlight w:val="none"/>
              </w:rPr>
            </w:pPr>
          </w:p>
          <w:p w14:paraId="26AA57CB">
            <w:pPr>
              <w:spacing w:line="360" w:lineRule="auto"/>
              <w:rPr>
                <w:rFonts w:hint="eastAsia" w:ascii="宋体" w:hAnsi="宋体" w:cs="宋体"/>
                <w:color w:val="auto"/>
                <w:sz w:val="24"/>
                <w:highlight w:val="none"/>
              </w:rPr>
            </w:pPr>
            <w:r>
              <w:rPr>
                <w:rFonts w:hint="eastAsia" w:ascii="宋体" w:hAnsi="宋体" w:cs="宋体"/>
                <w:color w:val="auto"/>
                <w:sz w:val="24"/>
                <w:highlight w:val="none"/>
              </w:rPr>
              <w:t>内容</w:t>
            </w:r>
          </w:p>
        </w:tc>
        <w:tc>
          <w:tcPr>
            <w:tcW w:w="275" w:type="pct"/>
            <w:tcBorders>
              <w:top w:val="single" w:color="auto" w:sz="4" w:space="0"/>
              <w:left w:val="nil"/>
              <w:bottom w:val="single" w:color="auto" w:sz="4" w:space="0"/>
              <w:right w:val="single" w:color="auto" w:sz="4" w:space="0"/>
            </w:tcBorders>
            <w:noWrap w:val="0"/>
            <w:vAlign w:val="center"/>
          </w:tcPr>
          <w:p w14:paraId="45D4E7E8">
            <w:pPr>
              <w:spacing w:line="360" w:lineRule="auto"/>
              <w:rPr>
                <w:rFonts w:hint="eastAsia" w:ascii="宋体" w:hAnsi="宋体" w:cs="宋体"/>
                <w:color w:val="auto"/>
                <w:sz w:val="24"/>
                <w:highlight w:val="none"/>
              </w:rPr>
            </w:pPr>
            <w:r>
              <w:rPr>
                <w:rFonts w:hint="eastAsia" w:ascii="宋体" w:hAnsi="宋体" w:cs="宋体"/>
                <w:color w:val="auto"/>
                <w:sz w:val="24"/>
                <w:highlight w:val="none"/>
              </w:rPr>
              <w:t>1</w:t>
            </w:r>
          </w:p>
        </w:tc>
        <w:tc>
          <w:tcPr>
            <w:tcW w:w="275" w:type="pct"/>
            <w:tcBorders>
              <w:top w:val="single" w:color="auto" w:sz="4" w:space="0"/>
              <w:left w:val="nil"/>
              <w:bottom w:val="single" w:color="auto" w:sz="4" w:space="0"/>
              <w:right w:val="single" w:color="auto" w:sz="4" w:space="0"/>
            </w:tcBorders>
            <w:noWrap w:val="0"/>
            <w:vAlign w:val="center"/>
          </w:tcPr>
          <w:p w14:paraId="2D4F643A">
            <w:pPr>
              <w:spacing w:line="360" w:lineRule="auto"/>
              <w:rPr>
                <w:rFonts w:hint="eastAsia" w:ascii="宋体" w:hAnsi="宋体" w:cs="宋体"/>
                <w:color w:val="auto"/>
                <w:sz w:val="24"/>
                <w:highlight w:val="none"/>
              </w:rPr>
            </w:pPr>
            <w:r>
              <w:rPr>
                <w:rFonts w:hint="eastAsia" w:ascii="宋体" w:hAnsi="宋体" w:cs="宋体"/>
                <w:color w:val="auto"/>
                <w:sz w:val="24"/>
                <w:highlight w:val="none"/>
              </w:rPr>
              <w:t>2</w:t>
            </w:r>
          </w:p>
        </w:tc>
        <w:tc>
          <w:tcPr>
            <w:tcW w:w="275" w:type="pct"/>
            <w:tcBorders>
              <w:top w:val="single" w:color="auto" w:sz="4" w:space="0"/>
              <w:left w:val="nil"/>
              <w:bottom w:val="single" w:color="auto" w:sz="4" w:space="0"/>
              <w:right w:val="single" w:color="auto" w:sz="4" w:space="0"/>
            </w:tcBorders>
            <w:noWrap w:val="0"/>
            <w:vAlign w:val="center"/>
          </w:tcPr>
          <w:p w14:paraId="38D0F5FE">
            <w:pPr>
              <w:spacing w:line="360" w:lineRule="auto"/>
              <w:rPr>
                <w:rFonts w:hint="eastAsia" w:ascii="宋体" w:hAnsi="宋体" w:cs="宋体"/>
                <w:color w:val="auto"/>
                <w:sz w:val="24"/>
                <w:highlight w:val="none"/>
              </w:rPr>
            </w:pPr>
            <w:r>
              <w:rPr>
                <w:rFonts w:hint="eastAsia" w:ascii="宋体" w:hAnsi="宋体" w:cs="宋体"/>
                <w:color w:val="auto"/>
                <w:sz w:val="24"/>
                <w:highlight w:val="none"/>
              </w:rPr>
              <w:t>3</w:t>
            </w:r>
          </w:p>
        </w:tc>
        <w:tc>
          <w:tcPr>
            <w:tcW w:w="275" w:type="pct"/>
            <w:tcBorders>
              <w:top w:val="single" w:color="auto" w:sz="4" w:space="0"/>
              <w:left w:val="nil"/>
              <w:bottom w:val="single" w:color="auto" w:sz="4" w:space="0"/>
              <w:right w:val="single" w:color="auto" w:sz="4" w:space="0"/>
            </w:tcBorders>
            <w:noWrap w:val="0"/>
            <w:vAlign w:val="center"/>
          </w:tcPr>
          <w:p w14:paraId="405BF4AD">
            <w:pPr>
              <w:spacing w:line="360" w:lineRule="auto"/>
              <w:rPr>
                <w:rFonts w:hint="eastAsia" w:ascii="宋体" w:hAnsi="宋体" w:cs="宋体"/>
                <w:color w:val="auto"/>
                <w:sz w:val="24"/>
                <w:highlight w:val="none"/>
              </w:rPr>
            </w:pPr>
            <w:r>
              <w:rPr>
                <w:rFonts w:hint="eastAsia" w:ascii="宋体" w:hAnsi="宋体" w:cs="宋体"/>
                <w:color w:val="auto"/>
                <w:sz w:val="24"/>
                <w:highlight w:val="none"/>
              </w:rPr>
              <w:t>4</w:t>
            </w:r>
          </w:p>
        </w:tc>
        <w:tc>
          <w:tcPr>
            <w:tcW w:w="275" w:type="pct"/>
            <w:tcBorders>
              <w:top w:val="single" w:color="auto" w:sz="4" w:space="0"/>
              <w:left w:val="nil"/>
              <w:bottom w:val="single" w:color="auto" w:sz="4" w:space="0"/>
              <w:right w:val="single" w:color="auto" w:sz="4" w:space="0"/>
            </w:tcBorders>
            <w:noWrap w:val="0"/>
            <w:vAlign w:val="center"/>
          </w:tcPr>
          <w:p w14:paraId="510E54C4">
            <w:pPr>
              <w:spacing w:line="360" w:lineRule="auto"/>
              <w:rPr>
                <w:rFonts w:hint="eastAsia" w:ascii="宋体" w:hAnsi="宋体" w:cs="宋体"/>
                <w:color w:val="auto"/>
                <w:sz w:val="24"/>
                <w:highlight w:val="none"/>
              </w:rPr>
            </w:pPr>
            <w:r>
              <w:rPr>
                <w:rFonts w:hint="eastAsia" w:ascii="宋体" w:hAnsi="宋体" w:cs="宋体"/>
                <w:color w:val="auto"/>
                <w:sz w:val="24"/>
                <w:highlight w:val="none"/>
              </w:rPr>
              <w:t>5</w:t>
            </w:r>
          </w:p>
        </w:tc>
        <w:tc>
          <w:tcPr>
            <w:tcW w:w="275" w:type="pct"/>
            <w:tcBorders>
              <w:top w:val="single" w:color="auto" w:sz="4" w:space="0"/>
              <w:left w:val="nil"/>
              <w:bottom w:val="single" w:color="auto" w:sz="4" w:space="0"/>
              <w:right w:val="single" w:color="auto" w:sz="4" w:space="0"/>
            </w:tcBorders>
            <w:noWrap w:val="0"/>
            <w:vAlign w:val="center"/>
          </w:tcPr>
          <w:p w14:paraId="48759A61">
            <w:pPr>
              <w:spacing w:line="360" w:lineRule="auto"/>
              <w:rPr>
                <w:rFonts w:hint="eastAsia" w:ascii="宋体" w:hAnsi="宋体" w:cs="宋体"/>
                <w:color w:val="auto"/>
                <w:sz w:val="24"/>
                <w:highlight w:val="none"/>
              </w:rPr>
            </w:pPr>
            <w:r>
              <w:rPr>
                <w:rFonts w:hint="eastAsia" w:ascii="宋体" w:hAnsi="宋体" w:cs="宋体"/>
                <w:color w:val="auto"/>
                <w:sz w:val="24"/>
                <w:highlight w:val="none"/>
              </w:rPr>
              <w:t>6</w:t>
            </w:r>
          </w:p>
        </w:tc>
        <w:tc>
          <w:tcPr>
            <w:tcW w:w="275" w:type="pct"/>
            <w:tcBorders>
              <w:top w:val="single" w:color="auto" w:sz="4" w:space="0"/>
              <w:left w:val="nil"/>
              <w:bottom w:val="single" w:color="auto" w:sz="4" w:space="0"/>
              <w:right w:val="single" w:color="auto" w:sz="4" w:space="0"/>
            </w:tcBorders>
            <w:noWrap w:val="0"/>
            <w:vAlign w:val="center"/>
          </w:tcPr>
          <w:p w14:paraId="63B14611">
            <w:pPr>
              <w:spacing w:line="360" w:lineRule="auto"/>
              <w:rPr>
                <w:rFonts w:hint="eastAsia" w:ascii="宋体" w:hAnsi="宋体" w:cs="宋体"/>
                <w:color w:val="auto"/>
                <w:sz w:val="24"/>
                <w:highlight w:val="none"/>
              </w:rPr>
            </w:pPr>
            <w:r>
              <w:rPr>
                <w:rFonts w:hint="eastAsia" w:ascii="宋体" w:hAnsi="宋体" w:cs="宋体"/>
                <w:color w:val="auto"/>
                <w:sz w:val="24"/>
                <w:highlight w:val="none"/>
              </w:rPr>
              <w:t>7</w:t>
            </w:r>
          </w:p>
        </w:tc>
        <w:tc>
          <w:tcPr>
            <w:tcW w:w="275" w:type="pct"/>
            <w:tcBorders>
              <w:top w:val="single" w:color="auto" w:sz="4" w:space="0"/>
              <w:left w:val="nil"/>
              <w:bottom w:val="single" w:color="auto" w:sz="4" w:space="0"/>
              <w:right w:val="single" w:color="auto" w:sz="4" w:space="0"/>
            </w:tcBorders>
            <w:noWrap w:val="0"/>
            <w:vAlign w:val="center"/>
          </w:tcPr>
          <w:p w14:paraId="46EAFEFE">
            <w:pPr>
              <w:spacing w:line="360" w:lineRule="auto"/>
              <w:rPr>
                <w:rFonts w:hint="eastAsia" w:ascii="宋体" w:hAnsi="宋体" w:cs="宋体"/>
                <w:color w:val="auto"/>
                <w:sz w:val="24"/>
                <w:highlight w:val="none"/>
              </w:rPr>
            </w:pPr>
            <w:r>
              <w:rPr>
                <w:rFonts w:hint="eastAsia" w:ascii="宋体" w:hAnsi="宋体" w:cs="宋体"/>
                <w:color w:val="auto"/>
                <w:sz w:val="24"/>
                <w:highlight w:val="none"/>
              </w:rPr>
              <w:t>8</w:t>
            </w:r>
          </w:p>
        </w:tc>
        <w:tc>
          <w:tcPr>
            <w:tcW w:w="275" w:type="pct"/>
            <w:tcBorders>
              <w:top w:val="single" w:color="auto" w:sz="4" w:space="0"/>
              <w:left w:val="nil"/>
              <w:bottom w:val="single" w:color="auto" w:sz="4" w:space="0"/>
              <w:right w:val="single" w:color="auto" w:sz="4" w:space="0"/>
            </w:tcBorders>
            <w:noWrap w:val="0"/>
            <w:vAlign w:val="center"/>
          </w:tcPr>
          <w:p w14:paraId="035B3F88">
            <w:pPr>
              <w:spacing w:line="360" w:lineRule="auto"/>
              <w:rPr>
                <w:rFonts w:hint="eastAsia" w:ascii="宋体" w:hAnsi="宋体" w:cs="宋体"/>
                <w:color w:val="auto"/>
                <w:sz w:val="24"/>
                <w:highlight w:val="none"/>
              </w:rPr>
            </w:pPr>
            <w:r>
              <w:rPr>
                <w:rFonts w:hint="eastAsia" w:ascii="宋体" w:hAnsi="宋体" w:cs="宋体"/>
                <w:color w:val="auto"/>
                <w:sz w:val="24"/>
                <w:highlight w:val="none"/>
              </w:rPr>
              <w:t>9</w:t>
            </w:r>
          </w:p>
        </w:tc>
        <w:tc>
          <w:tcPr>
            <w:tcW w:w="275" w:type="pct"/>
            <w:tcBorders>
              <w:top w:val="single" w:color="auto" w:sz="4" w:space="0"/>
              <w:left w:val="nil"/>
              <w:bottom w:val="single" w:color="auto" w:sz="4" w:space="0"/>
              <w:right w:val="single" w:color="auto" w:sz="4" w:space="0"/>
            </w:tcBorders>
            <w:noWrap w:val="0"/>
            <w:vAlign w:val="center"/>
          </w:tcPr>
          <w:p w14:paraId="79BE4692">
            <w:pPr>
              <w:spacing w:line="360" w:lineRule="auto"/>
              <w:rPr>
                <w:rFonts w:hint="eastAsia" w:ascii="宋体" w:hAnsi="宋体" w:cs="宋体"/>
                <w:color w:val="auto"/>
                <w:sz w:val="24"/>
                <w:highlight w:val="none"/>
              </w:rPr>
            </w:pPr>
            <w:r>
              <w:rPr>
                <w:rFonts w:hint="eastAsia" w:ascii="宋体" w:hAnsi="宋体" w:cs="宋体"/>
                <w:color w:val="auto"/>
                <w:sz w:val="24"/>
                <w:highlight w:val="none"/>
              </w:rPr>
              <w:t>10</w:t>
            </w:r>
          </w:p>
        </w:tc>
        <w:tc>
          <w:tcPr>
            <w:tcW w:w="275" w:type="pct"/>
            <w:tcBorders>
              <w:top w:val="single" w:color="auto" w:sz="4" w:space="0"/>
              <w:left w:val="nil"/>
              <w:bottom w:val="single" w:color="auto" w:sz="4" w:space="0"/>
              <w:right w:val="single" w:color="auto" w:sz="4" w:space="0"/>
            </w:tcBorders>
            <w:noWrap w:val="0"/>
            <w:vAlign w:val="center"/>
          </w:tcPr>
          <w:p w14:paraId="4D6202BB">
            <w:pPr>
              <w:spacing w:line="360" w:lineRule="auto"/>
              <w:rPr>
                <w:rFonts w:hint="eastAsia" w:ascii="宋体" w:hAnsi="宋体" w:cs="宋体"/>
                <w:color w:val="auto"/>
                <w:sz w:val="24"/>
                <w:highlight w:val="none"/>
              </w:rPr>
            </w:pPr>
            <w:r>
              <w:rPr>
                <w:rFonts w:hint="eastAsia" w:ascii="宋体" w:hAnsi="宋体" w:cs="宋体"/>
                <w:color w:val="auto"/>
                <w:sz w:val="24"/>
                <w:highlight w:val="none"/>
              </w:rPr>
              <w:t>11</w:t>
            </w:r>
          </w:p>
        </w:tc>
        <w:tc>
          <w:tcPr>
            <w:tcW w:w="275" w:type="pct"/>
            <w:tcBorders>
              <w:top w:val="single" w:color="auto" w:sz="4" w:space="0"/>
              <w:left w:val="nil"/>
              <w:bottom w:val="single" w:color="auto" w:sz="4" w:space="0"/>
              <w:right w:val="single" w:color="auto" w:sz="4" w:space="0"/>
            </w:tcBorders>
            <w:noWrap w:val="0"/>
            <w:vAlign w:val="center"/>
          </w:tcPr>
          <w:p w14:paraId="3E783386">
            <w:pPr>
              <w:spacing w:line="360" w:lineRule="auto"/>
              <w:rPr>
                <w:rFonts w:hint="eastAsia" w:ascii="宋体" w:hAnsi="宋体" w:cs="宋体"/>
                <w:color w:val="auto"/>
                <w:sz w:val="24"/>
                <w:highlight w:val="none"/>
              </w:rPr>
            </w:pPr>
            <w:r>
              <w:rPr>
                <w:rFonts w:hint="eastAsia" w:ascii="宋体" w:hAnsi="宋体" w:cs="宋体"/>
                <w:color w:val="auto"/>
                <w:sz w:val="24"/>
                <w:highlight w:val="none"/>
              </w:rPr>
              <w:t>12</w:t>
            </w:r>
          </w:p>
        </w:tc>
        <w:tc>
          <w:tcPr>
            <w:tcW w:w="275" w:type="pct"/>
            <w:tcBorders>
              <w:top w:val="single" w:color="auto" w:sz="4" w:space="0"/>
              <w:left w:val="nil"/>
              <w:bottom w:val="single" w:color="auto" w:sz="4" w:space="0"/>
              <w:right w:val="single" w:color="auto" w:sz="4" w:space="0"/>
            </w:tcBorders>
            <w:noWrap w:val="0"/>
            <w:vAlign w:val="center"/>
          </w:tcPr>
          <w:p w14:paraId="0F4A9FEB">
            <w:pPr>
              <w:spacing w:line="360" w:lineRule="auto"/>
              <w:rPr>
                <w:rFonts w:hint="eastAsia" w:ascii="宋体" w:hAnsi="宋体" w:cs="宋体"/>
                <w:color w:val="auto"/>
                <w:sz w:val="24"/>
                <w:highlight w:val="none"/>
              </w:rPr>
            </w:pPr>
            <w:r>
              <w:rPr>
                <w:rFonts w:hint="eastAsia" w:ascii="宋体" w:hAnsi="宋体" w:cs="宋体"/>
                <w:color w:val="auto"/>
                <w:sz w:val="24"/>
                <w:highlight w:val="none"/>
              </w:rPr>
              <w:t>13</w:t>
            </w:r>
          </w:p>
        </w:tc>
        <w:tc>
          <w:tcPr>
            <w:tcW w:w="275" w:type="pct"/>
            <w:tcBorders>
              <w:top w:val="single" w:color="auto" w:sz="4" w:space="0"/>
              <w:left w:val="nil"/>
              <w:bottom w:val="single" w:color="auto" w:sz="4" w:space="0"/>
              <w:right w:val="single" w:color="auto" w:sz="4" w:space="0"/>
            </w:tcBorders>
            <w:noWrap w:val="0"/>
            <w:vAlign w:val="center"/>
          </w:tcPr>
          <w:p w14:paraId="2C908CED">
            <w:pPr>
              <w:spacing w:line="360" w:lineRule="auto"/>
              <w:rPr>
                <w:rFonts w:hint="eastAsia" w:ascii="宋体" w:hAnsi="宋体" w:cs="宋体"/>
                <w:color w:val="auto"/>
                <w:sz w:val="24"/>
                <w:highlight w:val="none"/>
              </w:rPr>
            </w:pPr>
            <w:r>
              <w:rPr>
                <w:rFonts w:hint="eastAsia" w:ascii="宋体" w:hAnsi="宋体" w:cs="宋体"/>
                <w:color w:val="auto"/>
                <w:sz w:val="24"/>
                <w:highlight w:val="none"/>
              </w:rPr>
              <w:t>14</w:t>
            </w:r>
          </w:p>
        </w:tc>
        <w:tc>
          <w:tcPr>
            <w:tcW w:w="275" w:type="pct"/>
            <w:tcBorders>
              <w:top w:val="single" w:color="auto" w:sz="4" w:space="0"/>
              <w:left w:val="nil"/>
              <w:bottom w:val="single" w:color="auto" w:sz="4" w:space="0"/>
              <w:right w:val="single" w:color="auto" w:sz="4" w:space="0"/>
            </w:tcBorders>
            <w:noWrap w:val="0"/>
            <w:vAlign w:val="center"/>
          </w:tcPr>
          <w:p w14:paraId="56BE3BD2">
            <w:pPr>
              <w:spacing w:line="360" w:lineRule="auto"/>
              <w:rPr>
                <w:rFonts w:hint="eastAsia" w:ascii="宋体" w:hAnsi="宋体" w:cs="宋体"/>
                <w:color w:val="auto"/>
                <w:sz w:val="24"/>
                <w:highlight w:val="none"/>
              </w:rPr>
            </w:pPr>
            <w:r>
              <w:rPr>
                <w:rFonts w:hint="eastAsia" w:ascii="宋体" w:hAnsi="宋体" w:cs="宋体"/>
                <w:color w:val="auto"/>
                <w:sz w:val="24"/>
                <w:highlight w:val="none"/>
              </w:rPr>
              <w:t>15</w:t>
            </w:r>
          </w:p>
        </w:tc>
        <w:tc>
          <w:tcPr>
            <w:tcW w:w="275" w:type="pct"/>
            <w:tcBorders>
              <w:top w:val="single" w:color="auto" w:sz="4" w:space="0"/>
              <w:left w:val="nil"/>
              <w:bottom w:val="single" w:color="auto" w:sz="4" w:space="0"/>
              <w:right w:val="single" w:color="auto" w:sz="4" w:space="0"/>
            </w:tcBorders>
            <w:noWrap w:val="0"/>
            <w:vAlign w:val="center"/>
          </w:tcPr>
          <w:p w14:paraId="7A6229A0">
            <w:pPr>
              <w:spacing w:line="360" w:lineRule="auto"/>
              <w:rPr>
                <w:rFonts w:hint="eastAsia" w:ascii="宋体" w:hAnsi="宋体" w:cs="宋体"/>
                <w:color w:val="auto"/>
                <w:sz w:val="24"/>
                <w:highlight w:val="none"/>
              </w:rPr>
            </w:pPr>
            <w:r>
              <w:rPr>
                <w:rFonts w:hint="eastAsia" w:ascii="宋体" w:hAnsi="宋体" w:cs="宋体"/>
                <w:color w:val="auto"/>
                <w:sz w:val="24"/>
                <w:highlight w:val="none"/>
              </w:rPr>
              <w:t>…</w:t>
            </w:r>
          </w:p>
        </w:tc>
      </w:tr>
      <w:tr w14:paraId="7BFA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09239A3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CB7934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FC5DAC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03DD10F">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5CD181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2D1D10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53AB636">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6044A8F">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8E12E5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90293E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CDDC29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92F8DA6">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2BF44B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B406FF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456090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2316CE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D0D381C">
            <w:pPr>
              <w:spacing w:line="360" w:lineRule="auto"/>
              <w:rPr>
                <w:rFonts w:hint="eastAsia" w:ascii="宋体" w:hAnsi="宋体" w:cs="宋体"/>
                <w:color w:val="auto"/>
                <w:sz w:val="24"/>
                <w:highlight w:val="none"/>
              </w:rPr>
            </w:pPr>
          </w:p>
        </w:tc>
      </w:tr>
      <w:tr w14:paraId="4F14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56D23C3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C99E44F">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A833BE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92BA9FC">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931307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4DCDFB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096730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41B48B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8FD90C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CDF09C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4413A6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717291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414386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EDD059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58E0DEB">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DE8459C">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C9041A6">
            <w:pPr>
              <w:spacing w:line="360" w:lineRule="auto"/>
              <w:rPr>
                <w:rFonts w:hint="eastAsia" w:ascii="宋体" w:hAnsi="宋体" w:cs="宋体"/>
                <w:color w:val="auto"/>
                <w:sz w:val="24"/>
                <w:highlight w:val="none"/>
              </w:rPr>
            </w:pPr>
          </w:p>
        </w:tc>
      </w:tr>
      <w:tr w14:paraId="631E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13499F7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491E580">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D0E0A3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BF7875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74AB5D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A5B3F2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DABDD1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8BDC36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3E765B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BD1E77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330AC5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C745950">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2CA5204">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9F4E1A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F427194">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615C2B4">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4BB9E56">
            <w:pPr>
              <w:spacing w:line="360" w:lineRule="auto"/>
              <w:rPr>
                <w:rFonts w:hint="eastAsia" w:ascii="宋体" w:hAnsi="宋体" w:cs="宋体"/>
                <w:color w:val="auto"/>
                <w:sz w:val="24"/>
                <w:highlight w:val="none"/>
              </w:rPr>
            </w:pPr>
          </w:p>
        </w:tc>
      </w:tr>
      <w:tr w14:paraId="7CA0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7B3966C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7733D4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2A4FF1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CC92F5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16A5E5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59084E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E3602C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000869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422DD4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D0C8B8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4E9D06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A0B5BE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6DF004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A45503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4A0A55F">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7E5EA3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E717B01">
            <w:pPr>
              <w:spacing w:line="360" w:lineRule="auto"/>
              <w:rPr>
                <w:rFonts w:hint="eastAsia" w:ascii="宋体" w:hAnsi="宋体" w:cs="宋体"/>
                <w:color w:val="auto"/>
                <w:sz w:val="24"/>
                <w:highlight w:val="none"/>
              </w:rPr>
            </w:pPr>
          </w:p>
        </w:tc>
      </w:tr>
      <w:tr w14:paraId="5831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183C721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B46B68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7862C5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84E839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60767DC">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3735BF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79472BB">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2FF2DBC">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322BC5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AC9094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44AFCD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A880D2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55D954C">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246B88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284311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C042500">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759E594">
            <w:pPr>
              <w:spacing w:line="360" w:lineRule="auto"/>
              <w:rPr>
                <w:rFonts w:hint="eastAsia" w:ascii="宋体" w:hAnsi="宋体" w:cs="宋体"/>
                <w:color w:val="auto"/>
                <w:sz w:val="24"/>
                <w:highlight w:val="none"/>
              </w:rPr>
            </w:pPr>
          </w:p>
        </w:tc>
      </w:tr>
      <w:tr w14:paraId="3CA6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4434A884">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F48EA6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872EC4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2CB32B4">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6B1A78D">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9F9877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D89252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539F26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C1ACEE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4843B5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184862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D6AECBC">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DD3BDF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6731F4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B56E996">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94B755F">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0BD2E2A">
            <w:pPr>
              <w:spacing w:line="360" w:lineRule="auto"/>
              <w:rPr>
                <w:rFonts w:hint="eastAsia" w:ascii="宋体" w:hAnsi="宋体" w:cs="宋体"/>
                <w:color w:val="auto"/>
                <w:sz w:val="24"/>
                <w:highlight w:val="none"/>
              </w:rPr>
            </w:pPr>
          </w:p>
        </w:tc>
      </w:tr>
      <w:tr w14:paraId="2C03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69A7A9DC">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B76CE3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F8605F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06E8DC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7B2C42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F4C8090">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778743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22BF76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E1F992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5BF37F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ED36D8B">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51CBD0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23A5B8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00F4DAF">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6E5E18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9E4BA10">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5C9C74E">
            <w:pPr>
              <w:spacing w:line="360" w:lineRule="auto"/>
              <w:rPr>
                <w:rFonts w:hint="eastAsia" w:ascii="宋体" w:hAnsi="宋体" w:cs="宋体"/>
                <w:color w:val="auto"/>
                <w:sz w:val="24"/>
                <w:highlight w:val="none"/>
              </w:rPr>
            </w:pPr>
          </w:p>
        </w:tc>
      </w:tr>
      <w:tr w14:paraId="785F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4EBC36C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4F1A19F">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B9F8650">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FB1E48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68F1B7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240C3C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5443609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AFC3F96">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1578B5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6090110">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F4D5F0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252C3B5">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B4DEEA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D1B6B26">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91336F6">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31D92B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32AB190D">
            <w:pPr>
              <w:spacing w:line="360" w:lineRule="auto"/>
              <w:rPr>
                <w:rFonts w:hint="eastAsia" w:ascii="宋体" w:hAnsi="宋体" w:cs="宋体"/>
                <w:color w:val="auto"/>
                <w:sz w:val="24"/>
                <w:highlight w:val="none"/>
              </w:rPr>
            </w:pPr>
          </w:p>
        </w:tc>
      </w:tr>
      <w:tr w14:paraId="09CB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92" w:type="pct"/>
            <w:tcBorders>
              <w:top w:val="single" w:color="auto" w:sz="4" w:space="0"/>
              <w:left w:val="single" w:color="auto" w:sz="4" w:space="0"/>
              <w:bottom w:val="single" w:color="auto" w:sz="4" w:space="0"/>
              <w:right w:val="single" w:color="auto" w:sz="4" w:space="0"/>
            </w:tcBorders>
            <w:noWrap w:val="0"/>
            <w:vAlign w:val="center"/>
          </w:tcPr>
          <w:p w14:paraId="5192EDC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12AA7C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B32667B">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430CA9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2C14BA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69C53A7">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4D4B4FBB">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5627F4E">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0B90B14">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044C38A">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F2DC938">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0696C12">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0BAF6AD3">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6B6AF1C9">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286B87E1">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124F784B">
            <w:pPr>
              <w:spacing w:line="360" w:lineRule="auto"/>
              <w:rPr>
                <w:rFonts w:hint="eastAsia" w:ascii="宋体" w:hAnsi="宋体" w:cs="宋体"/>
                <w:color w:val="auto"/>
                <w:sz w:val="24"/>
                <w:highlight w:val="none"/>
              </w:rPr>
            </w:pPr>
          </w:p>
        </w:tc>
        <w:tc>
          <w:tcPr>
            <w:tcW w:w="275" w:type="pct"/>
            <w:tcBorders>
              <w:top w:val="single" w:color="auto" w:sz="4" w:space="0"/>
              <w:left w:val="nil"/>
              <w:bottom w:val="single" w:color="auto" w:sz="4" w:space="0"/>
              <w:right w:val="single" w:color="auto" w:sz="4" w:space="0"/>
            </w:tcBorders>
            <w:noWrap w:val="0"/>
            <w:vAlign w:val="top"/>
          </w:tcPr>
          <w:p w14:paraId="7A8C6661">
            <w:pPr>
              <w:spacing w:line="360" w:lineRule="auto"/>
              <w:rPr>
                <w:rFonts w:hint="eastAsia" w:ascii="宋体" w:hAnsi="宋体" w:cs="宋体"/>
                <w:color w:val="auto"/>
                <w:sz w:val="24"/>
                <w:highlight w:val="none"/>
              </w:rPr>
            </w:pPr>
          </w:p>
        </w:tc>
      </w:tr>
    </w:tbl>
    <w:p w14:paraId="1A4F3FBF">
      <w:pPr>
        <w:autoSpaceDE w:val="0"/>
        <w:autoSpaceDN w:val="0"/>
        <w:spacing w:line="360" w:lineRule="auto"/>
        <w:rPr>
          <w:rFonts w:hint="eastAsia" w:ascii="宋体" w:hAnsi="宋体" w:cs="宋体"/>
          <w:color w:val="auto"/>
          <w:kern w:val="0"/>
          <w:sz w:val="24"/>
          <w:highlight w:val="none"/>
        </w:rPr>
      </w:pPr>
      <w:r>
        <w:rPr>
          <w:rFonts w:hint="eastAsia" w:ascii="宋体" w:hAnsi="宋体" w:cs="宋体"/>
          <w:b/>
          <w:color w:val="auto"/>
          <w:sz w:val="24"/>
          <w:highlight w:val="none"/>
        </w:rPr>
        <w:t>注：上述表格仅供参考，供应商自行修改或拟定。</w:t>
      </w:r>
    </w:p>
    <w:p w14:paraId="475A739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2A04F85">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ABEA153">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rPr>
        <w:t>日期：  年  月   日</w:t>
      </w:r>
    </w:p>
    <w:p w14:paraId="63E0833A">
      <w:pPr>
        <w:spacing w:line="500" w:lineRule="exact"/>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14:paraId="2D039229">
      <w:pPr>
        <w:snapToGrid w:val="0"/>
        <w:spacing w:before="120" w:beforeLines="50" w:after="50"/>
        <w:ind w:left="143" w:leftChars="68" w:firstLine="596" w:firstLineChars="198"/>
        <w:rPr>
          <w:rFonts w:hint="eastAsia" w:ascii="宋体" w:hAnsi="宋体" w:cs="宋体"/>
          <w:b/>
          <w:color w:val="auto"/>
          <w:sz w:val="30"/>
          <w:szCs w:val="30"/>
          <w:highlight w:val="none"/>
        </w:rPr>
      </w:pPr>
    </w:p>
    <w:p w14:paraId="059BFE34">
      <w:pPr>
        <w:snapToGrid w:val="0"/>
        <w:spacing w:before="120" w:beforeLines="50" w:after="50"/>
        <w:ind w:left="143" w:leftChars="68" w:firstLine="596" w:firstLineChars="198"/>
        <w:rPr>
          <w:rFonts w:hint="eastAsia" w:ascii="宋体" w:hAnsi="宋体" w:cs="宋体"/>
          <w:b/>
          <w:color w:val="auto"/>
          <w:sz w:val="30"/>
          <w:szCs w:val="30"/>
          <w:highlight w:val="none"/>
        </w:rPr>
      </w:pPr>
    </w:p>
    <w:p w14:paraId="6F78B6E2">
      <w:pPr>
        <w:snapToGrid w:val="0"/>
        <w:spacing w:before="120" w:beforeLines="50" w:after="50"/>
        <w:ind w:left="143" w:leftChars="68" w:firstLine="596" w:firstLineChars="198"/>
        <w:rPr>
          <w:rFonts w:hint="eastAsia" w:ascii="宋体" w:hAnsi="宋体" w:cs="宋体"/>
          <w:b/>
          <w:color w:val="auto"/>
          <w:sz w:val="30"/>
          <w:szCs w:val="30"/>
          <w:highlight w:val="none"/>
        </w:rPr>
      </w:pPr>
    </w:p>
    <w:p w14:paraId="42066BD9">
      <w:pPr>
        <w:snapToGrid w:val="0"/>
        <w:spacing w:before="120" w:beforeLines="50" w:after="50"/>
        <w:ind w:left="143" w:leftChars="68" w:firstLine="596" w:firstLineChars="198"/>
        <w:rPr>
          <w:rFonts w:hint="eastAsia" w:ascii="宋体" w:hAnsi="宋体" w:cs="宋体"/>
          <w:b/>
          <w:color w:val="auto"/>
          <w:sz w:val="30"/>
          <w:szCs w:val="30"/>
          <w:highlight w:val="none"/>
        </w:rPr>
      </w:pPr>
    </w:p>
    <w:p w14:paraId="23383159">
      <w:pPr>
        <w:snapToGrid w:val="0"/>
        <w:spacing w:before="120" w:beforeLines="50" w:after="50"/>
        <w:ind w:left="143" w:leftChars="68" w:firstLine="596" w:firstLineChars="198"/>
        <w:rPr>
          <w:rFonts w:hint="eastAsia" w:ascii="宋体" w:hAnsi="宋体" w:cs="宋体"/>
          <w:b/>
          <w:color w:val="auto"/>
          <w:sz w:val="30"/>
          <w:szCs w:val="30"/>
          <w:highlight w:val="none"/>
        </w:rPr>
      </w:pPr>
      <w:r>
        <w:rPr>
          <w:rFonts w:hint="eastAsia" w:ascii="宋体" w:hAnsi="宋体" w:cs="宋体"/>
          <w:b/>
          <w:color w:val="auto"/>
          <w:sz w:val="30"/>
          <w:szCs w:val="30"/>
          <w:highlight w:val="none"/>
        </w:rPr>
        <w:t>九、售后服务方案</w:t>
      </w:r>
    </w:p>
    <w:p w14:paraId="63F85E98">
      <w:pPr>
        <w:snapToGrid w:val="0"/>
        <w:spacing w:before="120" w:beforeLines="50" w:after="50"/>
        <w:ind w:left="143" w:leftChars="68" w:firstLine="420" w:firstLineChars="200"/>
        <w:rPr>
          <w:rFonts w:hint="eastAsia" w:ascii="宋体" w:hAnsi="宋体" w:cs="宋体"/>
          <w:color w:val="auto"/>
          <w:szCs w:val="21"/>
          <w:highlight w:val="none"/>
        </w:rPr>
      </w:pPr>
      <w:r>
        <w:rPr>
          <w:rFonts w:hint="eastAsia" w:ascii="宋体" w:hAnsi="宋体" w:cs="宋体"/>
          <w:color w:val="auto"/>
          <w:highlight w:val="none"/>
        </w:rPr>
        <w:t>由供应商按本项目竞争性磋商采购文件第二章的“服务需求一览表”中商务条款部分的售后服务要求自行填写，其中要包含售后服务承诺书。</w:t>
      </w:r>
    </w:p>
    <w:p w14:paraId="257064F9">
      <w:pPr>
        <w:snapToGrid w:val="0"/>
        <w:spacing w:before="120" w:beforeLines="50" w:after="50"/>
        <w:ind w:left="142"/>
        <w:jc w:val="center"/>
        <w:rPr>
          <w:rFonts w:hint="eastAsia" w:ascii="宋体" w:hAnsi="宋体" w:cs="宋体"/>
          <w:b/>
          <w:color w:val="auto"/>
          <w:sz w:val="32"/>
          <w:szCs w:val="32"/>
          <w:highlight w:val="none"/>
        </w:rPr>
      </w:pPr>
    </w:p>
    <w:p w14:paraId="225ED5AD">
      <w:pPr>
        <w:snapToGrid w:val="0"/>
        <w:spacing w:before="120" w:beforeLines="50" w:after="50" w:line="440" w:lineRule="exact"/>
        <w:ind w:left="142"/>
        <w:jc w:val="center"/>
        <w:rPr>
          <w:rFonts w:ascii="宋体" w:hAnsi="宋体"/>
          <w:b/>
          <w:color w:val="auto"/>
          <w:szCs w:val="21"/>
          <w:highlight w:val="none"/>
        </w:rPr>
      </w:pPr>
      <w:r>
        <w:rPr>
          <w:rFonts w:hint="eastAsia" w:ascii="宋体" w:hAnsi="宋体"/>
          <w:b/>
          <w:color w:val="auto"/>
          <w:szCs w:val="21"/>
          <w:highlight w:val="none"/>
        </w:rPr>
        <w:t>1、售后服务承诺</w:t>
      </w:r>
    </w:p>
    <w:p w14:paraId="27E38B5C">
      <w:pPr>
        <w:autoSpaceDE w:val="0"/>
        <w:autoSpaceDN w:val="0"/>
        <w:spacing w:line="440" w:lineRule="exact"/>
        <w:rPr>
          <w:rFonts w:ascii="宋体" w:hAnsi="宋体" w:cs="仿宋_GB2312"/>
          <w:b/>
          <w:color w:val="auto"/>
          <w:szCs w:val="21"/>
          <w:highlight w:val="none"/>
        </w:rPr>
      </w:pPr>
      <w:r>
        <w:rPr>
          <w:rFonts w:hint="eastAsia" w:ascii="宋体" w:hAnsi="宋体" w:cs="仿宋_GB2312"/>
          <w:b/>
          <w:color w:val="auto"/>
          <w:szCs w:val="21"/>
          <w:highlight w:val="none"/>
        </w:rPr>
        <w:t>附表A：售后服务机构情况表</w:t>
      </w:r>
      <w:r>
        <w:rPr>
          <w:rFonts w:hint="eastAsia" w:ascii="宋体" w:hAnsi="宋体" w:cs="仿宋_GB2312"/>
          <w:color w:val="auto"/>
          <w:szCs w:val="21"/>
          <w:highlight w:val="none"/>
        </w:rPr>
        <w:t>（按此格式自制）</w:t>
      </w:r>
    </w:p>
    <w:tbl>
      <w:tblPr>
        <w:tblStyle w:val="21"/>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0220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4439AB41">
            <w:pPr>
              <w:autoSpaceDE w:val="0"/>
              <w:autoSpaceDN w:val="0"/>
              <w:spacing w:line="440" w:lineRule="exact"/>
              <w:jc w:val="center"/>
              <w:rPr>
                <w:rFonts w:ascii="宋体" w:hAnsi="宋体" w:cs="仿宋_GB2312"/>
                <w:b/>
                <w:color w:val="auto"/>
                <w:szCs w:val="21"/>
                <w:highlight w:val="none"/>
              </w:rPr>
            </w:pPr>
            <w:r>
              <w:rPr>
                <w:rFonts w:hint="eastAsia" w:ascii="宋体" w:hAnsi="宋体" w:cs="仿宋_GB2312"/>
                <w:b/>
                <w:color w:val="auto"/>
                <w:szCs w:val="21"/>
                <w:highlight w:val="none"/>
              </w:rPr>
              <w:t>序号</w:t>
            </w:r>
          </w:p>
        </w:tc>
        <w:tc>
          <w:tcPr>
            <w:tcW w:w="2340" w:type="dxa"/>
            <w:noWrap w:val="0"/>
            <w:vAlign w:val="top"/>
          </w:tcPr>
          <w:p w14:paraId="3B1C4BE0">
            <w:pPr>
              <w:autoSpaceDE w:val="0"/>
              <w:autoSpaceDN w:val="0"/>
              <w:spacing w:line="440" w:lineRule="exact"/>
              <w:jc w:val="center"/>
              <w:rPr>
                <w:rFonts w:ascii="宋体" w:hAnsi="宋体" w:cs="仿宋_GB2312"/>
                <w:b/>
                <w:color w:val="auto"/>
                <w:szCs w:val="21"/>
                <w:highlight w:val="none"/>
              </w:rPr>
            </w:pPr>
            <w:r>
              <w:rPr>
                <w:rFonts w:hint="eastAsia" w:ascii="宋体" w:hAnsi="宋体" w:cs="仿宋_GB2312"/>
                <w:b/>
                <w:color w:val="auto"/>
                <w:szCs w:val="21"/>
                <w:highlight w:val="none"/>
              </w:rPr>
              <w:t>机构名称</w:t>
            </w:r>
          </w:p>
        </w:tc>
        <w:tc>
          <w:tcPr>
            <w:tcW w:w="1095" w:type="dxa"/>
            <w:noWrap w:val="0"/>
            <w:vAlign w:val="top"/>
          </w:tcPr>
          <w:p w14:paraId="1C45862D">
            <w:pPr>
              <w:autoSpaceDE w:val="0"/>
              <w:autoSpaceDN w:val="0"/>
              <w:spacing w:line="440" w:lineRule="exact"/>
              <w:jc w:val="center"/>
              <w:rPr>
                <w:rFonts w:ascii="宋体" w:hAnsi="宋体" w:cs="仿宋_GB2312"/>
                <w:b/>
                <w:color w:val="auto"/>
                <w:szCs w:val="21"/>
                <w:highlight w:val="none"/>
              </w:rPr>
            </w:pPr>
            <w:r>
              <w:rPr>
                <w:rFonts w:hint="eastAsia" w:ascii="宋体" w:hAnsi="宋体" w:cs="仿宋_GB2312"/>
                <w:b/>
                <w:color w:val="auto"/>
                <w:szCs w:val="21"/>
                <w:highlight w:val="none"/>
              </w:rPr>
              <w:t>机构性质</w:t>
            </w:r>
          </w:p>
        </w:tc>
        <w:tc>
          <w:tcPr>
            <w:tcW w:w="1245" w:type="dxa"/>
            <w:noWrap w:val="0"/>
            <w:vAlign w:val="top"/>
          </w:tcPr>
          <w:p w14:paraId="7B812788">
            <w:pPr>
              <w:autoSpaceDE w:val="0"/>
              <w:autoSpaceDN w:val="0"/>
              <w:spacing w:line="440" w:lineRule="exact"/>
              <w:jc w:val="center"/>
              <w:rPr>
                <w:rFonts w:ascii="宋体" w:hAnsi="宋体" w:cs="仿宋_GB2312"/>
                <w:b/>
                <w:color w:val="auto"/>
                <w:szCs w:val="21"/>
                <w:highlight w:val="none"/>
              </w:rPr>
            </w:pPr>
            <w:r>
              <w:rPr>
                <w:rFonts w:hint="eastAsia" w:ascii="宋体" w:hAnsi="宋体" w:cs="仿宋_GB2312"/>
                <w:b/>
                <w:color w:val="auto"/>
                <w:szCs w:val="21"/>
                <w:highlight w:val="none"/>
              </w:rPr>
              <w:t>注册地址</w:t>
            </w:r>
          </w:p>
        </w:tc>
        <w:tc>
          <w:tcPr>
            <w:tcW w:w="1980" w:type="dxa"/>
            <w:noWrap w:val="0"/>
            <w:vAlign w:val="top"/>
          </w:tcPr>
          <w:p w14:paraId="1122FBD0">
            <w:pPr>
              <w:autoSpaceDE w:val="0"/>
              <w:autoSpaceDN w:val="0"/>
              <w:spacing w:line="440" w:lineRule="exact"/>
              <w:jc w:val="center"/>
              <w:rPr>
                <w:rFonts w:ascii="宋体" w:hAnsi="宋体" w:cs="仿宋_GB2312"/>
                <w:b/>
                <w:color w:val="auto"/>
                <w:szCs w:val="21"/>
                <w:highlight w:val="none"/>
              </w:rPr>
            </w:pPr>
            <w:r>
              <w:rPr>
                <w:rFonts w:hint="eastAsia" w:ascii="宋体" w:hAnsi="宋体" w:cs="仿宋_GB2312"/>
                <w:b/>
                <w:color w:val="auto"/>
                <w:szCs w:val="21"/>
                <w:highlight w:val="none"/>
              </w:rPr>
              <w:t>服务技术人员数量</w:t>
            </w:r>
          </w:p>
        </w:tc>
        <w:tc>
          <w:tcPr>
            <w:tcW w:w="1260" w:type="dxa"/>
            <w:noWrap w:val="0"/>
            <w:vAlign w:val="top"/>
          </w:tcPr>
          <w:p w14:paraId="454CD317">
            <w:pPr>
              <w:autoSpaceDE w:val="0"/>
              <w:autoSpaceDN w:val="0"/>
              <w:spacing w:line="440" w:lineRule="exact"/>
              <w:jc w:val="center"/>
              <w:rPr>
                <w:rFonts w:ascii="宋体" w:hAnsi="宋体" w:cs="仿宋_GB2312"/>
                <w:b/>
                <w:color w:val="auto"/>
                <w:szCs w:val="21"/>
                <w:highlight w:val="none"/>
              </w:rPr>
            </w:pPr>
            <w:r>
              <w:rPr>
                <w:rFonts w:hint="eastAsia" w:ascii="宋体" w:hAnsi="宋体" w:cs="仿宋_GB2312"/>
                <w:b/>
                <w:color w:val="auto"/>
                <w:szCs w:val="21"/>
                <w:highlight w:val="none"/>
              </w:rPr>
              <w:t>联系电话</w:t>
            </w:r>
          </w:p>
        </w:tc>
      </w:tr>
      <w:tr w14:paraId="51ED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260DD862">
            <w:pPr>
              <w:autoSpaceDE w:val="0"/>
              <w:autoSpaceDN w:val="0"/>
              <w:spacing w:line="440" w:lineRule="exact"/>
              <w:jc w:val="center"/>
              <w:rPr>
                <w:rFonts w:ascii="宋体" w:hAnsi="宋体" w:cs="仿宋_GB2312"/>
                <w:color w:val="auto"/>
                <w:szCs w:val="21"/>
                <w:highlight w:val="none"/>
              </w:rPr>
            </w:pPr>
          </w:p>
        </w:tc>
        <w:tc>
          <w:tcPr>
            <w:tcW w:w="2340" w:type="dxa"/>
            <w:noWrap w:val="0"/>
            <w:vAlign w:val="top"/>
          </w:tcPr>
          <w:p w14:paraId="500CB107">
            <w:pPr>
              <w:autoSpaceDE w:val="0"/>
              <w:autoSpaceDN w:val="0"/>
              <w:spacing w:line="440" w:lineRule="exact"/>
              <w:jc w:val="center"/>
              <w:rPr>
                <w:rFonts w:ascii="宋体" w:hAnsi="宋体" w:cs="仿宋_GB2312"/>
                <w:color w:val="auto"/>
                <w:szCs w:val="21"/>
                <w:highlight w:val="none"/>
              </w:rPr>
            </w:pPr>
          </w:p>
        </w:tc>
        <w:tc>
          <w:tcPr>
            <w:tcW w:w="1095" w:type="dxa"/>
            <w:noWrap w:val="0"/>
            <w:vAlign w:val="top"/>
          </w:tcPr>
          <w:p w14:paraId="2F3D779F">
            <w:pPr>
              <w:autoSpaceDE w:val="0"/>
              <w:autoSpaceDN w:val="0"/>
              <w:spacing w:line="440" w:lineRule="exact"/>
              <w:jc w:val="center"/>
              <w:rPr>
                <w:rFonts w:ascii="宋体" w:hAnsi="宋体" w:cs="仿宋_GB2312"/>
                <w:color w:val="auto"/>
                <w:szCs w:val="21"/>
                <w:highlight w:val="none"/>
              </w:rPr>
            </w:pPr>
          </w:p>
        </w:tc>
        <w:tc>
          <w:tcPr>
            <w:tcW w:w="1245" w:type="dxa"/>
            <w:noWrap w:val="0"/>
            <w:vAlign w:val="top"/>
          </w:tcPr>
          <w:p w14:paraId="5EDAD29D">
            <w:pPr>
              <w:autoSpaceDE w:val="0"/>
              <w:autoSpaceDN w:val="0"/>
              <w:spacing w:line="440" w:lineRule="exact"/>
              <w:jc w:val="center"/>
              <w:rPr>
                <w:rFonts w:ascii="宋体" w:hAnsi="宋体" w:cs="仿宋_GB2312"/>
                <w:color w:val="auto"/>
                <w:szCs w:val="21"/>
                <w:highlight w:val="none"/>
              </w:rPr>
            </w:pPr>
          </w:p>
        </w:tc>
        <w:tc>
          <w:tcPr>
            <w:tcW w:w="1980" w:type="dxa"/>
            <w:noWrap w:val="0"/>
            <w:vAlign w:val="top"/>
          </w:tcPr>
          <w:p w14:paraId="26775BC9">
            <w:pPr>
              <w:autoSpaceDE w:val="0"/>
              <w:autoSpaceDN w:val="0"/>
              <w:spacing w:line="440" w:lineRule="exact"/>
              <w:jc w:val="center"/>
              <w:rPr>
                <w:rFonts w:ascii="宋体" w:hAnsi="宋体" w:cs="仿宋_GB2312"/>
                <w:color w:val="auto"/>
                <w:szCs w:val="21"/>
                <w:highlight w:val="none"/>
              </w:rPr>
            </w:pPr>
          </w:p>
        </w:tc>
        <w:tc>
          <w:tcPr>
            <w:tcW w:w="1260" w:type="dxa"/>
            <w:noWrap w:val="0"/>
            <w:vAlign w:val="top"/>
          </w:tcPr>
          <w:p w14:paraId="6E6AF5D4">
            <w:pPr>
              <w:autoSpaceDE w:val="0"/>
              <w:autoSpaceDN w:val="0"/>
              <w:spacing w:line="440" w:lineRule="exact"/>
              <w:jc w:val="center"/>
              <w:rPr>
                <w:rFonts w:ascii="宋体" w:hAnsi="宋体" w:cs="仿宋_GB2312"/>
                <w:color w:val="auto"/>
                <w:szCs w:val="21"/>
                <w:highlight w:val="none"/>
              </w:rPr>
            </w:pPr>
          </w:p>
        </w:tc>
      </w:tr>
      <w:tr w14:paraId="22AC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14:paraId="7C7A604A">
            <w:pPr>
              <w:autoSpaceDE w:val="0"/>
              <w:autoSpaceDN w:val="0"/>
              <w:spacing w:line="440" w:lineRule="exact"/>
              <w:jc w:val="center"/>
              <w:rPr>
                <w:rFonts w:ascii="宋体" w:hAnsi="宋体" w:cs="仿宋_GB2312"/>
                <w:color w:val="auto"/>
                <w:szCs w:val="21"/>
                <w:highlight w:val="none"/>
              </w:rPr>
            </w:pPr>
          </w:p>
        </w:tc>
        <w:tc>
          <w:tcPr>
            <w:tcW w:w="2340" w:type="dxa"/>
            <w:noWrap w:val="0"/>
            <w:vAlign w:val="top"/>
          </w:tcPr>
          <w:p w14:paraId="425CD1E0">
            <w:pPr>
              <w:autoSpaceDE w:val="0"/>
              <w:autoSpaceDN w:val="0"/>
              <w:spacing w:line="440" w:lineRule="exact"/>
              <w:jc w:val="center"/>
              <w:rPr>
                <w:rFonts w:ascii="宋体" w:hAnsi="宋体" w:cs="仿宋_GB2312"/>
                <w:color w:val="auto"/>
                <w:szCs w:val="21"/>
                <w:highlight w:val="none"/>
              </w:rPr>
            </w:pPr>
          </w:p>
        </w:tc>
        <w:tc>
          <w:tcPr>
            <w:tcW w:w="1095" w:type="dxa"/>
            <w:noWrap w:val="0"/>
            <w:vAlign w:val="top"/>
          </w:tcPr>
          <w:p w14:paraId="045C0435">
            <w:pPr>
              <w:autoSpaceDE w:val="0"/>
              <w:autoSpaceDN w:val="0"/>
              <w:spacing w:line="440" w:lineRule="exact"/>
              <w:jc w:val="center"/>
              <w:rPr>
                <w:rFonts w:ascii="宋体" w:hAnsi="宋体" w:cs="仿宋_GB2312"/>
                <w:color w:val="auto"/>
                <w:szCs w:val="21"/>
                <w:highlight w:val="none"/>
              </w:rPr>
            </w:pPr>
          </w:p>
        </w:tc>
        <w:tc>
          <w:tcPr>
            <w:tcW w:w="1245" w:type="dxa"/>
            <w:noWrap w:val="0"/>
            <w:vAlign w:val="top"/>
          </w:tcPr>
          <w:p w14:paraId="0BDC8F79">
            <w:pPr>
              <w:autoSpaceDE w:val="0"/>
              <w:autoSpaceDN w:val="0"/>
              <w:spacing w:line="440" w:lineRule="exact"/>
              <w:jc w:val="center"/>
              <w:rPr>
                <w:rFonts w:ascii="宋体" w:hAnsi="宋体" w:cs="仿宋_GB2312"/>
                <w:color w:val="auto"/>
                <w:szCs w:val="21"/>
                <w:highlight w:val="none"/>
              </w:rPr>
            </w:pPr>
          </w:p>
        </w:tc>
        <w:tc>
          <w:tcPr>
            <w:tcW w:w="1980" w:type="dxa"/>
            <w:noWrap w:val="0"/>
            <w:vAlign w:val="top"/>
          </w:tcPr>
          <w:p w14:paraId="03C7CEEC">
            <w:pPr>
              <w:autoSpaceDE w:val="0"/>
              <w:autoSpaceDN w:val="0"/>
              <w:spacing w:line="440" w:lineRule="exact"/>
              <w:jc w:val="center"/>
              <w:rPr>
                <w:rFonts w:ascii="宋体" w:hAnsi="宋体" w:cs="仿宋_GB2312"/>
                <w:color w:val="auto"/>
                <w:szCs w:val="21"/>
                <w:highlight w:val="none"/>
              </w:rPr>
            </w:pPr>
          </w:p>
        </w:tc>
        <w:tc>
          <w:tcPr>
            <w:tcW w:w="1260" w:type="dxa"/>
            <w:noWrap w:val="0"/>
            <w:vAlign w:val="top"/>
          </w:tcPr>
          <w:p w14:paraId="605337D5">
            <w:pPr>
              <w:autoSpaceDE w:val="0"/>
              <w:autoSpaceDN w:val="0"/>
              <w:spacing w:line="440" w:lineRule="exact"/>
              <w:jc w:val="center"/>
              <w:rPr>
                <w:rFonts w:ascii="宋体" w:hAnsi="宋体" w:cs="仿宋_GB2312"/>
                <w:color w:val="auto"/>
                <w:szCs w:val="21"/>
                <w:highlight w:val="none"/>
              </w:rPr>
            </w:pPr>
          </w:p>
        </w:tc>
      </w:tr>
      <w:tr w14:paraId="19C2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09ACEBF1">
            <w:pPr>
              <w:autoSpaceDE w:val="0"/>
              <w:autoSpaceDN w:val="0"/>
              <w:spacing w:line="440" w:lineRule="exact"/>
              <w:jc w:val="center"/>
              <w:rPr>
                <w:rFonts w:ascii="宋体" w:hAnsi="宋体" w:cs="仿宋_GB2312"/>
                <w:color w:val="auto"/>
                <w:szCs w:val="21"/>
                <w:highlight w:val="none"/>
              </w:rPr>
            </w:pPr>
          </w:p>
        </w:tc>
        <w:tc>
          <w:tcPr>
            <w:tcW w:w="2340" w:type="dxa"/>
            <w:noWrap w:val="0"/>
            <w:vAlign w:val="top"/>
          </w:tcPr>
          <w:p w14:paraId="5EFC0B50">
            <w:pPr>
              <w:autoSpaceDE w:val="0"/>
              <w:autoSpaceDN w:val="0"/>
              <w:spacing w:line="440" w:lineRule="exact"/>
              <w:jc w:val="center"/>
              <w:rPr>
                <w:rFonts w:ascii="宋体" w:hAnsi="宋体" w:cs="仿宋_GB2312"/>
                <w:color w:val="auto"/>
                <w:szCs w:val="21"/>
                <w:highlight w:val="none"/>
              </w:rPr>
            </w:pPr>
          </w:p>
        </w:tc>
        <w:tc>
          <w:tcPr>
            <w:tcW w:w="1095" w:type="dxa"/>
            <w:noWrap w:val="0"/>
            <w:vAlign w:val="top"/>
          </w:tcPr>
          <w:p w14:paraId="650C83ED">
            <w:pPr>
              <w:autoSpaceDE w:val="0"/>
              <w:autoSpaceDN w:val="0"/>
              <w:spacing w:line="440" w:lineRule="exact"/>
              <w:jc w:val="center"/>
              <w:rPr>
                <w:rFonts w:ascii="宋体" w:hAnsi="宋体" w:cs="仿宋_GB2312"/>
                <w:color w:val="auto"/>
                <w:szCs w:val="21"/>
                <w:highlight w:val="none"/>
              </w:rPr>
            </w:pPr>
          </w:p>
        </w:tc>
        <w:tc>
          <w:tcPr>
            <w:tcW w:w="1245" w:type="dxa"/>
            <w:noWrap w:val="0"/>
            <w:vAlign w:val="top"/>
          </w:tcPr>
          <w:p w14:paraId="27863BCA">
            <w:pPr>
              <w:autoSpaceDE w:val="0"/>
              <w:autoSpaceDN w:val="0"/>
              <w:spacing w:line="440" w:lineRule="exact"/>
              <w:jc w:val="center"/>
              <w:rPr>
                <w:rFonts w:ascii="宋体" w:hAnsi="宋体" w:cs="仿宋_GB2312"/>
                <w:color w:val="auto"/>
                <w:szCs w:val="21"/>
                <w:highlight w:val="none"/>
              </w:rPr>
            </w:pPr>
          </w:p>
        </w:tc>
        <w:tc>
          <w:tcPr>
            <w:tcW w:w="1980" w:type="dxa"/>
            <w:noWrap w:val="0"/>
            <w:vAlign w:val="top"/>
          </w:tcPr>
          <w:p w14:paraId="4DE85435">
            <w:pPr>
              <w:autoSpaceDE w:val="0"/>
              <w:autoSpaceDN w:val="0"/>
              <w:spacing w:line="440" w:lineRule="exact"/>
              <w:jc w:val="center"/>
              <w:rPr>
                <w:rFonts w:ascii="宋体" w:hAnsi="宋体" w:cs="仿宋_GB2312"/>
                <w:color w:val="auto"/>
                <w:szCs w:val="21"/>
                <w:highlight w:val="none"/>
              </w:rPr>
            </w:pPr>
          </w:p>
        </w:tc>
        <w:tc>
          <w:tcPr>
            <w:tcW w:w="1260" w:type="dxa"/>
            <w:noWrap w:val="0"/>
            <w:vAlign w:val="top"/>
          </w:tcPr>
          <w:p w14:paraId="17331084">
            <w:pPr>
              <w:autoSpaceDE w:val="0"/>
              <w:autoSpaceDN w:val="0"/>
              <w:spacing w:line="440" w:lineRule="exact"/>
              <w:jc w:val="center"/>
              <w:rPr>
                <w:rFonts w:ascii="宋体" w:hAnsi="宋体" w:cs="仿宋_GB2312"/>
                <w:color w:val="auto"/>
                <w:szCs w:val="21"/>
                <w:highlight w:val="none"/>
              </w:rPr>
            </w:pPr>
          </w:p>
        </w:tc>
      </w:tr>
    </w:tbl>
    <w:p w14:paraId="14444B27">
      <w:pPr>
        <w:autoSpaceDE w:val="0"/>
        <w:autoSpaceDN w:val="0"/>
        <w:spacing w:line="440" w:lineRule="exact"/>
        <w:rPr>
          <w:rFonts w:ascii="宋体" w:hAnsi="宋体" w:cs="仿宋_GB2312"/>
          <w:b/>
          <w:color w:val="auto"/>
          <w:szCs w:val="21"/>
          <w:highlight w:val="none"/>
        </w:rPr>
      </w:pPr>
      <w:r>
        <w:rPr>
          <w:rFonts w:hint="eastAsia" w:ascii="宋体" w:hAnsi="宋体" w:cs="仿宋_GB2312"/>
          <w:b/>
          <w:color w:val="auto"/>
          <w:szCs w:val="21"/>
          <w:highlight w:val="none"/>
        </w:rPr>
        <w:t>注：关于项目涉及的所有售后服务机构均在本表注明，包括供应商本单位和符合条件的第三方服务机构；</w:t>
      </w:r>
    </w:p>
    <w:p w14:paraId="57454DD3">
      <w:pPr>
        <w:autoSpaceDE w:val="0"/>
        <w:autoSpaceDN w:val="0"/>
        <w:spacing w:line="440" w:lineRule="exact"/>
        <w:rPr>
          <w:rFonts w:ascii="宋体" w:hAnsi="宋体" w:cs="仿宋_GB2312"/>
          <w:color w:val="auto"/>
          <w:kern w:val="0"/>
          <w:szCs w:val="21"/>
          <w:highlight w:val="none"/>
        </w:rPr>
      </w:pPr>
      <w:r>
        <w:rPr>
          <w:rFonts w:hint="eastAsia" w:ascii="宋体" w:hAnsi="宋体" w:cs="仿宋_GB2312"/>
          <w:b/>
          <w:color w:val="auto"/>
          <w:kern w:val="0"/>
          <w:szCs w:val="21"/>
          <w:highlight w:val="none"/>
        </w:rPr>
        <w:t>附表B：售后服务人员情况表</w:t>
      </w:r>
      <w:r>
        <w:rPr>
          <w:rFonts w:hint="eastAsia" w:ascii="宋体" w:hAnsi="宋体" w:cs="仿宋_GB2312"/>
          <w:color w:val="auto"/>
          <w:szCs w:val="21"/>
          <w:highlight w:val="none"/>
        </w:rPr>
        <w:t>（按此格式自制）</w:t>
      </w:r>
    </w:p>
    <w:tbl>
      <w:tblPr>
        <w:tblStyle w:val="21"/>
        <w:tblW w:w="9584" w:type="dxa"/>
        <w:jc w:val="center"/>
        <w:tblLayout w:type="fixed"/>
        <w:tblCellMar>
          <w:top w:w="0" w:type="dxa"/>
          <w:left w:w="108" w:type="dxa"/>
          <w:bottom w:w="0" w:type="dxa"/>
          <w:right w:w="108" w:type="dxa"/>
        </w:tblCellMar>
      </w:tblPr>
      <w:tblGrid>
        <w:gridCol w:w="646"/>
        <w:gridCol w:w="746"/>
        <w:gridCol w:w="787"/>
        <w:gridCol w:w="412"/>
        <w:gridCol w:w="900"/>
        <w:gridCol w:w="1080"/>
        <w:gridCol w:w="662"/>
        <w:gridCol w:w="1080"/>
        <w:gridCol w:w="1260"/>
        <w:gridCol w:w="900"/>
        <w:gridCol w:w="1111"/>
      </w:tblGrid>
      <w:tr w14:paraId="294166D8">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0"/>
            <w:vAlign w:val="center"/>
          </w:tcPr>
          <w:p w14:paraId="20E813AC">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序号</w:t>
            </w:r>
          </w:p>
          <w:p w14:paraId="7722B124">
            <w:pPr>
              <w:autoSpaceDE w:val="0"/>
              <w:autoSpaceDN w:val="0"/>
              <w:spacing w:line="440" w:lineRule="exact"/>
              <w:jc w:val="center"/>
              <w:rPr>
                <w:rFonts w:ascii="宋体" w:hAnsi="宋体" w:cs="仿宋_GB2312"/>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center"/>
          </w:tcPr>
          <w:p w14:paraId="101033B5">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2329D087">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642C72AB">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C25F2F7">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1C7CBC3">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学历</w:t>
            </w:r>
          </w:p>
        </w:tc>
        <w:tc>
          <w:tcPr>
            <w:tcW w:w="662" w:type="dxa"/>
            <w:tcBorders>
              <w:top w:val="single" w:color="auto" w:sz="6" w:space="0"/>
              <w:left w:val="single" w:color="auto" w:sz="6" w:space="0"/>
              <w:bottom w:val="single" w:color="auto" w:sz="6" w:space="0"/>
              <w:right w:val="single" w:color="auto" w:sz="6" w:space="0"/>
            </w:tcBorders>
            <w:noWrap w:val="0"/>
            <w:vAlign w:val="center"/>
          </w:tcPr>
          <w:p w14:paraId="3C8125B2">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AE3BB86">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5A7A947C">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DA38C6E">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响应时间</w:t>
            </w:r>
          </w:p>
        </w:tc>
        <w:tc>
          <w:tcPr>
            <w:tcW w:w="1111" w:type="dxa"/>
            <w:tcBorders>
              <w:top w:val="single" w:color="auto" w:sz="6" w:space="0"/>
              <w:left w:val="single" w:color="auto" w:sz="6" w:space="0"/>
              <w:bottom w:val="single" w:color="auto" w:sz="6" w:space="0"/>
              <w:right w:val="single" w:color="auto" w:sz="6" w:space="0"/>
            </w:tcBorders>
            <w:noWrap w:val="0"/>
            <w:vAlign w:val="center"/>
          </w:tcPr>
          <w:p w14:paraId="40298F31">
            <w:pPr>
              <w:autoSpaceDE w:val="0"/>
              <w:autoSpaceDN w:val="0"/>
              <w:spacing w:line="440" w:lineRule="exact"/>
              <w:jc w:val="center"/>
              <w:rPr>
                <w:rFonts w:ascii="宋体" w:hAnsi="宋体" w:cs="仿宋_GB2312"/>
                <w:color w:val="auto"/>
                <w:szCs w:val="21"/>
                <w:highlight w:val="none"/>
              </w:rPr>
            </w:pPr>
            <w:r>
              <w:rPr>
                <w:rFonts w:hint="eastAsia" w:ascii="宋体" w:hAnsi="宋体" w:cs="仿宋_GB2312"/>
                <w:color w:val="auto"/>
                <w:szCs w:val="21"/>
                <w:highlight w:val="none"/>
              </w:rPr>
              <w:t>到达现场时间</w:t>
            </w:r>
          </w:p>
        </w:tc>
      </w:tr>
      <w:tr w14:paraId="77050BDC">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119582F">
            <w:pPr>
              <w:autoSpaceDE w:val="0"/>
              <w:autoSpaceDN w:val="0"/>
              <w:spacing w:line="440" w:lineRule="exact"/>
              <w:jc w:val="center"/>
              <w:rPr>
                <w:rFonts w:ascii="宋体" w:hAnsi="宋体" w:cs="仿宋_GB2312"/>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4E64E077">
            <w:pPr>
              <w:autoSpaceDE w:val="0"/>
              <w:autoSpaceDN w:val="0"/>
              <w:spacing w:line="440" w:lineRule="exact"/>
              <w:jc w:val="center"/>
              <w:rPr>
                <w:rFonts w:hint="eastAsia" w:ascii="宋体" w:hAnsi="宋体" w:cs="仿宋_GB2312"/>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294A185F">
            <w:pPr>
              <w:autoSpaceDE w:val="0"/>
              <w:autoSpaceDN w:val="0"/>
              <w:spacing w:line="440" w:lineRule="exact"/>
              <w:rPr>
                <w:rFonts w:ascii="宋体" w:hAnsi="宋体" w:cs="仿宋_GB2312"/>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E87953D">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5EB7FF3">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63F1B0F">
            <w:pPr>
              <w:autoSpaceDE w:val="0"/>
              <w:autoSpaceDN w:val="0"/>
              <w:spacing w:line="440" w:lineRule="exact"/>
              <w:rPr>
                <w:rFonts w:ascii="宋体" w:hAnsi="宋体" w:cs="仿宋_GB2312"/>
                <w:color w:val="auto"/>
                <w:szCs w:val="21"/>
                <w:highlight w:val="none"/>
              </w:rPr>
            </w:pPr>
          </w:p>
        </w:tc>
        <w:tc>
          <w:tcPr>
            <w:tcW w:w="662" w:type="dxa"/>
            <w:tcBorders>
              <w:top w:val="single" w:color="auto" w:sz="6" w:space="0"/>
              <w:left w:val="single" w:color="auto" w:sz="6" w:space="0"/>
              <w:bottom w:val="single" w:color="auto" w:sz="6" w:space="0"/>
              <w:right w:val="single" w:color="auto" w:sz="6" w:space="0"/>
            </w:tcBorders>
            <w:noWrap w:val="0"/>
            <w:vAlign w:val="top"/>
          </w:tcPr>
          <w:p w14:paraId="46E8AFED">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74463FF4">
            <w:pPr>
              <w:autoSpaceDE w:val="0"/>
              <w:autoSpaceDN w:val="0"/>
              <w:spacing w:line="440" w:lineRule="exact"/>
              <w:rPr>
                <w:rFonts w:ascii="宋体" w:hAnsi="宋体" w:cs="仿宋_GB2312"/>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6872EFC">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F154157">
            <w:pPr>
              <w:autoSpaceDE w:val="0"/>
              <w:autoSpaceDN w:val="0"/>
              <w:spacing w:line="440" w:lineRule="exact"/>
              <w:rPr>
                <w:rFonts w:ascii="宋体" w:hAnsi="宋体" w:cs="仿宋_GB2312"/>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67BAADCF">
            <w:pPr>
              <w:autoSpaceDE w:val="0"/>
              <w:autoSpaceDN w:val="0"/>
              <w:spacing w:line="440" w:lineRule="exact"/>
              <w:rPr>
                <w:rFonts w:ascii="宋体" w:hAnsi="宋体" w:cs="仿宋_GB2312"/>
                <w:color w:val="auto"/>
                <w:szCs w:val="21"/>
                <w:highlight w:val="none"/>
              </w:rPr>
            </w:pPr>
          </w:p>
        </w:tc>
      </w:tr>
      <w:tr w14:paraId="6A59AF0F">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53E156EE">
            <w:pPr>
              <w:autoSpaceDE w:val="0"/>
              <w:autoSpaceDN w:val="0"/>
              <w:spacing w:line="440" w:lineRule="exact"/>
              <w:jc w:val="center"/>
              <w:rPr>
                <w:rFonts w:ascii="宋体" w:hAnsi="宋体" w:cs="仿宋_GB2312"/>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4A1FB5D4">
            <w:pPr>
              <w:autoSpaceDE w:val="0"/>
              <w:autoSpaceDN w:val="0"/>
              <w:spacing w:line="440" w:lineRule="exact"/>
              <w:jc w:val="center"/>
              <w:rPr>
                <w:rFonts w:ascii="宋体" w:hAnsi="宋体" w:cs="仿宋_GB2312"/>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311100E5">
            <w:pPr>
              <w:autoSpaceDE w:val="0"/>
              <w:autoSpaceDN w:val="0"/>
              <w:spacing w:line="440" w:lineRule="exact"/>
              <w:rPr>
                <w:rFonts w:ascii="宋体" w:hAnsi="宋体" w:cs="仿宋_GB2312"/>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7C086CF">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CDA8217">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47C8BFF">
            <w:pPr>
              <w:autoSpaceDE w:val="0"/>
              <w:autoSpaceDN w:val="0"/>
              <w:spacing w:line="440" w:lineRule="exact"/>
              <w:rPr>
                <w:rFonts w:ascii="宋体" w:hAnsi="宋体" w:cs="仿宋_GB2312"/>
                <w:color w:val="auto"/>
                <w:szCs w:val="21"/>
                <w:highlight w:val="none"/>
              </w:rPr>
            </w:pPr>
          </w:p>
        </w:tc>
        <w:tc>
          <w:tcPr>
            <w:tcW w:w="662" w:type="dxa"/>
            <w:tcBorders>
              <w:top w:val="single" w:color="auto" w:sz="6" w:space="0"/>
              <w:left w:val="single" w:color="auto" w:sz="6" w:space="0"/>
              <w:bottom w:val="single" w:color="auto" w:sz="6" w:space="0"/>
              <w:right w:val="single" w:color="auto" w:sz="6" w:space="0"/>
            </w:tcBorders>
            <w:noWrap w:val="0"/>
            <w:vAlign w:val="top"/>
          </w:tcPr>
          <w:p w14:paraId="5A20595A">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7311F4B">
            <w:pPr>
              <w:autoSpaceDE w:val="0"/>
              <w:autoSpaceDN w:val="0"/>
              <w:spacing w:line="440" w:lineRule="exact"/>
              <w:rPr>
                <w:rFonts w:ascii="宋体" w:hAnsi="宋体" w:cs="仿宋_GB2312"/>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49433F5E">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CE4EA0C">
            <w:pPr>
              <w:autoSpaceDE w:val="0"/>
              <w:autoSpaceDN w:val="0"/>
              <w:spacing w:line="440" w:lineRule="exact"/>
              <w:rPr>
                <w:rFonts w:ascii="宋体" w:hAnsi="宋体" w:cs="仿宋_GB2312"/>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7E6946DF">
            <w:pPr>
              <w:autoSpaceDE w:val="0"/>
              <w:autoSpaceDN w:val="0"/>
              <w:spacing w:line="440" w:lineRule="exact"/>
              <w:rPr>
                <w:rFonts w:ascii="宋体" w:hAnsi="宋体" w:cs="仿宋_GB2312"/>
                <w:color w:val="auto"/>
                <w:szCs w:val="21"/>
                <w:highlight w:val="none"/>
              </w:rPr>
            </w:pPr>
          </w:p>
        </w:tc>
      </w:tr>
      <w:tr w14:paraId="73B23A79">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594600FB">
            <w:pPr>
              <w:autoSpaceDE w:val="0"/>
              <w:autoSpaceDN w:val="0"/>
              <w:spacing w:line="440" w:lineRule="exact"/>
              <w:jc w:val="center"/>
              <w:rPr>
                <w:rFonts w:ascii="宋体" w:hAnsi="宋体" w:cs="仿宋_GB2312"/>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07464E89">
            <w:pPr>
              <w:autoSpaceDE w:val="0"/>
              <w:autoSpaceDN w:val="0"/>
              <w:spacing w:line="440" w:lineRule="exact"/>
              <w:jc w:val="center"/>
              <w:rPr>
                <w:rFonts w:ascii="宋体" w:hAnsi="宋体" w:cs="仿宋_GB2312"/>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08EA874B">
            <w:pPr>
              <w:autoSpaceDE w:val="0"/>
              <w:autoSpaceDN w:val="0"/>
              <w:spacing w:line="440" w:lineRule="exact"/>
              <w:rPr>
                <w:rFonts w:ascii="宋体" w:hAnsi="宋体" w:cs="仿宋_GB2312"/>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578E032A">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CC0D3CC">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4D60A20">
            <w:pPr>
              <w:autoSpaceDE w:val="0"/>
              <w:autoSpaceDN w:val="0"/>
              <w:spacing w:line="440" w:lineRule="exact"/>
              <w:rPr>
                <w:rFonts w:ascii="宋体" w:hAnsi="宋体" w:cs="仿宋_GB2312"/>
                <w:color w:val="auto"/>
                <w:szCs w:val="21"/>
                <w:highlight w:val="none"/>
              </w:rPr>
            </w:pPr>
          </w:p>
        </w:tc>
        <w:tc>
          <w:tcPr>
            <w:tcW w:w="662" w:type="dxa"/>
            <w:tcBorders>
              <w:top w:val="single" w:color="auto" w:sz="6" w:space="0"/>
              <w:left w:val="single" w:color="auto" w:sz="6" w:space="0"/>
              <w:bottom w:val="single" w:color="auto" w:sz="6" w:space="0"/>
              <w:right w:val="single" w:color="auto" w:sz="6" w:space="0"/>
            </w:tcBorders>
            <w:noWrap w:val="0"/>
            <w:vAlign w:val="top"/>
          </w:tcPr>
          <w:p w14:paraId="7913238B">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EAE41A5">
            <w:pPr>
              <w:autoSpaceDE w:val="0"/>
              <w:autoSpaceDN w:val="0"/>
              <w:spacing w:line="440" w:lineRule="exact"/>
              <w:rPr>
                <w:rFonts w:ascii="宋体" w:hAnsi="宋体" w:cs="仿宋_GB2312"/>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B9D7CAF">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BCD6D9C">
            <w:pPr>
              <w:autoSpaceDE w:val="0"/>
              <w:autoSpaceDN w:val="0"/>
              <w:spacing w:line="440" w:lineRule="exact"/>
              <w:rPr>
                <w:rFonts w:ascii="宋体" w:hAnsi="宋体" w:cs="仿宋_GB2312"/>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5907029F">
            <w:pPr>
              <w:autoSpaceDE w:val="0"/>
              <w:autoSpaceDN w:val="0"/>
              <w:spacing w:line="440" w:lineRule="exact"/>
              <w:rPr>
                <w:rFonts w:ascii="宋体" w:hAnsi="宋体" w:cs="仿宋_GB2312"/>
                <w:color w:val="auto"/>
                <w:szCs w:val="21"/>
                <w:highlight w:val="none"/>
              </w:rPr>
            </w:pPr>
          </w:p>
        </w:tc>
      </w:tr>
      <w:tr w14:paraId="459942D5">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08D09D5F">
            <w:pPr>
              <w:autoSpaceDE w:val="0"/>
              <w:autoSpaceDN w:val="0"/>
              <w:spacing w:line="440" w:lineRule="exact"/>
              <w:jc w:val="center"/>
              <w:rPr>
                <w:rFonts w:ascii="宋体" w:hAnsi="宋体" w:cs="仿宋_GB2312"/>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136F2A25">
            <w:pPr>
              <w:autoSpaceDE w:val="0"/>
              <w:autoSpaceDN w:val="0"/>
              <w:spacing w:line="440" w:lineRule="exact"/>
              <w:jc w:val="center"/>
              <w:rPr>
                <w:rFonts w:ascii="宋体" w:hAnsi="宋体" w:cs="仿宋_GB2312"/>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4AA3A3D0">
            <w:pPr>
              <w:autoSpaceDE w:val="0"/>
              <w:autoSpaceDN w:val="0"/>
              <w:spacing w:line="440" w:lineRule="exact"/>
              <w:rPr>
                <w:rFonts w:ascii="宋体" w:hAnsi="宋体" w:cs="仿宋_GB2312"/>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A17E8A7">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4028DA5">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7D8B0EF">
            <w:pPr>
              <w:autoSpaceDE w:val="0"/>
              <w:autoSpaceDN w:val="0"/>
              <w:spacing w:line="440" w:lineRule="exact"/>
              <w:rPr>
                <w:rFonts w:ascii="宋体" w:hAnsi="宋体" w:cs="仿宋_GB2312"/>
                <w:color w:val="auto"/>
                <w:szCs w:val="21"/>
                <w:highlight w:val="none"/>
              </w:rPr>
            </w:pPr>
          </w:p>
        </w:tc>
        <w:tc>
          <w:tcPr>
            <w:tcW w:w="662" w:type="dxa"/>
            <w:tcBorders>
              <w:top w:val="single" w:color="auto" w:sz="6" w:space="0"/>
              <w:left w:val="single" w:color="auto" w:sz="6" w:space="0"/>
              <w:bottom w:val="single" w:color="auto" w:sz="6" w:space="0"/>
              <w:right w:val="single" w:color="auto" w:sz="6" w:space="0"/>
            </w:tcBorders>
            <w:noWrap w:val="0"/>
            <w:vAlign w:val="top"/>
          </w:tcPr>
          <w:p w14:paraId="468B9DE5">
            <w:pPr>
              <w:autoSpaceDE w:val="0"/>
              <w:autoSpaceDN w:val="0"/>
              <w:spacing w:line="440" w:lineRule="exact"/>
              <w:rPr>
                <w:rFonts w:ascii="宋体" w:hAnsi="宋体" w:cs="仿宋_GB2312"/>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9AE6FE0">
            <w:pPr>
              <w:autoSpaceDE w:val="0"/>
              <w:autoSpaceDN w:val="0"/>
              <w:spacing w:line="440" w:lineRule="exact"/>
              <w:rPr>
                <w:rFonts w:ascii="宋体" w:hAnsi="宋体" w:cs="仿宋_GB2312"/>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F5C0F51">
            <w:pPr>
              <w:autoSpaceDE w:val="0"/>
              <w:autoSpaceDN w:val="0"/>
              <w:spacing w:line="440" w:lineRule="exact"/>
              <w:rPr>
                <w:rFonts w:ascii="宋体" w:hAnsi="宋体" w:cs="仿宋_GB2312"/>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BD5FB72">
            <w:pPr>
              <w:autoSpaceDE w:val="0"/>
              <w:autoSpaceDN w:val="0"/>
              <w:spacing w:line="440" w:lineRule="exact"/>
              <w:rPr>
                <w:rFonts w:ascii="宋体" w:hAnsi="宋体" w:cs="仿宋_GB2312"/>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4402A088">
            <w:pPr>
              <w:autoSpaceDE w:val="0"/>
              <w:autoSpaceDN w:val="0"/>
              <w:spacing w:line="440" w:lineRule="exact"/>
              <w:rPr>
                <w:rFonts w:ascii="宋体" w:hAnsi="宋体" w:cs="仿宋_GB2312"/>
                <w:color w:val="auto"/>
                <w:szCs w:val="21"/>
                <w:highlight w:val="none"/>
              </w:rPr>
            </w:pPr>
          </w:p>
        </w:tc>
      </w:tr>
    </w:tbl>
    <w:p w14:paraId="6E8560BB">
      <w:pPr>
        <w:spacing w:line="440" w:lineRule="exact"/>
        <w:ind w:firstLine="415" w:firstLineChars="198"/>
        <w:rPr>
          <w:rFonts w:ascii="宋体" w:hAnsi="宋体"/>
          <w:color w:val="auto"/>
          <w:highlight w:val="none"/>
        </w:rPr>
      </w:pPr>
    </w:p>
    <w:p w14:paraId="5E5E83D7">
      <w:pPr>
        <w:spacing w:line="440" w:lineRule="exact"/>
        <w:rPr>
          <w:rFonts w:ascii="宋体" w:hAnsi="宋体" w:cs="仿宋_GB2312"/>
          <w:color w:val="auto"/>
          <w:szCs w:val="21"/>
          <w:highlight w:val="none"/>
        </w:rPr>
      </w:pPr>
    </w:p>
    <w:p w14:paraId="0484CF4F">
      <w:pPr>
        <w:autoSpaceDE w:val="0"/>
        <w:autoSpaceDN w:val="0"/>
        <w:spacing w:line="440" w:lineRule="exact"/>
        <w:ind w:left="4305" w:leftChars="1950" w:hanging="210" w:hangingChars="100"/>
        <w:rPr>
          <w:rFonts w:ascii="宋体" w:hAnsi="宋体" w:cs="仿宋_GB2312"/>
          <w:color w:val="auto"/>
          <w:kern w:val="0"/>
          <w:szCs w:val="21"/>
          <w:highlight w:val="none"/>
        </w:rPr>
      </w:pPr>
      <w:r>
        <w:rPr>
          <w:rFonts w:hint="eastAsia" w:ascii="宋体" w:hAnsi="宋体" w:cs="仿宋_GB2312"/>
          <w:color w:val="auto"/>
          <w:kern w:val="0"/>
          <w:szCs w:val="21"/>
          <w:highlight w:val="none"/>
        </w:rPr>
        <w:t>供应商名称（电子签章）：</w:t>
      </w:r>
    </w:p>
    <w:p w14:paraId="4DEF9506">
      <w:pPr>
        <w:snapToGrid w:val="0"/>
        <w:spacing w:line="440" w:lineRule="exact"/>
        <w:ind w:firstLine="5355" w:firstLineChars="2550"/>
        <w:rPr>
          <w:rFonts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日期：  年  月   日</w:t>
      </w:r>
    </w:p>
    <w:p w14:paraId="4672FB48">
      <w:pPr>
        <w:pStyle w:val="3"/>
        <w:rPr>
          <w:rFonts w:hint="eastAsia" w:ascii="宋体" w:hAnsi="宋体" w:cs="宋体"/>
          <w:color w:val="auto"/>
          <w:kern w:val="0"/>
          <w:sz w:val="24"/>
          <w:highlight w:val="none"/>
        </w:rPr>
      </w:pPr>
    </w:p>
    <w:p w14:paraId="7609CCB6">
      <w:pPr>
        <w:pStyle w:val="18"/>
        <w:rPr>
          <w:rFonts w:hint="eastAsia" w:ascii="宋体" w:hAnsi="宋体" w:cs="宋体"/>
          <w:color w:val="auto"/>
          <w:kern w:val="0"/>
          <w:sz w:val="24"/>
          <w:highlight w:val="none"/>
        </w:rPr>
      </w:pPr>
    </w:p>
    <w:p w14:paraId="2B8DF3A0">
      <w:pPr>
        <w:rPr>
          <w:rFonts w:hint="eastAsia" w:ascii="宋体" w:hAnsi="宋体" w:cs="宋体"/>
          <w:color w:val="auto"/>
          <w:kern w:val="0"/>
          <w:sz w:val="24"/>
          <w:highlight w:val="none"/>
        </w:rPr>
      </w:pPr>
    </w:p>
    <w:p w14:paraId="0FAF8FED">
      <w:pPr>
        <w:pStyle w:val="3"/>
        <w:rPr>
          <w:rFonts w:hint="eastAsia" w:ascii="宋体" w:hAnsi="宋体" w:cs="宋体"/>
          <w:color w:val="auto"/>
          <w:kern w:val="0"/>
          <w:sz w:val="24"/>
          <w:highlight w:val="none"/>
        </w:rPr>
      </w:pPr>
    </w:p>
    <w:p w14:paraId="6529276D">
      <w:pPr>
        <w:pStyle w:val="18"/>
        <w:rPr>
          <w:rFonts w:hint="eastAsia"/>
          <w:color w:val="auto"/>
          <w:highlight w:val="none"/>
        </w:rPr>
      </w:pPr>
    </w:p>
    <w:p w14:paraId="7084FC84">
      <w:pPr>
        <w:rPr>
          <w:rFonts w:hint="eastAsia"/>
          <w:color w:val="auto"/>
          <w:highlight w:val="none"/>
        </w:rPr>
      </w:pPr>
    </w:p>
    <w:p w14:paraId="37527F95">
      <w:pPr>
        <w:pStyle w:val="3"/>
        <w:rPr>
          <w:rFonts w:hint="eastAsia"/>
          <w:color w:val="auto"/>
          <w:highlight w:val="none"/>
        </w:rPr>
      </w:pPr>
    </w:p>
    <w:p w14:paraId="017BF848">
      <w:pPr>
        <w:pStyle w:val="18"/>
        <w:rPr>
          <w:rFonts w:hint="eastAsia"/>
          <w:color w:val="auto"/>
          <w:highlight w:val="none"/>
        </w:rPr>
      </w:pPr>
    </w:p>
    <w:p w14:paraId="0346D157">
      <w:pPr>
        <w:rPr>
          <w:rFonts w:hint="eastAsia"/>
          <w:color w:val="auto"/>
          <w:highlight w:val="none"/>
        </w:rPr>
      </w:pPr>
    </w:p>
    <w:p w14:paraId="0147EC48">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十、项目实施人员一览表</w:t>
      </w:r>
    </w:p>
    <w:p w14:paraId="69FC37CC">
      <w:pPr>
        <w:snapToGrid w:val="0"/>
        <w:spacing w:before="50" w:after="120" w:afterLines="50"/>
        <w:jc w:val="center"/>
        <w:rPr>
          <w:rFonts w:hint="eastAsia" w:ascii="宋体" w:hAnsi="宋体" w:cs="宋体"/>
          <w:color w:val="auto"/>
          <w:sz w:val="24"/>
          <w:highlight w:val="none"/>
        </w:rPr>
      </w:pPr>
      <w:r>
        <w:rPr>
          <w:rFonts w:hint="eastAsia" w:ascii="仿宋_GB2312" w:hAnsi="仿宋" w:eastAsia="仿宋_GB2312" w:cs="仿宋_GB2312"/>
          <w:color w:val="auto"/>
          <w:sz w:val="24"/>
          <w:highlight w:val="none"/>
        </w:rPr>
        <w:t>（由供应商根据采购需求及采购文件要求编制）</w:t>
      </w:r>
    </w:p>
    <w:p w14:paraId="13012639">
      <w:pPr>
        <w:snapToGrid w:val="0"/>
        <w:spacing w:before="50" w:after="120" w:afterLines="50"/>
        <w:jc w:val="center"/>
        <w:rPr>
          <w:rFonts w:hint="eastAsia" w:ascii="宋体" w:hAnsi="宋体" w:cs="宋体"/>
          <w:color w:val="auto"/>
          <w:sz w:val="24"/>
          <w:highlight w:val="none"/>
        </w:rPr>
      </w:pPr>
      <w:r>
        <w:rPr>
          <w:rFonts w:hint="eastAsia" w:ascii="宋体" w:hAnsi="宋体" w:cs="宋体"/>
          <w:color w:val="auto"/>
          <w:sz w:val="24"/>
          <w:highlight w:val="none"/>
        </w:rPr>
        <w:t>项目实施人员一览表</w:t>
      </w:r>
    </w:p>
    <w:p w14:paraId="4A1B36E4">
      <w:pPr>
        <w:snapToGrid w:val="0"/>
        <w:spacing w:before="50" w:after="120" w:afterLines="50"/>
        <w:jc w:val="left"/>
        <w:rPr>
          <w:rFonts w:hint="eastAsia" w:ascii="宋体" w:hAnsi="宋体" w:cs="宋体"/>
          <w:color w:val="auto"/>
          <w:sz w:val="24"/>
          <w:highlight w:val="none"/>
        </w:rPr>
      </w:pPr>
      <w:r>
        <w:rPr>
          <w:rFonts w:hint="eastAsia" w:ascii="宋体" w:hAnsi="宋体" w:cs="宋体"/>
          <w:color w:val="auto"/>
          <w:sz w:val="24"/>
          <w:highlight w:val="none"/>
        </w:rPr>
        <w:t>项目名称：</w:t>
      </w:r>
    </w:p>
    <w:p w14:paraId="5087DBBC">
      <w:pPr>
        <w:pStyle w:val="3"/>
        <w:rPr>
          <w:color w:val="auto"/>
          <w:highlight w:val="none"/>
        </w:rPr>
      </w:pPr>
      <w:r>
        <w:rPr>
          <w:rFonts w:hint="eastAsia" w:ascii="宋体" w:hAnsi="宋体" w:cs="宋体"/>
          <w:color w:val="auto"/>
          <w:sz w:val="24"/>
          <w:highlight w:val="none"/>
        </w:rPr>
        <w:t>项目编号：</w:t>
      </w:r>
    </w:p>
    <w:tbl>
      <w:tblPr>
        <w:tblStyle w:val="21"/>
        <w:tblW w:w="94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880"/>
        <w:gridCol w:w="1024"/>
        <w:gridCol w:w="1100"/>
        <w:gridCol w:w="700"/>
        <w:gridCol w:w="1306"/>
        <w:gridCol w:w="949"/>
        <w:gridCol w:w="1462"/>
        <w:gridCol w:w="1133"/>
      </w:tblGrid>
      <w:tr w14:paraId="44D58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880" w:type="dxa"/>
            <w:noWrap w:val="0"/>
            <w:vAlign w:val="center"/>
          </w:tcPr>
          <w:p w14:paraId="640A4367">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序号</w:t>
            </w:r>
          </w:p>
        </w:tc>
        <w:tc>
          <w:tcPr>
            <w:tcW w:w="880" w:type="dxa"/>
            <w:noWrap w:val="0"/>
            <w:vAlign w:val="center"/>
          </w:tcPr>
          <w:p w14:paraId="24836AEB">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姓名</w:t>
            </w:r>
          </w:p>
        </w:tc>
        <w:tc>
          <w:tcPr>
            <w:tcW w:w="1024" w:type="dxa"/>
            <w:noWrap w:val="0"/>
            <w:vAlign w:val="center"/>
          </w:tcPr>
          <w:p w14:paraId="41AFD577">
            <w:pPr>
              <w:snapToGrid w:val="0"/>
              <w:spacing w:before="50" w:after="120" w:afterLines="50"/>
              <w:jc w:val="center"/>
              <w:rPr>
                <w:rFonts w:ascii="宋体" w:hAnsi="宋体" w:cs="宋体"/>
                <w:color w:val="auto"/>
                <w:sz w:val="22"/>
                <w:szCs w:val="22"/>
                <w:highlight w:val="none"/>
              </w:rPr>
            </w:pPr>
            <w:r>
              <w:rPr>
                <w:rFonts w:hint="eastAsia" w:ascii="宋体" w:hAnsi="宋体" w:cs="宋体"/>
                <w:color w:val="auto"/>
                <w:sz w:val="22"/>
                <w:szCs w:val="22"/>
                <w:highlight w:val="none"/>
              </w:rPr>
              <w:t>在本项目拟担任职务或岗位</w:t>
            </w:r>
          </w:p>
        </w:tc>
        <w:tc>
          <w:tcPr>
            <w:tcW w:w="1100" w:type="dxa"/>
            <w:noWrap w:val="0"/>
            <w:vAlign w:val="center"/>
          </w:tcPr>
          <w:p w14:paraId="0F040F3C">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专业或技术资格（附资格证书编号）</w:t>
            </w:r>
          </w:p>
        </w:tc>
        <w:tc>
          <w:tcPr>
            <w:tcW w:w="700" w:type="dxa"/>
            <w:noWrap w:val="0"/>
            <w:vAlign w:val="center"/>
          </w:tcPr>
          <w:p w14:paraId="39CD1B1C">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学历</w:t>
            </w:r>
          </w:p>
        </w:tc>
        <w:tc>
          <w:tcPr>
            <w:tcW w:w="1306" w:type="dxa"/>
            <w:noWrap w:val="0"/>
            <w:vAlign w:val="center"/>
          </w:tcPr>
          <w:p w14:paraId="4C729DD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从事本专业工作时间</w:t>
            </w:r>
          </w:p>
        </w:tc>
        <w:tc>
          <w:tcPr>
            <w:tcW w:w="949" w:type="dxa"/>
            <w:noWrap w:val="0"/>
            <w:vAlign w:val="center"/>
          </w:tcPr>
          <w:p w14:paraId="09142074">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职称</w:t>
            </w:r>
          </w:p>
        </w:tc>
        <w:tc>
          <w:tcPr>
            <w:tcW w:w="1462" w:type="dxa"/>
            <w:noWrap w:val="0"/>
            <w:vAlign w:val="center"/>
          </w:tcPr>
          <w:p w14:paraId="3F3D0DF2">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类似项目</w:t>
            </w:r>
          </w:p>
        </w:tc>
        <w:tc>
          <w:tcPr>
            <w:tcW w:w="1133" w:type="dxa"/>
            <w:noWrap w:val="0"/>
            <w:vAlign w:val="center"/>
          </w:tcPr>
          <w:p w14:paraId="30383651">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备注</w:t>
            </w:r>
          </w:p>
        </w:tc>
      </w:tr>
      <w:tr w14:paraId="745C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80" w:type="dxa"/>
            <w:noWrap w:val="0"/>
            <w:vAlign w:val="center"/>
          </w:tcPr>
          <w:p w14:paraId="10113CB8">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w:t>
            </w:r>
          </w:p>
        </w:tc>
        <w:tc>
          <w:tcPr>
            <w:tcW w:w="880" w:type="dxa"/>
            <w:noWrap w:val="0"/>
            <w:vAlign w:val="center"/>
          </w:tcPr>
          <w:p w14:paraId="1A1D63A2">
            <w:pPr>
              <w:snapToGrid w:val="0"/>
              <w:spacing w:before="50" w:after="120" w:afterLines="50"/>
              <w:jc w:val="center"/>
              <w:rPr>
                <w:rFonts w:ascii="宋体" w:hAnsi="宋体" w:cs="宋体"/>
                <w:color w:val="auto"/>
                <w:sz w:val="22"/>
                <w:szCs w:val="22"/>
                <w:highlight w:val="none"/>
              </w:rPr>
            </w:pPr>
            <w:r>
              <w:rPr>
                <w:rFonts w:hint="eastAsia" w:ascii="宋体" w:hAnsi="宋体" w:cs="宋体"/>
                <w:color w:val="auto"/>
                <w:sz w:val="22"/>
                <w:szCs w:val="22"/>
                <w:highlight w:val="none"/>
              </w:rPr>
              <w:t>项目负责人</w:t>
            </w:r>
          </w:p>
        </w:tc>
        <w:tc>
          <w:tcPr>
            <w:tcW w:w="1024" w:type="dxa"/>
            <w:noWrap w:val="0"/>
            <w:vAlign w:val="center"/>
          </w:tcPr>
          <w:p w14:paraId="5103E789">
            <w:pPr>
              <w:snapToGrid w:val="0"/>
              <w:spacing w:before="50" w:after="120" w:afterLines="50"/>
              <w:jc w:val="center"/>
              <w:rPr>
                <w:rFonts w:hint="eastAsia" w:ascii="宋体" w:hAnsi="宋体" w:cs="宋体"/>
                <w:color w:val="auto"/>
                <w:sz w:val="22"/>
                <w:szCs w:val="22"/>
                <w:highlight w:val="none"/>
              </w:rPr>
            </w:pPr>
          </w:p>
        </w:tc>
        <w:tc>
          <w:tcPr>
            <w:tcW w:w="1100" w:type="dxa"/>
            <w:noWrap w:val="0"/>
            <w:vAlign w:val="center"/>
          </w:tcPr>
          <w:p w14:paraId="6D72FBD4">
            <w:pPr>
              <w:snapToGrid w:val="0"/>
              <w:spacing w:before="50" w:after="120" w:afterLines="50"/>
              <w:jc w:val="center"/>
              <w:rPr>
                <w:rFonts w:hint="eastAsia" w:ascii="宋体" w:hAnsi="宋体" w:cs="宋体"/>
                <w:color w:val="auto"/>
                <w:sz w:val="22"/>
                <w:szCs w:val="22"/>
                <w:highlight w:val="none"/>
              </w:rPr>
            </w:pPr>
          </w:p>
        </w:tc>
        <w:tc>
          <w:tcPr>
            <w:tcW w:w="700" w:type="dxa"/>
            <w:noWrap w:val="0"/>
            <w:vAlign w:val="center"/>
          </w:tcPr>
          <w:p w14:paraId="65BB1EE8">
            <w:pPr>
              <w:snapToGrid w:val="0"/>
              <w:spacing w:before="50" w:after="120" w:afterLines="50"/>
              <w:jc w:val="center"/>
              <w:rPr>
                <w:rFonts w:hint="eastAsia" w:ascii="宋体" w:hAnsi="宋体" w:cs="宋体"/>
                <w:color w:val="auto"/>
                <w:sz w:val="22"/>
                <w:szCs w:val="22"/>
                <w:highlight w:val="none"/>
              </w:rPr>
            </w:pPr>
          </w:p>
        </w:tc>
        <w:tc>
          <w:tcPr>
            <w:tcW w:w="1306" w:type="dxa"/>
            <w:noWrap w:val="0"/>
            <w:vAlign w:val="center"/>
          </w:tcPr>
          <w:p w14:paraId="20278E1A">
            <w:pPr>
              <w:snapToGrid w:val="0"/>
              <w:spacing w:before="50" w:after="120" w:afterLines="50"/>
              <w:jc w:val="center"/>
              <w:rPr>
                <w:rFonts w:hint="eastAsia" w:ascii="宋体" w:hAnsi="宋体" w:cs="宋体"/>
                <w:color w:val="auto"/>
                <w:sz w:val="22"/>
                <w:szCs w:val="22"/>
                <w:highlight w:val="none"/>
              </w:rPr>
            </w:pPr>
          </w:p>
        </w:tc>
        <w:tc>
          <w:tcPr>
            <w:tcW w:w="949" w:type="dxa"/>
            <w:noWrap w:val="0"/>
            <w:vAlign w:val="center"/>
          </w:tcPr>
          <w:p w14:paraId="16D978A8">
            <w:pPr>
              <w:snapToGrid w:val="0"/>
              <w:spacing w:before="50" w:after="120" w:afterLines="50"/>
              <w:jc w:val="center"/>
              <w:rPr>
                <w:rFonts w:hint="eastAsia" w:ascii="宋体" w:hAnsi="宋体" w:cs="宋体"/>
                <w:color w:val="auto"/>
                <w:sz w:val="22"/>
                <w:szCs w:val="22"/>
                <w:highlight w:val="none"/>
              </w:rPr>
            </w:pPr>
          </w:p>
        </w:tc>
        <w:tc>
          <w:tcPr>
            <w:tcW w:w="1462" w:type="dxa"/>
            <w:noWrap w:val="0"/>
            <w:vAlign w:val="center"/>
          </w:tcPr>
          <w:p w14:paraId="5D4C7BFB">
            <w:pPr>
              <w:snapToGrid w:val="0"/>
              <w:spacing w:before="50" w:after="120" w:afterLines="50"/>
              <w:jc w:val="center"/>
              <w:rPr>
                <w:rFonts w:hint="eastAsia" w:ascii="宋体" w:hAnsi="宋体" w:cs="宋体"/>
                <w:color w:val="auto"/>
                <w:sz w:val="22"/>
                <w:szCs w:val="22"/>
                <w:highlight w:val="none"/>
              </w:rPr>
            </w:pPr>
          </w:p>
        </w:tc>
        <w:tc>
          <w:tcPr>
            <w:tcW w:w="1133" w:type="dxa"/>
            <w:noWrap w:val="0"/>
            <w:vAlign w:val="center"/>
          </w:tcPr>
          <w:p w14:paraId="6CC6ABB6">
            <w:pPr>
              <w:snapToGrid w:val="0"/>
              <w:spacing w:before="50" w:after="120" w:afterLines="50"/>
              <w:jc w:val="center"/>
              <w:rPr>
                <w:rFonts w:hint="eastAsia" w:ascii="宋体" w:hAnsi="宋体" w:cs="宋体"/>
                <w:color w:val="auto"/>
                <w:sz w:val="22"/>
                <w:szCs w:val="22"/>
                <w:highlight w:val="none"/>
              </w:rPr>
            </w:pPr>
          </w:p>
        </w:tc>
      </w:tr>
      <w:tr w14:paraId="53F7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80" w:type="dxa"/>
            <w:noWrap w:val="0"/>
            <w:vAlign w:val="center"/>
          </w:tcPr>
          <w:p w14:paraId="4E499C06">
            <w:pPr>
              <w:snapToGrid w:val="0"/>
              <w:spacing w:before="50" w:after="120" w:afterLines="50"/>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2</w:t>
            </w:r>
          </w:p>
        </w:tc>
        <w:tc>
          <w:tcPr>
            <w:tcW w:w="880" w:type="dxa"/>
            <w:noWrap w:val="0"/>
            <w:vAlign w:val="center"/>
          </w:tcPr>
          <w:p w14:paraId="4BABEDE6">
            <w:pPr>
              <w:snapToGrid w:val="0"/>
              <w:spacing w:before="50" w:after="120" w:afterLines="50"/>
              <w:jc w:val="center"/>
              <w:rPr>
                <w:rFonts w:hint="eastAsia" w:ascii="宋体" w:hAnsi="宋体" w:cs="宋体"/>
                <w:color w:val="auto"/>
                <w:sz w:val="22"/>
                <w:szCs w:val="22"/>
                <w:highlight w:val="none"/>
              </w:rPr>
            </w:pPr>
          </w:p>
        </w:tc>
        <w:tc>
          <w:tcPr>
            <w:tcW w:w="1024" w:type="dxa"/>
            <w:noWrap w:val="0"/>
            <w:vAlign w:val="center"/>
          </w:tcPr>
          <w:p w14:paraId="05FB7519">
            <w:pPr>
              <w:snapToGrid w:val="0"/>
              <w:spacing w:before="50" w:after="120" w:afterLines="50"/>
              <w:jc w:val="center"/>
              <w:rPr>
                <w:rFonts w:hint="eastAsia" w:ascii="宋体" w:hAnsi="宋体" w:cs="宋体"/>
                <w:color w:val="auto"/>
                <w:sz w:val="22"/>
                <w:szCs w:val="22"/>
                <w:highlight w:val="none"/>
              </w:rPr>
            </w:pPr>
          </w:p>
        </w:tc>
        <w:tc>
          <w:tcPr>
            <w:tcW w:w="1100" w:type="dxa"/>
            <w:noWrap w:val="0"/>
            <w:vAlign w:val="center"/>
          </w:tcPr>
          <w:p w14:paraId="476ADD9F">
            <w:pPr>
              <w:snapToGrid w:val="0"/>
              <w:spacing w:before="50" w:after="120" w:afterLines="50"/>
              <w:jc w:val="center"/>
              <w:rPr>
                <w:rFonts w:hint="eastAsia" w:ascii="宋体" w:hAnsi="宋体" w:cs="宋体"/>
                <w:color w:val="auto"/>
                <w:sz w:val="22"/>
                <w:szCs w:val="22"/>
                <w:highlight w:val="none"/>
              </w:rPr>
            </w:pPr>
          </w:p>
        </w:tc>
        <w:tc>
          <w:tcPr>
            <w:tcW w:w="700" w:type="dxa"/>
            <w:noWrap w:val="0"/>
            <w:vAlign w:val="center"/>
          </w:tcPr>
          <w:p w14:paraId="354C2155">
            <w:pPr>
              <w:snapToGrid w:val="0"/>
              <w:spacing w:before="50" w:after="120" w:afterLines="50"/>
              <w:jc w:val="center"/>
              <w:rPr>
                <w:rFonts w:hint="eastAsia" w:ascii="宋体" w:hAnsi="宋体" w:cs="宋体"/>
                <w:color w:val="auto"/>
                <w:sz w:val="22"/>
                <w:szCs w:val="22"/>
                <w:highlight w:val="none"/>
              </w:rPr>
            </w:pPr>
          </w:p>
        </w:tc>
        <w:tc>
          <w:tcPr>
            <w:tcW w:w="1306" w:type="dxa"/>
            <w:noWrap w:val="0"/>
            <w:vAlign w:val="center"/>
          </w:tcPr>
          <w:p w14:paraId="55ACA33A">
            <w:pPr>
              <w:snapToGrid w:val="0"/>
              <w:spacing w:before="50" w:after="120" w:afterLines="50"/>
              <w:jc w:val="center"/>
              <w:rPr>
                <w:rFonts w:hint="eastAsia" w:ascii="宋体" w:hAnsi="宋体" w:cs="宋体"/>
                <w:color w:val="auto"/>
                <w:sz w:val="22"/>
                <w:szCs w:val="22"/>
                <w:highlight w:val="none"/>
              </w:rPr>
            </w:pPr>
          </w:p>
        </w:tc>
        <w:tc>
          <w:tcPr>
            <w:tcW w:w="949" w:type="dxa"/>
            <w:noWrap w:val="0"/>
            <w:vAlign w:val="center"/>
          </w:tcPr>
          <w:p w14:paraId="3D1678F3">
            <w:pPr>
              <w:snapToGrid w:val="0"/>
              <w:spacing w:before="50" w:after="120" w:afterLines="50"/>
              <w:jc w:val="center"/>
              <w:rPr>
                <w:rFonts w:hint="eastAsia" w:ascii="宋体" w:hAnsi="宋体" w:cs="宋体"/>
                <w:color w:val="auto"/>
                <w:sz w:val="22"/>
                <w:szCs w:val="22"/>
                <w:highlight w:val="none"/>
              </w:rPr>
            </w:pPr>
          </w:p>
        </w:tc>
        <w:tc>
          <w:tcPr>
            <w:tcW w:w="1462" w:type="dxa"/>
            <w:noWrap w:val="0"/>
            <w:vAlign w:val="center"/>
          </w:tcPr>
          <w:p w14:paraId="51F57068">
            <w:pPr>
              <w:snapToGrid w:val="0"/>
              <w:spacing w:before="50" w:after="120" w:afterLines="50"/>
              <w:jc w:val="center"/>
              <w:rPr>
                <w:rFonts w:hint="eastAsia" w:ascii="宋体" w:hAnsi="宋体" w:cs="宋体"/>
                <w:color w:val="auto"/>
                <w:sz w:val="22"/>
                <w:szCs w:val="22"/>
                <w:highlight w:val="none"/>
              </w:rPr>
            </w:pPr>
          </w:p>
        </w:tc>
        <w:tc>
          <w:tcPr>
            <w:tcW w:w="1133" w:type="dxa"/>
            <w:noWrap w:val="0"/>
            <w:vAlign w:val="center"/>
          </w:tcPr>
          <w:p w14:paraId="457309D4">
            <w:pPr>
              <w:snapToGrid w:val="0"/>
              <w:spacing w:before="50" w:after="120" w:afterLines="50"/>
              <w:jc w:val="center"/>
              <w:rPr>
                <w:rFonts w:hint="eastAsia" w:ascii="宋体" w:hAnsi="宋体" w:cs="宋体"/>
                <w:color w:val="auto"/>
                <w:sz w:val="22"/>
                <w:szCs w:val="22"/>
                <w:highlight w:val="none"/>
              </w:rPr>
            </w:pPr>
          </w:p>
        </w:tc>
      </w:tr>
      <w:tr w14:paraId="3ABD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80" w:type="dxa"/>
            <w:noWrap w:val="0"/>
            <w:vAlign w:val="center"/>
          </w:tcPr>
          <w:p w14:paraId="395F62E1">
            <w:pPr>
              <w:snapToGrid w:val="0"/>
              <w:spacing w:before="50" w:after="120" w:afterLines="50"/>
              <w:jc w:val="center"/>
              <w:rPr>
                <w:rFonts w:ascii="宋体" w:hAnsi="宋体" w:cs="宋体"/>
                <w:color w:val="auto"/>
                <w:sz w:val="22"/>
                <w:szCs w:val="22"/>
                <w:highlight w:val="none"/>
              </w:rPr>
            </w:pPr>
            <w:r>
              <w:rPr>
                <w:rFonts w:hint="eastAsia" w:ascii="宋体" w:hAnsi="宋体" w:cs="宋体"/>
                <w:color w:val="auto"/>
                <w:sz w:val="22"/>
                <w:szCs w:val="22"/>
                <w:highlight w:val="none"/>
              </w:rPr>
              <w:t>...</w:t>
            </w:r>
          </w:p>
        </w:tc>
        <w:tc>
          <w:tcPr>
            <w:tcW w:w="880" w:type="dxa"/>
            <w:noWrap w:val="0"/>
            <w:vAlign w:val="center"/>
          </w:tcPr>
          <w:p w14:paraId="153B694B">
            <w:pPr>
              <w:snapToGrid w:val="0"/>
              <w:spacing w:before="50" w:after="120" w:afterLines="50"/>
              <w:jc w:val="center"/>
              <w:rPr>
                <w:rFonts w:hint="eastAsia" w:ascii="宋体" w:hAnsi="宋体" w:cs="宋体"/>
                <w:color w:val="auto"/>
                <w:sz w:val="22"/>
                <w:szCs w:val="22"/>
                <w:highlight w:val="none"/>
              </w:rPr>
            </w:pPr>
          </w:p>
        </w:tc>
        <w:tc>
          <w:tcPr>
            <w:tcW w:w="1024" w:type="dxa"/>
            <w:noWrap w:val="0"/>
            <w:vAlign w:val="center"/>
          </w:tcPr>
          <w:p w14:paraId="4943AEDE">
            <w:pPr>
              <w:snapToGrid w:val="0"/>
              <w:spacing w:before="50" w:after="120" w:afterLines="50"/>
              <w:jc w:val="center"/>
              <w:rPr>
                <w:rFonts w:hint="eastAsia" w:ascii="宋体" w:hAnsi="宋体" w:cs="宋体"/>
                <w:color w:val="auto"/>
                <w:sz w:val="22"/>
                <w:szCs w:val="22"/>
                <w:highlight w:val="none"/>
              </w:rPr>
            </w:pPr>
          </w:p>
        </w:tc>
        <w:tc>
          <w:tcPr>
            <w:tcW w:w="1100" w:type="dxa"/>
            <w:noWrap w:val="0"/>
            <w:vAlign w:val="center"/>
          </w:tcPr>
          <w:p w14:paraId="1C6A28A9">
            <w:pPr>
              <w:snapToGrid w:val="0"/>
              <w:spacing w:before="50" w:after="120" w:afterLines="50"/>
              <w:jc w:val="center"/>
              <w:rPr>
                <w:rFonts w:hint="eastAsia" w:ascii="宋体" w:hAnsi="宋体" w:cs="宋体"/>
                <w:color w:val="auto"/>
                <w:sz w:val="22"/>
                <w:szCs w:val="22"/>
                <w:highlight w:val="none"/>
              </w:rPr>
            </w:pPr>
          </w:p>
        </w:tc>
        <w:tc>
          <w:tcPr>
            <w:tcW w:w="700" w:type="dxa"/>
            <w:noWrap w:val="0"/>
            <w:vAlign w:val="center"/>
          </w:tcPr>
          <w:p w14:paraId="47C48C8F">
            <w:pPr>
              <w:snapToGrid w:val="0"/>
              <w:spacing w:before="50" w:after="120" w:afterLines="50"/>
              <w:jc w:val="center"/>
              <w:rPr>
                <w:rFonts w:hint="eastAsia" w:ascii="宋体" w:hAnsi="宋体" w:cs="宋体"/>
                <w:color w:val="auto"/>
                <w:sz w:val="22"/>
                <w:szCs w:val="22"/>
                <w:highlight w:val="none"/>
              </w:rPr>
            </w:pPr>
          </w:p>
        </w:tc>
        <w:tc>
          <w:tcPr>
            <w:tcW w:w="1306" w:type="dxa"/>
            <w:noWrap w:val="0"/>
            <w:vAlign w:val="center"/>
          </w:tcPr>
          <w:p w14:paraId="22F93BA7">
            <w:pPr>
              <w:snapToGrid w:val="0"/>
              <w:spacing w:before="50" w:after="120" w:afterLines="50"/>
              <w:jc w:val="center"/>
              <w:rPr>
                <w:rFonts w:hint="eastAsia" w:ascii="宋体" w:hAnsi="宋体" w:cs="宋体"/>
                <w:color w:val="auto"/>
                <w:sz w:val="22"/>
                <w:szCs w:val="22"/>
                <w:highlight w:val="none"/>
              </w:rPr>
            </w:pPr>
          </w:p>
        </w:tc>
        <w:tc>
          <w:tcPr>
            <w:tcW w:w="949" w:type="dxa"/>
            <w:noWrap w:val="0"/>
            <w:vAlign w:val="center"/>
          </w:tcPr>
          <w:p w14:paraId="5DC24C82">
            <w:pPr>
              <w:snapToGrid w:val="0"/>
              <w:spacing w:before="50" w:after="120" w:afterLines="50"/>
              <w:jc w:val="center"/>
              <w:rPr>
                <w:rFonts w:hint="eastAsia" w:ascii="宋体" w:hAnsi="宋体" w:cs="宋体"/>
                <w:color w:val="auto"/>
                <w:sz w:val="22"/>
                <w:szCs w:val="22"/>
                <w:highlight w:val="none"/>
              </w:rPr>
            </w:pPr>
          </w:p>
        </w:tc>
        <w:tc>
          <w:tcPr>
            <w:tcW w:w="1462" w:type="dxa"/>
            <w:noWrap w:val="0"/>
            <w:vAlign w:val="center"/>
          </w:tcPr>
          <w:p w14:paraId="0C18BEBB">
            <w:pPr>
              <w:snapToGrid w:val="0"/>
              <w:spacing w:before="50" w:after="120" w:afterLines="50"/>
              <w:jc w:val="center"/>
              <w:rPr>
                <w:rFonts w:hint="eastAsia" w:ascii="宋体" w:hAnsi="宋体" w:cs="宋体"/>
                <w:color w:val="auto"/>
                <w:sz w:val="22"/>
                <w:szCs w:val="22"/>
                <w:highlight w:val="none"/>
              </w:rPr>
            </w:pPr>
          </w:p>
        </w:tc>
        <w:tc>
          <w:tcPr>
            <w:tcW w:w="1133" w:type="dxa"/>
            <w:noWrap w:val="0"/>
            <w:vAlign w:val="center"/>
          </w:tcPr>
          <w:p w14:paraId="019153ED">
            <w:pPr>
              <w:snapToGrid w:val="0"/>
              <w:spacing w:before="50" w:after="120" w:afterLines="50"/>
              <w:jc w:val="center"/>
              <w:rPr>
                <w:rFonts w:hint="eastAsia" w:ascii="宋体" w:hAnsi="宋体" w:cs="宋体"/>
                <w:color w:val="auto"/>
                <w:sz w:val="22"/>
                <w:szCs w:val="22"/>
                <w:highlight w:val="none"/>
              </w:rPr>
            </w:pPr>
          </w:p>
        </w:tc>
      </w:tr>
    </w:tbl>
    <w:p w14:paraId="21A6BE7D">
      <w:pPr>
        <w:snapToGrid w:val="0"/>
        <w:spacing w:before="50" w:after="120" w:afterLines="50"/>
        <w:jc w:val="left"/>
        <w:rPr>
          <w:rFonts w:hint="eastAsia" w:ascii="宋体" w:hAnsi="宋体" w:cs="宋体"/>
          <w:color w:val="auto"/>
          <w:sz w:val="24"/>
          <w:highlight w:val="none"/>
        </w:rPr>
      </w:pPr>
    </w:p>
    <w:p w14:paraId="43C4DE10">
      <w:pPr>
        <w:snapToGrid w:val="0"/>
        <w:spacing w:before="50" w:after="120" w:afterLines="50"/>
        <w:jc w:val="left"/>
        <w:rPr>
          <w:rFonts w:hint="eastAsia" w:ascii="宋体" w:hAnsi="宋体" w:cs="宋体"/>
          <w:color w:val="auto"/>
          <w:sz w:val="24"/>
          <w:highlight w:val="none"/>
        </w:rPr>
      </w:pPr>
      <w:r>
        <w:rPr>
          <w:rFonts w:hint="eastAsia" w:ascii="宋体" w:hAnsi="宋体" w:cs="宋体"/>
          <w:color w:val="auto"/>
          <w:sz w:val="24"/>
          <w:highlight w:val="none"/>
        </w:rPr>
        <w:t>注：1.本表格式仅供参考，可以扩展；在填写时，如本表格不适合磋商单位的实际情况，可根据本表格式和评分办法要求自行补充或调整。</w:t>
      </w:r>
    </w:p>
    <w:p w14:paraId="5B6A7FFE">
      <w:pPr>
        <w:snapToGrid w:val="0"/>
        <w:spacing w:before="50" w:after="120" w:afterLines="50"/>
        <w:jc w:val="left"/>
        <w:rPr>
          <w:rFonts w:ascii="宋体" w:hAnsi="宋体" w:cs="宋体"/>
          <w:color w:val="auto"/>
          <w:sz w:val="24"/>
          <w:highlight w:val="none"/>
        </w:rPr>
      </w:pPr>
      <w:r>
        <w:rPr>
          <w:rFonts w:hint="eastAsia" w:ascii="宋体" w:hAnsi="宋体"/>
          <w:b/>
          <w:bCs/>
          <w:color w:val="auto"/>
          <w:sz w:val="24"/>
          <w:highlight w:val="none"/>
        </w:rPr>
        <w:t>2.本表为汇总表，可包含房屋安全鉴定机构人员和其他拟投入检测人员，也可以另外单独提供《房屋安全鉴定机构人员一览表》</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应包含现场鉴定检测人员分组</w:t>
      </w:r>
      <w:r>
        <w:rPr>
          <w:rFonts w:hint="eastAsia" w:ascii="宋体" w:hAnsi="宋体"/>
          <w:b/>
          <w:bCs/>
          <w:color w:val="auto"/>
          <w:sz w:val="24"/>
          <w:highlight w:val="none"/>
          <w:lang w:eastAsia="zh-CN"/>
        </w:rPr>
        <w:t>）</w:t>
      </w:r>
      <w:r>
        <w:rPr>
          <w:rFonts w:hint="eastAsia" w:ascii="宋体" w:hAnsi="宋体"/>
          <w:b/>
          <w:bCs/>
          <w:color w:val="auto"/>
          <w:sz w:val="24"/>
          <w:highlight w:val="none"/>
        </w:rPr>
        <w:t>，请根据第二章采购需求的人员要求</w:t>
      </w:r>
      <w:r>
        <w:rPr>
          <w:rFonts w:hint="eastAsia" w:ascii="宋体" w:hAnsi="宋体"/>
          <w:b/>
          <w:bCs/>
          <w:color w:val="auto"/>
          <w:sz w:val="24"/>
          <w:highlight w:val="none"/>
          <w:lang w:val="en-US" w:eastAsia="zh-CN"/>
        </w:rPr>
        <w:t>和评分办法的人员要求</w:t>
      </w:r>
      <w:r>
        <w:rPr>
          <w:rFonts w:hint="eastAsia" w:ascii="宋体" w:hAnsi="宋体"/>
          <w:b/>
          <w:bCs/>
          <w:color w:val="auto"/>
          <w:sz w:val="24"/>
          <w:highlight w:val="none"/>
        </w:rPr>
        <w:t>进行列表修改。格式自拟。</w:t>
      </w:r>
    </w:p>
    <w:p w14:paraId="085FFAAF">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38DACDA4">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213F829">
      <w:pPr>
        <w:autoSpaceDE w:val="0"/>
        <w:autoSpaceDN w:val="0"/>
        <w:spacing w:line="360" w:lineRule="auto"/>
        <w:ind w:firstLine="6480" w:firstLineChars="2700"/>
        <w:rPr>
          <w:rFonts w:hint="eastAsia" w:ascii="宋体" w:hAnsi="宋体" w:cs="宋体"/>
          <w:color w:val="auto"/>
          <w:kern w:val="0"/>
          <w:sz w:val="24"/>
          <w:highlight w:val="none"/>
        </w:rPr>
      </w:pPr>
      <w:r>
        <w:rPr>
          <w:rFonts w:hint="eastAsia" w:ascii="宋体" w:hAnsi="宋体" w:cs="宋体"/>
          <w:color w:val="auto"/>
          <w:kern w:val="0"/>
          <w:sz w:val="24"/>
          <w:highlight w:val="none"/>
        </w:rPr>
        <w:t>日期：  年  月   日</w:t>
      </w:r>
    </w:p>
    <w:p w14:paraId="1D56F65A">
      <w:pPr>
        <w:pStyle w:val="25"/>
        <w:rPr>
          <w:rFonts w:hint="eastAsia"/>
          <w:color w:val="auto"/>
          <w:highlight w:val="none"/>
        </w:rPr>
      </w:pPr>
    </w:p>
    <w:p w14:paraId="19195754">
      <w:pPr>
        <w:autoSpaceDE w:val="0"/>
        <w:autoSpaceDN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w:t>
      </w:r>
    </w:p>
    <w:p w14:paraId="3CC1CE9D">
      <w:pPr>
        <w:pStyle w:val="3"/>
        <w:rPr>
          <w:rFonts w:hint="eastAsia"/>
          <w:color w:val="auto"/>
          <w:highlight w:val="none"/>
        </w:rPr>
      </w:pPr>
    </w:p>
    <w:p w14:paraId="083DF4E5">
      <w:pPr>
        <w:snapToGrid w:val="0"/>
        <w:spacing w:line="360" w:lineRule="auto"/>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十一、服务需求、商务条款要求提供的其他材料</w:t>
      </w:r>
    </w:p>
    <w:p w14:paraId="490BAB0F">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供应商自拟。 </w:t>
      </w:r>
    </w:p>
    <w:p w14:paraId="325CC958">
      <w:pPr>
        <w:autoSpaceDE w:val="0"/>
        <w:autoSpaceDN w:val="0"/>
        <w:spacing w:line="360" w:lineRule="auto"/>
        <w:ind w:firstLine="6505" w:firstLineChars="2700"/>
        <w:rPr>
          <w:rFonts w:hint="eastAsia" w:ascii="宋体" w:hAnsi="宋体" w:cs="宋体"/>
          <w:b/>
          <w:bCs/>
          <w:color w:val="auto"/>
          <w:sz w:val="2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44A29202">
      <w:pPr>
        <w:autoSpaceDE w:val="0"/>
        <w:autoSpaceDN w:val="0"/>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 xml:space="preserve"> </w:t>
      </w:r>
    </w:p>
    <w:p w14:paraId="2C74B9C2">
      <w:pPr>
        <w:pStyle w:val="5"/>
        <w:spacing w:before="0" w:after="0" w:line="360" w:lineRule="auto"/>
        <w:jc w:val="center"/>
        <w:rPr>
          <w:rFonts w:hint="eastAsia" w:ascii="宋体" w:hAnsi="宋体" w:cs="宋体"/>
          <w:color w:val="auto"/>
          <w:highlight w:val="none"/>
        </w:rPr>
      </w:pPr>
      <w:bookmarkStart w:id="101" w:name="_Toc80205941"/>
      <w:bookmarkEnd w:id="101"/>
      <w:bookmarkStart w:id="102" w:name="_Toc13813"/>
      <w:bookmarkStart w:id="103" w:name="_Toc25570"/>
      <w:r>
        <w:rPr>
          <w:rFonts w:hint="eastAsia" w:ascii="宋体" w:hAnsi="宋体" w:cs="宋体"/>
          <w:b w:val="0"/>
          <w:color w:val="auto"/>
          <w:sz w:val="32"/>
          <w:szCs w:val="32"/>
          <w:highlight w:val="none"/>
        </w:rPr>
        <w:t>第四节 报价文件格式</w:t>
      </w:r>
      <w:bookmarkEnd w:id="102"/>
      <w:bookmarkEnd w:id="103"/>
    </w:p>
    <w:p w14:paraId="780E1442">
      <w:pPr>
        <w:snapToGrid w:val="0"/>
        <w:spacing w:before="120" w:beforeLines="50" w:after="50"/>
        <w:rPr>
          <w:rFonts w:hint="eastAsia" w:ascii="宋体" w:hAnsi="宋体" w:cs="宋体"/>
          <w:bCs/>
          <w:color w:val="auto"/>
          <w:sz w:val="32"/>
          <w:szCs w:val="32"/>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47DAD613">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BFF5663">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314F1C0">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B8E6D71">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报  价  文  件（封面）</w:t>
      </w:r>
    </w:p>
    <w:p w14:paraId="5B7926E3">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1E3595CE">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6A721833">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474205B5">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76BED2C0">
      <w:pPr>
        <w:snapToGrid w:val="0"/>
        <w:spacing w:before="120" w:beforeLines="50" w:after="50"/>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7E544715">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7F6B4221">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15F74534">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46C6DB78">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46B81FD0">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4F1E73AD">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6002C1D8">
      <w:pPr>
        <w:pStyle w:val="9"/>
        <w:snapToGrid w:val="0"/>
        <w:spacing w:before="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5FAFECDD">
      <w:pPr>
        <w:pStyle w:val="9"/>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B4B8E24">
      <w:pPr>
        <w:pStyle w:val="9"/>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20B3FA71">
      <w:pPr>
        <w:pStyle w:val="9"/>
        <w:snapToGrid w:val="0"/>
        <w:spacing w:before="50" w:after="50"/>
        <w:ind w:firstLine="1280" w:firstLineChars="400"/>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9E2F7B1">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7B487057">
      <w:pPr>
        <w:snapToGrid w:val="0"/>
        <w:spacing w:before="120" w:beforeLines="50" w:after="50" w:line="400" w:lineRule="exact"/>
        <w:jc w:val="center"/>
        <w:rPr>
          <w:rFonts w:hint="eastAsia"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报价文件目录</w:t>
      </w:r>
    </w:p>
    <w:p w14:paraId="52F8C398">
      <w:pPr>
        <w:rPr>
          <w:rFonts w:hint="eastAsia" w:ascii="宋体" w:hAnsi="宋体" w:cs="宋体"/>
          <w:color w:val="auto"/>
          <w:szCs w:val="21"/>
          <w:highlight w:val="none"/>
        </w:rPr>
      </w:pPr>
      <w:r>
        <w:rPr>
          <w:rFonts w:hint="eastAsia" w:ascii="宋体" w:hAnsi="宋体" w:cs="宋体"/>
          <w:color w:val="auto"/>
          <w:highlight w:val="none"/>
        </w:rPr>
        <w:t xml:space="preserve"> </w:t>
      </w:r>
    </w:p>
    <w:p w14:paraId="11241238">
      <w:pPr>
        <w:rPr>
          <w:rFonts w:hint="eastAsia" w:ascii="宋体" w:hAnsi="宋体" w:cs="宋体"/>
          <w:color w:val="auto"/>
          <w:kern w:val="0"/>
          <w:sz w:val="24"/>
          <w:highlight w:val="none"/>
        </w:rPr>
      </w:pPr>
      <w:r>
        <w:rPr>
          <w:rFonts w:hint="eastAsia" w:ascii="宋体" w:hAnsi="宋体" w:cs="宋体"/>
          <w:color w:val="auto"/>
          <w:kern w:val="0"/>
          <w:sz w:val="24"/>
          <w:highlight w:val="none"/>
        </w:rPr>
        <w:t>一、响应函………………………………………………………（页码）</w:t>
      </w:r>
    </w:p>
    <w:p w14:paraId="5C88C002">
      <w:pPr>
        <w:rPr>
          <w:rFonts w:hint="eastAsia" w:ascii="宋体" w:hAnsi="宋体" w:cs="宋体"/>
          <w:color w:val="auto"/>
          <w:kern w:val="0"/>
          <w:sz w:val="24"/>
          <w:highlight w:val="none"/>
        </w:rPr>
      </w:pPr>
      <w:r>
        <w:rPr>
          <w:rFonts w:hint="eastAsia" w:ascii="宋体" w:hAnsi="宋体" w:cs="宋体"/>
          <w:color w:val="auto"/>
          <w:kern w:val="0"/>
          <w:sz w:val="24"/>
          <w:highlight w:val="none"/>
        </w:rPr>
        <w:t>二、响应报价表…………………………………………………（页码）</w:t>
      </w:r>
    </w:p>
    <w:p w14:paraId="15024C2F">
      <w:pPr>
        <w:rPr>
          <w:rFonts w:ascii="宋体" w:hAnsi="宋体" w:cs="宋体"/>
          <w:color w:val="auto"/>
          <w:kern w:val="0"/>
          <w:sz w:val="24"/>
          <w:highlight w:val="none"/>
        </w:rPr>
      </w:pPr>
      <w:r>
        <w:rPr>
          <w:rFonts w:hint="eastAsia" w:ascii="宋体" w:hAnsi="宋体" w:cs="宋体"/>
          <w:color w:val="auto"/>
          <w:kern w:val="0"/>
          <w:sz w:val="24"/>
          <w:highlight w:val="none"/>
        </w:rPr>
        <w:t>三、中小企业声明函或残疾人福利性单位声明函或属于监狱企业的证明文件（如有）…………………………………（页码）</w:t>
      </w:r>
    </w:p>
    <w:p w14:paraId="10CA9CA1">
      <w:pPr>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w:t>
      </w:r>
    </w:p>
    <w:p w14:paraId="7175CAF6">
      <w:pPr>
        <w:snapToGrid w:val="0"/>
        <w:spacing w:before="120" w:beforeLines="50" w:after="50" w:line="360" w:lineRule="auto"/>
        <w:ind w:left="142" w:firstLine="562" w:firstLineChars="200"/>
        <w:jc w:val="left"/>
        <w:rPr>
          <w:rFonts w:hint="eastAsia" w:ascii="宋体" w:hAnsi="宋体" w:cs="宋体"/>
          <w:color w:val="auto"/>
          <w:sz w:val="24"/>
          <w:highlight w:val="none"/>
        </w:rPr>
      </w:pPr>
      <w:r>
        <w:rPr>
          <w:rFonts w:hint="eastAsia"/>
          <w:b/>
          <w:bCs/>
          <w:color w:val="auto"/>
          <w:sz w:val="28"/>
          <w:szCs w:val="36"/>
          <w:highlight w:val="none"/>
          <w:lang w:val="en-US" w:eastAsia="zh-CN"/>
        </w:rPr>
        <w:t>备注：联合体竞标时，</w:t>
      </w:r>
      <w:r>
        <w:rPr>
          <w:rFonts w:hint="eastAsia"/>
          <w:b/>
          <w:bCs/>
          <w:color w:val="auto"/>
          <w:sz w:val="28"/>
          <w:szCs w:val="36"/>
          <w:highlight w:val="none"/>
        </w:rPr>
        <w:t>供应商名称</w:t>
      </w:r>
      <w:r>
        <w:rPr>
          <w:rFonts w:hint="eastAsia"/>
          <w:b/>
          <w:bCs/>
          <w:color w:val="auto"/>
          <w:sz w:val="28"/>
          <w:szCs w:val="36"/>
          <w:highlight w:val="none"/>
          <w:lang w:val="en-US" w:eastAsia="zh-CN"/>
        </w:rPr>
        <w:t>应为联合体的名称。</w:t>
      </w:r>
      <w:r>
        <w:rPr>
          <w:rFonts w:hint="eastAsia" w:ascii="宋体" w:hAnsi="宋体" w:cs="宋体"/>
          <w:color w:val="auto"/>
          <w:sz w:val="24"/>
          <w:highlight w:val="none"/>
        </w:rPr>
        <w:br w:type="page"/>
      </w:r>
      <w:r>
        <w:rPr>
          <w:rFonts w:hint="eastAsia" w:ascii="宋体" w:hAnsi="宋体" w:cs="宋体"/>
          <w:b/>
          <w:bCs/>
          <w:color w:val="auto"/>
          <w:sz w:val="32"/>
          <w:szCs w:val="32"/>
          <w:highlight w:val="none"/>
        </w:rPr>
        <w:t>一、响应函</w:t>
      </w:r>
    </w:p>
    <w:p w14:paraId="0326FD34">
      <w:pPr>
        <w:pStyle w:val="14"/>
        <w:spacing w:line="500" w:lineRule="exact"/>
        <w:jc w:val="center"/>
        <w:rPr>
          <w:rFonts w:hint="eastAsia" w:hAnsi="宋体" w:cs="宋体"/>
          <w:b/>
          <w:bCs/>
          <w:color w:val="auto"/>
          <w:sz w:val="30"/>
          <w:szCs w:val="30"/>
          <w:highlight w:val="none"/>
        </w:rPr>
      </w:pPr>
      <w:r>
        <w:rPr>
          <w:rFonts w:hint="eastAsia" w:hAnsi="宋体" w:cs="宋体"/>
          <w:b/>
          <w:bCs/>
          <w:color w:val="auto"/>
          <w:sz w:val="30"/>
          <w:szCs w:val="30"/>
          <w:highlight w:val="none"/>
        </w:rPr>
        <w:t>响应函</w:t>
      </w:r>
    </w:p>
    <w:p w14:paraId="6D23F750">
      <w:pPr>
        <w:pStyle w:val="14"/>
        <w:spacing w:line="360" w:lineRule="auto"/>
        <w:rPr>
          <w:rFonts w:hint="eastAsia" w:hAnsi="宋体" w:cs="宋体"/>
          <w:color w:val="auto"/>
          <w:sz w:val="21"/>
          <w:highlight w:val="none"/>
        </w:rPr>
      </w:pPr>
      <w:r>
        <w:rPr>
          <w:rFonts w:hint="eastAsia" w:hAnsi="宋体" w:cs="宋体"/>
          <w:color w:val="auto"/>
          <w:sz w:val="21"/>
          <w:highlight w:val="none"/>
        </w:rPr>
        <w:t>致采购人：</w:t>
      </w:r>
      <w:r>
        <w:rPr>
          <w:rFonts w:hint="eastAsia" w:hAnsi="宋体" w:cs="宋体"/>
          <w:color w:val="auto"/>
          <w:sz w:val="21"/>
          <w:highlight w:val="none"/>
          <w:u w:val="single"/>
        </w:rPr>
        <w:t xml:space="preserve">                </w:t>
      </w:r>
    </w:p>
    <w:p w14:paraId="5E0F800E">
      <w:pPr>
        <w:pStyle w:val="14"/>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我方已仔细阅读了贵方组织的</w:t>
      </w:r>
      <w:r>
        <w:rPr>
          <w:rFonts w:hint="eastAsia" w:hAnsi="宋体" w:cs="宋体"/>
          <w:color w:val="auto"/>
          <w:sz w:val="21"/>
          <w:highlight w:val="none"/>
          <w:u w:val="single"/>
        </w:rPr>
        <w:t xml:space="preserve">             </w:t>
      </w:r>
      <w:r>
        <w:rPr>
          <w:rFonts w:hint="eastAsia" w:hAnsi="宋体" w:cs="宋体"/>
          <w:color w:val="auto"/>
          <w:sz w:val="21"/>
          <w:highlight w:val="none"/>
        </w:rPr>
        <w:t>项目（项目编号：</w:t>
      </w:r>
      <w:r>
        <w:rPr>
          <w:rFonts w:hint="eastAsia" w:hAnsi="宋体" w:cs="宋体"/>
          <w:color w:val="auto"/>
          <w:sz w:val="21"/>
          <w:highlight w:val="none"/>
          <w:u w:val="single"/>
        </w:rPr>
        <w:t xml:space="preserve">              </w:t>
      </w:r>
      <w:r>
        <w:rPr>
          <w:rFonts w:hint="eastAsia" w:hAnsi="宋体" w:cs="宋体"/>
          <w:color w:val="auto"/>
          <w:sz w:val="21"/>
          <w:highlight w:val="none"/>
        </w:rPr>
        <w:t xml:space="preserve">）的竞争性磋商采购文件的全部内容，现正式递交下述文件参加贵方组织的本次政府采购活动： </w:t>
      </w:r>
    </w:p>
    <w:p w14:paraId="1F6A0634">
      <w:pPr>
        <w:pStyle w:val="14"/>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一、首次报价文件电子版</w:t>
      </w:r>
      <w:r>
        <w:rPr>
          <w:rFonts w:hint="eastAsia" w:hAnsi="宋体" w:cs="宋体"/>
          <w:color w:val="auto"/>
          <w:sz w:val="21"/>
          <w:highlight w:val="none"/>
          <w:u w:val="single"/>
        </w:rPr>
        <w:t xml:space="preserve"> 1  </w:t>
      </w:r>
      <w:r>
        <w:rPr>
          <w:rFonts w:hint="eastAsia" w:hAnsi="宋体" w:cs="宋体"/>
          <w:color w:val="auto"/>
          <w:sz w:val="21"/>
          <w:highlight w:val="none"/>
        </w:rPr>
        <w:t>份（包含按“第三章 供应商须知”提交的全部文件）；</w:t>
      </w:r>
    </w:p>
    <w:p w14:paraId="1DF1FC26">
      <w:pPr>
        <w:pStyle w:val="14"/>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二、技术文件电子版</w:t>
      </w:r>
      <w:r>
        <w:rPr>
          <w:rFonts w:hint="eastAsia" w:hAnsi="宋体" w:cs="宋体"/>
          <w:color w:val="auto"/>
          <w:sz w:val="21"/>
          <w:highlight w:val="none"/>
          <w:u w:val="single"/>
        </w:rPr>
        <w:t xml:space="preserve">  1 </w:t>
      </w:r>
      <w:r>
        <w:rPr>
          <w:rFonts w:hint="eastAsia" w:hAnsi="宋体" w:cs="宋体"/>
          <w:color w:val="auto"/>
          <w:sz w:val="21"/>
          <w:highlight w:val="none"/>
        </w:rPr>
        <w:t>份（包含按“第三章 供应商须知”提交的全部文件）；商务文件电子版</w:t>
      </w:r>
      <w:r>
        <w:rPr>
          <w:rFonts w:hint="eastAsia" w:hAnsi="宋体" w:cs="宋体"/>
          <w:color w:val="auto"/>
          <w:sz w:val="21"/>
          <w:highlight w:val="none"/>
          <w:u w:val="single"/>
        </w:rPr>
        <w:t xml:space="preserve">  1 </w:t>
      </w:r>
      <w:r>
        <w:rPr>
          <w:rFonts w:hint="eastAsia" w:hAnsi="宋体" w:cs="宋体"/>
          <w:color w:val="auto"/>
          <w:sz w:val="21"/>
          <w:highlight w:val="none"/>
        </w:rPr>
        <w:t>份（包含按“第三章 供应商须知”提交的全部文件）；（商务技术文件已合并装订成册）；</w:t>
      </w:r>
    </w:p>
    <w:p w14:paraId="0B6647E2">
      <w:pPr>
        <w:pStyle w:val="14"/>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三、资格证明文件电子版（包含按“第三章供应商须知”提交的全部文件）；</w:t>
      </w:r>
    </w:p>
    <w:p w14:paraId="3F1F5FFE">
      <w:pPr>
        <w:pStyle w:val="14"/>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据此函，签字人兹宣布：</w:t>
      </w:r>
    </w:p>
    <w:p w14:paraId="6BCC213C">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1、我方愿意以（大写）人民币</w:t>
      </w:r>
      <w:r>
        <w:rPr>
          <w:rFonts w:hint="eastAsia" w:hAnsi="宋体" w:cs="宋体"/>
          <w:color w:val="auto"/>
          <w:sz w:val="21"/>
          <w:highlight w:val="none"/>
          <w:u w:val="single"/>
        </w:rPr>
        <w:t xml:space="preserve">              </w:t>
      </w:r>
      <w:r>
        <w:rPr>
          <w:rFonts w:hint="eastAsia" w:hAnsi="宋体" w:cs="宋体"/>
          <w:color w:val="auto"/>
          <w:sz w:val="21"/>
          <w:highlight w:val="none"/>
        </w:rPr>
        <w:t>（￥</w:t>
      </w:r>
      <w:r>
        <w:rPr>
          <w:rFonts w:hint="eastAsia" w:hAnsi="宋体" w:cs="宋体"/>
          <w:color w:val="auto"/>
          <w:sz w:val="21"/>
          <w:highlight w:val="none"/>
          <w:u w:val="single"/>
        </w:rPr>
        <w:t xml:space="preserve">          </w:t>
      </w:r>
      <w:r>
        <w:rPr>
          <w:rFonts w:hint="eastAsia" w:hAnsi="宋体" w:cs="宋体"/>
          <w:color w:val="auto"/>
          <w:sz w:val="21"/>
          <w:highlight w:val="none"/>
        </w:rPr>
        <w:t>元)的竞标总报价，合同履约期限（无分标时填写）：</w:t>
      </w:r>
      <w:r>
        <w:rPr>
          <w:rFonts w:hint="eastAsia" w:hAnsi="宋体" w:cs="宋体"/>
          <w:color w:val="auto"/>
          <w:sz w:val="21"/>
          <w:highlight w:val="none"/>
          <w:u w:val="single"/>
        </w:rPr>
        <w:t xml:space="preserve">            </w:t>
      </w:r>
      <w:r>
        <w:rPr>
          <w:rFonts w:hint="eastAsia" w:hAnsi="宋体" w:cs="宋体"/>
          <w:color w:val="auto"/>
          <w:sz w:val="21"/>
          <w:highlight w:val="none"/>
        </w:rPr>
        <w:t>，提供本项目竞争性磋商采购文件第二章“服务需求一览表”中相应的采购内容。</w:t>
      </w:r>
    </w:p>
    <w:p w14:paraId="2F076DA6">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其中（有分标时填写）：</w:t>
      </w:r>
    </w:p>
    <w:p w14:paraId="4154B274">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u w:val="single"/>
        </w:rPr>
        <w:t xml:space="preserve">    </w:t>
      </w:r>
      <w:r>
        <w:rPr>
          <w:rFonts w:hint="eastAsia" w:hAnsi="宋体" w:cs="宋体"/>
          <w:color w:val="auto"/>
          <w:sz w:val="21"/>
          <w:highlight w:val="none"/>
        </w:rPr>
        <w:t>分标报价为（大写）人民币</w:t>
      </w:r>
      <w:r>
        <w:rPr>
          <w:rFonts w:hint="eastAsia" w:hAnsi="宋体" w:cs="宋体"/>
          <w:color w:val="auto"/>
          <w:sz w:val="21"/>
          <w:highlight w:val="none"/>
          <w:u w:val="single"/>
        </w:rPr>
        <w:t xml:space="preserve">               </w:t>
      </w:r>
      <w:r>
        <w:rPr>
          <w:rFonts w:hint="eastAsia" w:hAnsi="宋体" w:cs="宋体"/>
          <w:color w:val="auto"/>
          <w:sz w:val="21"/>
          <w:highlight w:val="none"/>
        </w:rPr>
        <w:t xml:space="preserve"> (￥</w:t>
      </w:r>
      <w:r>
        <w:rPr>
          <w:rFonts w:hint="eastAsia" w:hAnsi="宋体" w:cs="宋体"/>
          <w:color w:val="auto"/>
          <w:sz w:val="21"/>
          <w:highlight w:val="none"/>
          <w:u w:val="single"/>
        </w:rPr>
        <w:t xml:space="preserve">           </w:t>
      </w:r>
      <w:r>
        <w:rPr>
          <w:rFonts w:hint="eastAsia" w:hAnsi="宋体" w:cs="宋体"/>
          <w:color w:val="auto"/>
          <w:sz w:val="21"/>
          <w:highlight w:val="none"/>
        </w:rPr>
        <w:t>元)，服务时间：</w:t>
      </w:r>
      <w:r>
        <w:rPr>
          <w:rFonts w:hint="eastAsia" w:hAnsi="宋体" w:cs="宋体"/>
          <w:color w:val="auto"/>
          <w:sz w:val="21"/>
          <w:highlight w:val="none"/>
          <w:u w:val="single"/>
        </w:rPr>
        <w:t xml:space="preserve">          </w:t>
      </w:r>
      <w:r>
        <w:rPr>
          <w:rFonts w:hint="eastAsia" w:hAnsi="宋体" w:cs="宋体"/>
          <w:color w:val="auto"/>
          <w:sz w:val="21"/>
          <w:highlight w:val="none"/>
        </w:rPr>
        <w:t>；</w:t>
      </w:r>
    </w:p>
    <w:p w14:paraId="7CED1220">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u w:val="single"/>
        </w:rPr>
        <w:t xml:space="preserve">    </w:t>
      </w:r>
      <w:r>
        <w:rPr>
          <w:rFonts w:hint="eastAsia" w:hAnsi="宋体" w:cs="宋体"/>
          <w:color w:val="auto"/>
          <w:sz w:val="21"/>
          <w:highlight w:val="none"/>
        </w:rPr>
        <w:t>分标报价为（大写）人民币</w:t>
      </w:r>
      <w:r>
        <w:rPr>
          <w:rFonts w:hint="eastAsia" w:hAnsi="宋体" w:cs="宋体"/>
          <w:color w:val="auto"/>
          <w:sz w:val="21"/>
          <w:highlight w:val="none"/>
          <w:u w:val="single"/>
        </w:rPr>
        <w:t xml:space="preserve">               </w:t>
      </w:r>
      <w:r>
        <w:rPr>
          <w:rFonts w:hint="eastAsia" w:hAnsi="宋体" w:cs="宋体"/>
          <w:color w:val="auto"/>
          <w:sz w:val="21"/>
          <w:highlight w:val="none"/>
        </w:rPr>
        <w:t xml:space="preserve"> (￥</w:t>
      </w:r>
      <w:r>
        <w:rPr>
          <w:rFonts w:hint="eastAsia" w:hAnsi="宋体" w:cs="宋体"/>
          <w:color w:val="auto"/>
          <w:sz w:val="21"/>
          <w:highlight w:val="none"/>
          <w:u w:val="single"/>
        </w:rPr>
        <w:t xml:space="preserve">           </w:t>
      </w:r>
      <w:r>
        <w:rPr>
          <w:rFonts w:hint="eastAsia" w:hAnsi="宋体" w:cs="宋体"/>
          <w:color w:val="auto"/>
          <w:sz w:val="21"/>
          <w:highlight w:val="none"/>
        </w:rPr>
        <w:t>元)，服务时间：</w:t>
      </w:r>
      <w:r>
        <w:rPr>
          <w:rFonts w:hint="eastAsia" w:hAnsi="宋体" w:cs="宋体"/>
          <w:color w:val="auto"/>
          <w:sz w:val="21"/>
          <w:highlight w:val="none"/>
          <w:u w:val="single"/>
        </w:rPr>
        <w:t xml:space="preserve">          </w:t>
      </w:r>
      <w:r>
        <w:rPr>
          <w:rFonts w:hint="eastAsia" w:hAnsi="宋体" w:cs="宋体"/>
          <w:color w:val="auto"/>
          <w:sz w:val="21"/>
          <w:highlight w:val="none"/>
        </w:rPr>
        <w:t>；</w:t>
      </w:r>
    </w:p>
    <w:p w14:paraId="093A7411">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w:t>
      </w:r>
    </w:p>
    <w:p w14:paraId="1C9E712A">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2、我方同意自本项目竞争性磋商采购文件采购公告规定的递交响应文件截止时间起遵循本响应函，并承诺在“第三章 供应商须知”规定的响应有效期内不修改、撤销响应文件。</w:t>
      </w:r>
    </w:p>
    <w:p w14:paraId="539088C0">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3、我方在此声明，所递交的响应文件及有关资料内容完整、真实和准确。</w:t>
      </w:r>
    </w:p>
    <w:p w14:paraId="0028DEA4">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4、如本项目采购内容涉及须符合国家强制规定的，我方承诺我方本次竞标均符合国家有关强制规定。</w:t>
      </w:r>
    </w:p>
    <w:p w14:paraId="2B48F59E">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6611F1D3">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6、我方已详细审核竞争性磋商采购文件，我方知道必须放弃提出含糊不清或误解问题的权利。</w:t>
      </w:r>
      <w:r>
        <w:rPr>
          <w:rFonts w:hint="eastAsia" w:hAnsi="宋体" w:cs="宋体"/>
          <w:b/>
          <w:bCs/>
          <w:color w:val="auto"/>
          <w:sz w:val="21"/>
          <w:highlight w:val="none"/>
        </w:rPr>
        <w:t>我方承诺：进入磋商报价环节后，如我方未主动发出退出磋商的书面申请时，我方在规定的报价应答时间期限内没有按时完成二次（或最终）磋商报价的，视为我方默认首次报价为二次（或最终）报价。我方同意以本《磋商响应函》的承诺为证，作为我方磋商和最终报价的重要依据。</w:t>
      </w:r>
    </w:p>
    <w:p w14:paraId="1C81D796">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7、我方承诺满足竞争性磋商采购文件第六章“合同文本”的条款，承担完成合同的责任和义务。</w:t>
      </w:r>
    </w:p>
    <w:p w14:paraId="0B09CD11">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8、我方同意应贵方要求提供与本竞标有关的任何数据或资料。若贵方需要，我方愿意提供我方作出的一切承诺的证明材料。</w:t>
      </w:r>
    </w:p>
    <w:p w14:paraId="76D831A3">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9、我方完全理解贵方不一定接受响应报价最低的供应商为成交供应商的行为。</w:t>
      </w:r>
    </w:p>
    <w:p w14:paraId="029BF2A7">
      <w:pPr>
        <w:pStyle w:val="14"/>
        <w:spacing w:line="360" w:lineRule="auto"/>
        <w:ind w:firstLine="482"/>
        <w:rPr>
          <w:rFonts w:hint="eastAsia" w:hAnsi="宋体" w:cs="宋体"/>
          <w:color w:val="auto"/>
          <w:sz w:val="21"/>
          <w:highlight w:val="none"/>
        </w:rPr>
      </w:pPr>
      <w:r>
        <w:rPr>
          <w:rFonts w:hint="eastAsia" w:hAnsi="宋体" w:cs="宋体"/>
          <w:color w:val="auto"/>
          <w:sz w:val="21"/>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0AAC8C1">
      <w:pPr>
        <w:pStyle w:val="14"/>
        <w:spacing w:line="360" w:lineRule="auto"/>
        <w:rPr>
          <w:rFonts w:hint="eastAsia" w:hAnsi="宋体" w:cs="宋体"/>
          <w:color w:val="auto"/>
          <w:sz w:val="21"/>
          <w:highlight w:val="none"/>
        </w:rPr>
      </w:pPr>
      <w:r>
        <w:rPr>
          <w:rFonts w:hint="eastAsia" w:hAnsi="宋体" w:cs="宋体"/>
          <w:color w:val="auto"/>
          <w:sz w:val="21"/>
          <w:highlight w:val="none"/>
        </w:rPr>
        <w:t>提供虚假材料谋取中标、成交的；</w:t>
      </w:r>
    </w:p>
    <w:p w14:paraId="37754132">
      <w:pPr>
        <w:pStyle w:val="14"/>
        <w:spacing w:line="360" w:lineRule="auto"/>
        <w:rPr>
          <w:rFonts w:hint="eastAsia" w:hAnsi="宋体" w:cs="宋体"/>
          <w:color w:val="auto"/>
          <w:sz w:val="21"/>
          <w:highlight w:val="none"/>
        </w:rPr>
      </w:pPr>
      <w:r>
        <w:rPr>
          <w:rFonts w:hint="eastAsia" w:hAnsi="宋体" w:cs="宋体"/>
          <w:color w:val="auto"/>
          <w:sz w:val="21"/>
          <w:highlight w:val="none"/>
        </w:rPr>
        <w:t>采取不正当手段诋毁、排挤其他供应商的；</w:t>
      </w:r>
    </w:p>
    <w:p w14:paraId="26BF9C0C">
      <w:pPr>
        <w:pStyle w:val="14"/>
        <w:spacing w:line="360" w:lineRule="auto"/>
        <w:rPr>
          <w:rFonts w:hint="eastAsia" w:hAnsi="宋体" w:cs="宋体"/>
          <w:color w:val="auto"/>
          <w:sz w:val="21"/>
          <w:highlight w:val="none"/>
        </w:rPr>
      </w:pPr>
      <w:r>
        <w:rPr>
          <w:rFonts w:hint="eastAsia" w:hAnsi="宋体" w:cs="宋体"/>
          <w:color w:val="auto"/>
          <w:sz w:val="21"/>
          <w:highlight w:val="none"/>
        </w:rPr>
        <w:t>与采购人、其他供应商或者采购代理机构恶意串通的；</w:t>
      </w:r>
    </w:p>
    <w:p w14:paraId="173D4684">
      <w:pPr>
        <w:pStyle w:val="14"/>
        <w:spacing w:line="360" w:lineRule="auto"/>
        <w:rPr>
          <w:rFonts w:hint="eastAsia" w:hAnsi="宋体" w:cs="宋体"/>
          <w:color w:val="auto"/>
          <w:sz w:val="21"/>
          <w:highlight w:val="none"/>
        </w:rPr>
      </w:pPr>
      <w:r>
        <w:rPr>
          <w:rFonts w:hint="eastAsia" w:hAnsi="宋体" w:cs="宋体"/>
          <w:color w:val="auto"/>
          <w:sz w:val="21"/>
          <w:highlight w:val="none"/>
        </w:rPr>
        <w:t>向采购人、采购代理机构行贿或者提供其他不正当利益的；</w:t>
      </w:r>
    </w:p>
    <w:p w14:paraId="46FB3018">
      <w:pPr>
        <w:pStyle w:val="14"/>
        <w:spacing w:line="360" w:lineRule="auto"/>
        <w:rPr>
          <w:rFonts w:hint="eastAsia" w:hAnsi="宋体" w:cs="宋体"/>
          <w:color w:val="auto"/>
          <w:sz w:val="21"/>
          <w:highlight w:val="none"/>
        </w:rPr>
      </w:pPr>
      <w:r>
        <w:rPr>
          <w:rFonts w:hint="eastAsia" w:hAnsi="宋体" w:cs="宋体"/>
          <w:color w:val="auto"/>
          <w:sz w:val="21"/>
          <w:highlight w:val="none"/>
        </w:rPr>
        <w:t>在采购过程中与采购人进行协商谈判的；</w:t>
      </w:r>
    </w:p>
    <w:p w14:paraId="757ED52F">
      <w:pPr>
        <w:pStyle w:val="14"/>
        <w:spacing w:line="360" w:lineRule="auto"/>
        <w:rPr>
          <w:rFonts w:hint="eastAsia" w:hAnsi="宋体" w:cs="宋体"/>
          <w:color w:val="auto"/>
          <w:sz w:val="21"/>
          <w:highlight w:val="none"/>
        </w:rPr>
      </w:pPr>
      <w:r>
        <w:rPr>
          <w:rFonts w:hint="eastAsia" w:hAnsi="宋体" w:cs="宋体"/>
          <w:color w:val="auto"/>
          <w:sz w:val="21"/>
          <w:highlight w:val="none"/>
        </w:rPr>
        <w:t>拒绝有关部门监督检查或提供虚假情况的。</w:t>
      </w:r>
    </w:p>
    <w:p w14:paraId="413E5978">
      <w:pPr>
        <w:pStyle w:val="14"/>
        <w:spacing w:line="360" w:lineRule="auto"/>
        <w:ind w:firstLine="420"/>
        <w:rPr>
          <w:rFonts w:hint="eastAsia" w:hAnsi="宋体" w:cs="宋体"/>
          <w:color w:val="auto"/>
          <w:sz w:val="21"/>
          <w:highlight w:val="none"/>
        </w:rPr>
      </w:pPr>
      <w:r>
        <w:rPr>
          <w:rFonts w:hint="eastAsia" w:hAnsi="宋体" w:cs="宋体"/>
          <w:color w:val="auto"/>
          <w:sz w:val="21"/>
          <w:highlight w:val="none"/>
        </w:rPr>
        <w:t>11.与本磋商有关的一切正式往来信函请寄：</w:t>
      </w:r>
      <w:r>
        <w:rPr>
          <w:rFonts w:hint="eastAsia" w:hAnsi="宋体" w:cs="宋体"/>
          <w:color w:val="auto"/>
          <w:sz w:val="21"/>
          <w:highlight w:val="none"/>
          <w:u w:val="single"/>
        </w:rPr>
        <w:t xml:space="preserve"> </w:t>
      </w:r>
    </w:p>
    <w:p w14:paraId="2A74D964">
      <w:pPr>
        <w:pStyle w:val="14"/>
        <w:spacing w:line="360" w:lineRule="auto"/>
        <w:ind w:firstLine="420"/>
        <w:rPr>
          <w:rFonts w:hint="eastAsia" w:hAnsi="宋体" w:cs="宋体"/>
          <w:color w:val="auto"/>
          <w:sz w:val="21"/>
          <w:highlight w:val="none"/>
        </w:rPr>
      </w:pPr>
      <w:r>
        <w:rPr>
          <w:rFonts w:hint="eastAsia" w:hAnsi="宋体" w:cs="宋体"/>
          <w:color w:val="auto"/>
          <w:sz w:val="21"/>
          <w:highlight w:val="none"/>
        </w:rPr>
        <w:t>地址：</w:t>
      </w:r>
      <w:r>
        <w:rPr>
          <w:rFonts w:hint="eastAsia" w:hAnsi="宋体" w:cs="宋体"/>
          <w:color w:val="auto"/>
          <w:sz w:val="21"/>
          <w:highlight w:val="none"/>
          <w:u w:val="single"/>
        </w:rPr>
        <w:t xml:space="preserve">                                                        </w:t>
      </w:r>
      <w:r>
        <w:rPr>
          <w:rFonts w:hint="eastAsia" w:hAnsi="宋体" w:cs="宋体"/>
          <w:color w:val="auto"/>
          <w:sz w:val="21"/>
          <w:highlight w:val="none"/>
        </w:rPr>
        <w:t xml:space="preserve"> </w:t>
      </w:r>
    </w:p>
    <w:p w14:paraId="18A7D250">
      <w:pPr>
        <w:pStyle w:val="14"/>
        <w:spacing w:line="360" w:lineRule="auto"/>
        <w:ind w:firstLine="420"/>
        <w:rPr>
          <w:rFonts w:hint="eastAsia" w:hAnsi="宋体" w:cs="宋体"/>
          <w:color w:val="auto"/>
          <w:sz w:val="21"/>
          <w:highlight w:val="none"/>
          <w:u w:val="single"/>
        </w:rPr>
      </w:pPr>
      <w:r>
        <w:rPr>
          <w:rFonts w:hint="eastAsia" w:hAnsi="宋体" w:cs="宋体"/>
          <w:color w:val="auto"/>
          <w:sz w:val="21"/>
          <w:highlight w:val="none"/>
        </w:rPr>
        <w:t>电话：</w:t>
      </w:r>
      <w:r>
        <w:rPr>
          <w:rFonts w:hint="eastAsia" w:hAnsi="宋体" w:cs="宋体"/>
          <w:color w:val="auto"/>
          <w:sz w:val="21"/>
          <w:highlight w:val="none"/>
          <w:u w:val="single"/>
        </w:rPr>
        <w:t xml:space="preserve">                                               </w:t>
      </w:r>
    </w:p>
    <w:p w14:paraId="71586088">
      <w:pPr>
        <w:pStyle w:val="14"/>
        <w:spacing w:line="360" w:lineRule="auto"/>
        <w:ind w:firstLine="420"/>
        <w:rPr>
          <w:rFonts w:hint="eastAsia" w:hAnsi="宋体" w:cs="宋体"/>
          <w:color w:val="auto"/>
          <w:sz w:val="21"/>
          <w:highlight w:val="none"/>
        </w:rPr>
      </w:pPr>
      <w:r>
        <w:rPr>
          <w:rFonts w:hint="eastAsia" w:hAnsi="宋体" w:cs="宋体"/>
          <w:color w:val="auto"/>
          <w:sz w:val="21"/>
          <w:highlight w:val="none"/>
        </w:rPr>
        <w:t>传真：</w:t>
      </w:r>
      <w:r>
        <w:rPr>
          <w:rFonts w:hint="eastAsia" w:hAnsi="宋体" w:cs="宋体"/>
          <w:color w:val="auto"/>
          <w:sz w:val="21"/>
          <w:highlight w:val="none"/>
          <w:u w:val="single"/>
        </w:rPr>
        <w:t xml:space="preserve">                            </w:t>
      </w:r>
    </w:p>
    <w:p w14:paraId="05E4DA0B">
      <w:pPr>
        <w:pStyle w:val="14"/>
        <w:spacing w:line="360" w:lineRule="auto"/>
        <w:ind w:firstLine="420"/>
        <w:rPr>
          <w:rFonts w:hint="eastAsia" w:hAnsi="宋体" w:cs="宋体"/>
          <w:color w:val="auto"/>
          <w:sz w:val="21"/>
          <w:highlight w:val="none"/>
          <w:u w:val="single"/>
        </w:rPr>
      </w:pPr>
      <w:r>
        <w:rPr>
          <w:rFonts w:hint="eastAsia" w:hAnsi="宋体" w:cs="宋体"/>
          <w:color w:val="auto"/>
          <w:sz w:val="21"/>
          <w:highlight w:val="none"/>
        </w:rPr>
        <w:t>邮政编码：</w:t>
      </w:r>
      <w:r>
        <w:rPr>
          <w:rFonts w:hint="eastAsia" w:hAnsi="宋体" w:cs="宋体"/>
          <w:color w:val="auto"/>
          <w:sz w:val="21"/>
          <w:highlight w:val="none"/>
          <w:u w:val="single"/>
        </w:rPr>
        <w:t xml:space="preserve">                                                    </w:t>
      </w:r>
    </w:p>
    <w:p w14:paraId="05ADA6F4">
      <w:pPr>
        <w:pStyle w:val="14"/>
        <w:spacing w:line="360" w:lineRule="auto"/>
        <w:ind w:firstLine="420"/>
        <w:rPr>
          <w:rFonts w:hint="eastAsia" w:hAnsi="宋体" w:cs="宋体"/>
          <w:color w:val="auto"/>
          <w:sz w:val="21"/>
          <w:highlight w:val="none"/>
          <w:u w:val="single"/>
        </w:rPr>
      </w:pPr>
      <w:r>
        <w:rPr>
          <w:rFonts w:hint="eastAsia" w:hAnsi="宋体" w:cs="宋体"/>
          <w:color w:val="auto"/>
          <w:sz w:val="21"/>
          <w:highlight w:val="none"/>
        </w:rPr>
        <w:t>开户名称：</w:t>
      </w:r>
      <w:r>
        <w:rPr>
          <w:rFonts w:hint="eastAsia" w:hAnsi="宋体" w:cs="宋体"/>
          <w:color w:val="auto"/>
          <w:sz w:val="21"/>
          <w:highlight w:val="none"/>
          <w:u w:val="single"/>
        </w:rPr>
        <w:t xml:space="preserve">                                                    </w:t>
      </w:r>
    </w:p>
    <w:p w14:paraId="78D9E10B">
      <w:pPr>
        <w:pStyle w:val="14"/>
        <w:spacing w:line="360" w:lineRule="auto"/>
        <w:ind w:firstLine="420"/>
        <w:rPr>
          <w:rFonts w:hint="eastAsia" w:hAnsi="宋体" w:cs="宋体"/>
          <w:color w:val="auto"/>
          <w:sz w:val="21"/>
          <w:highlight w:val="none"/>
          <w:u w:val="single"/>
        </w:rPr>
      </w:pPr>
      <w:r>
        <w:rPr>
          <w:rFonts w:hint="eastAsia" w:hAnsi="宋体" w:cs="宋体"/>
          <w:color w:val="auto"/>
          <w:sz w:val="21"/>
          <w:highlight w:val="none"/>
        </w:rPr>
        <w:t>开户银行：</w:t>
      </w:r>
      <w:r>
        <w:rPr>
          <w:rFonts w:hint="eastAsia" w:hAnsi="宋体" w:cs="宋体"/>
          <w:color w:val="auto"/>
          <w:sz w:val="21"/>
          <w:highlight w:val="none"/>
          <w:u w:val="single"/>
        </w:rPr>
        <w:t xml:space="preserve">                                                    </w:t>
      </w:r>
    </w:p>
    <w:p w14:paraId="7A640505">
      <w:pPr>
        <w:pStyle w:val="14"/>
        <w:spacing w:line="360" w:lineRule="auto"/>
        <w:ind w:firstLine="420"/>
        <w:rPr>
          <w:rFonts w:hint="eastAsia" w:hAnsi="宋体" w:cs="宋体"/>
          <w:color w:val="auto"/>
          <w:sz w:val="21"/>
          <w:highlight w:val="none"/>
          <w:u w:val="single"/>
        </w:rPr>
      </w:pPr>
      <w:r>
        <w:rPr>
          <w:rFonts w:hint="eastAsia" w:hAnsi="宋体" w:cs="宋体"/>
          <w:color w:val="auto"/>
          <w:sz w:val="21"/>
          <w:highlight w:val="none"/>
        </w:rPr>
        <w:t>银行账号：</w:t>
      </w:r>
      <w:r>
        <w:rPr>
          <w:rFonts w:hint="eastAsia" w:hAnsi="宋体" w:cs="宋体"/>
          <w:color w:val="auto"/>
          <w:sz w:val="21"/>
          <w:highlight w:val="none"/>
          <w:u w:val="single"/>
        </w:rPr>
        <w:t xml:space="preserve">                                                    </w:t>
      </w:r>
    </w:p>
    <w:p w14:paraId="371CDB18">
      <w:pPr>
        <w:pStyle w:val="13"/>
        <w:spacing w:line="360" w:lineRule="auto"/>
        <w:ind w:left="141" w:leftChars="67" w:firstLine="315" w:firstLineChars="150"/>
        <w:rPr>
          <w:rFonts w:hint="eastAsia" w:ascii="宋体" w:hAnsi="宋体" w:cs="宋体"/>
          <w:color w:val="auto"/>
          <w:szCs w:val="21"/>
          <w:highlight w:val="none"/>
        </w:rPr>
      </w:pPr>
      <w:r>
        <w:rPr>
          <w:rFonts w:hint="eastAsia" w:ascii="宋体" w:hAnsi="宋体" w:cs="宋体"/>
          <w:color w:val="auto"/>
          <w:szCs w:val="21"/>
          <w:highlight w:val="none"/>
        </w:rPr>
        <w:t>特此承诺。</w:t>
      </w:r>
    </w:p>
    <w:p w14:paraId="1DB7C083">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31F270A2">
      <w:pPr>
        <w:autoSpaceDE w:val="0"/>
        <w:autoSpaceDN w:val="0"/>
        <w:spacing w:line="360" w:lineRule="auto"/>
        <w:ind w:left="4305" w:leftChars="1950" w:hanging="210" w:hangingChars="100"/>
        <w:rPr>
          <w:rFonts w:hint="eastAsia" w:ascii="宋体" w:hAnsi="宋体" w:cs="宋体"/>
          <w:color w:val="auto"/>
          <w:kern w:val="0"/>
          <w:szCs w:val="21"/>
          <w:highlight w:val="none"/>
        </w:rPr>
      </w:pPr>
      <w:r>
        <w:rPr>
          <w:rFonts w:hint="eastAsia" w:ascii="宋体" w:hAnsi="宋体" w:cs="宋体"/>
          <w:color w:val="auto"/>
          <w:kern w:val="0"/>
          <w:szCs w:val="21"/>
          <w:highlight w:val="none"/>
        </w:rPr>
        <w:t>供应商名称（电子签章）：</w:t>
      </w:r>
    </w:p>
    <w:p w14:paraId="79EC3DAD">
      <w:pPr>
        <w:autoSpaceDE w:val="0"/>
        <w:autoSpaceDN w:val="0"/>
        <w:spacing w:line="360" w:lineRule="auto"/>
        <w:ind w:firstLine="5670" w:firstLineChars="2700"/>
        <w:rPr>
          <w:rFonts w:hint="eastAsia" w:ascii="宋体" w:hAnsi="宋体" w:cs="宋体"/>
          <w:color w:val="auto"/>
          <w:szCs w:val="21"/>
          <w:highlight w:val="none"/>
        </w:rPr>
      </w:pPr>
      <w:r>
        <w:rPr>
          <w:rFonts w:hint="eastAsia" w:ascii="宋体" w:hAnsi="宋体" w:cs="宋体"/>
          <w:color w:val="auto"/>
          <w:kern w:val="0"/>
          <w:szCs w:val="21"/>
          <w:highlight w:val="none"/>
        </w:rPr>
        <w:t>日期：  年  月   日</w:t>
      </w:r>
    </w:p>
    <w:p w14:paraId="615955CF">
      <w:pPr>
        <w:widowControl/>
        <w:spacing w:line="360" w:lineRule="auto"/>
        <w:jc w:val="left"/>
        <w:rPr>
          <w:rFonts w:hint="eastAsia" w:ascii="宋体" w:hAnsi="宋体" w:cs="宋体"/>
          <w:color w:val="auto"/>
          <w:kern w:val="0"/>
          <w:sz w:val="2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63A43C44">
      <w:pPr>
        <w:snapToGrid w:val="0"/>
        <w:spacing w:before="120" w:beforeLines="50" w:after="50" w:line="360" w:lineRule="auto"/>
        <w:ind w:left="142" w:firstLine="643" w:firstLineChars="200"/>
        <w:jc w:val="lef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二、响应报价表</w:t>
      </w:r>
    </w:p>
    <w:p w14:paraId="763A8657">
      <w:pPr>
        <w:snapToGrid w:val="0"/>
        <w:spacing w:before="50" w:after="50" w:line="360" w:lineRule="auto"/>
        <w:rPr>
          <w:rFonts w:hint="eastAsia"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分标：</w:t>
      </w:r>
      <w:r>
        <w:rPr>
          <w:rFonts w:hint="eastAsia" w:ascii="宋体" w:hAnsi="宋体" w:cs="宋体"/>
          <w:color w:val="auto"/>
          <w:sz w:val="24"/>
          <w:highlight w:val="none"/>
          <w:u w:val="single"/>
        </w:rPr>
        <w:t xml:space="preserve">      /     </w:t>
      </w:r>
    </w:p>
    <w:p w14:paraId="585810A8">
      <w:pPr>
        <w:snapToGrid w:val="0"/>
        <w:spacing w:before="50" w:after="50" w:line="360" w:lineRule="auto"/>
        <w:rPr>
          <w:rFonts w:hint="eastAsia" w:ascii="宋体" w:hAnsi="宋体" w:cs="宋体"/>
          <w:color w:val="auto"/>
          <w:sz w:val="24"/>
          <w:highlight w:val="none"/>
          <w:u w:val="singl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21"/>
        <w:tblpPr w:leftFromText="180" w:rightFromText="180" w:vertAnchor="text" w:horzAnchor="page" w:tblpXSpec="center" w:tblpY="509"/>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412"/>
        <w:gridCol w:w="1717"/>
        <w:gridCol w:w="1016"/>
        <w:gridCol w:w="1434"/>
        <w:gridCol w:w="2081"/>
        <w:gridCol w:w="906"/>
      </w:tblGrid>
      <w:tr w14:paraId="4AC2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365" w:type="pct"/>
            <w:tcBorders>
              <w:top w:val="single" w:color="auto" w:sz="4" w:space="0"/>
              <w:left w:val="single" w:color="auto" w:sz="4" w:space="0"/>
              <w:bottom w:val="single" w:color="auto" w:sz="4" w:space="0"/>
              <w:right w:val="single" w:color="auto" w:sz="4" w:space="0"/>
            </w:tcBorders>
            <w:noWrap w:val="0"/>
            <w:vAlign w:val="center"/>
          </w:tcPr>
          <w:p w14:paraId="2918AAA7">
            <w:pPr>
              <w:rPr>
                <w:rFonts w:hint="eastAsia" w:ascii="宋体" w:hAnsi="宋体" w:cs="宋体"/>
                <w:color w:val="auto"/>
                <w:sz w:val="24"/>
                <w:highlight w:val="none"/>
              </w:rPr>
            </w:pPr>
            <w:r>
              <w:rPr>
                <w:rFonts w:hint="eastAsia" w:ascii="宋体" w:hAnsi="宋体" w:cs="宋体"/>
                <w:color w:val="auto"/>
                <w:sz w:val="24"/>
                <w:highlight w:val="none"/>
              </w:rPr>
              <w:t>序号</w:t>
            </w:r>
          </w:p>
        </w:tc>
        <w:tc>
          <w:tcPr>
            <w:tcW w:w="764" w:type="pct"/>
            <w:tcBorders>
              <w:top w:val="single" w:color="auto" w:sz="4" w:space="0"/>
              <w:left w:val="nil"/>
              <w:bottom w:val="single" w:color="auto" w:sz="4" w:space="0"/>
              <w:right w:val="single" w:color="auto" w:sz="4" w:space="0"/>
            </w:tcBorders>
            <w:noWrap w:val="0"/>
            <w:vAlign w:val="center"/>
          </w:tcPr>
          <w:p w14:paraId="62DC2463">
            <w:pPr>
              <w:rPr>
                <w:rFonts w:hint="eastAsia" w:ascii="宋体" w:hAnsi="宋体" w:cs="宋体"/>
                <w:color w:val="auto"/>
                <w:sz w:val="24"/>
                <w:highlight w:val="none"/>
              </w:rPr>
            </w:pPr>
            <w:r>
              <w:rPr>
                <w:rFonts w:hint="eastAsia" w:ascii="宋体" w:hAnsi="宋体" w:cs="宋体"/>
                <w:color w:val="auto"/>
                <w:sz w:val="24"/>
                <w:highlight w:val="none"/>
              </w:rPr>
              <w:t>服务名称</w:t>
            </w:r>
          </w:p>
        </w:tc>
        <w:tc>
          <w:tcPr>
            <w:tcW w:w="929" w:type="pct"/>
            <w:tcBorders>
              <w:top w:val="single" w:color="auto" w:sz="4" w:space="0"/>
              <w:left w:val="nil"/>
              <w:bottom w:val="single" w:color="auto" w:sz="4" w:space="0"/>
              <w:right w:val="single" w:color="auto" w:sz="4" w:space="0"/>
            </w:tcBorders>
            <w:noWrap w:val="0"/>
            <w:vAlign w:val="center"/>
          </w:tcPr>
          <w:p w14:paraId="6F9E6EAC">
            <w:pPr>
              <w:jc w:val="center"/>
              <w:rPr>
                <w:rFonts w:hint="eastAsia" w:ascii="宋体" w:hAnsi="宋体" w:cs="宋体"/>
                <w:color w:val="auto"/>
                <w:sz w:val="24"/>
                <w:highlight w:val="none"/>
              </w:rPr>
            </w:pPr>
            <w:r>
              <w:rPr>
                <w:rFonts w:hint="eastAsia" w:ascii="宋体" w:hAnsi="宋体" w:cs="宋体"/>
                <w:color w:val="auto"/>
                <w:sz w:val="24"/>
                <w:highlight w:val="none"/>
              </w:rPr>
              <w:t>具体服务内容</w:t>
            </w:r>
          </w:p>
        </w:tc>
        <w:tc>
          <w:tcPr>
            <w:tcW w:w="550" w:type="pct"/>
            <w:tcBorders>
              <w:top w:val="single" w:color="auto" w:sz="4" w:space="0"/>
              <w:left w:val="nil"/>
              <w:bottom w:val="single" w:color="auto" w:sz="4" w:space="0"/>
              <w:right w:val="single" w:color="auto" w:sz="4" w:space="0"/>
            </w:tcBorders>
            <w:noWrap w:val="0"/>
            <w:vAlign w:val="center"/>
          </w:tcPr>
          <w:p w14:paraId="557E7DC7">
            <w:pPr>
              <w:jc w:val="center"/>
              <w:rPr>
                <w:rFonts w:hint="eastAsia" w:ascii="宋体" w:hAnsi="宋体" w:cs="宋体"/>
                <w:color w:val="auto"/>
                <w:sz w:val="24"/>
                <w:highlight w:val="none"/>
              </w:rPr>
            </w:pPr>
            <w:r>
              <w:rPr>
                <w:rFonts w:hint="eastAsia" w:ascii="宋体" w:hAnsi="宋体" w:cs="宋体"/>
                <w:color w:val="auto"/>
                <w:sz w:val="24"/>
                <w:highlight w:val="none"/>
              </w:rPr>
              <w:t>数量①</w:t>
            </w:r>
          </w:p>
        </w:tc>
        <w:tc>
          <w:tcPr>
            <w:tcW w:w="776" w:type="pct"/>
            <w:tcBorders>
              <w:top w:val="single" w:color="auto" w:sz="4" w:space="0"/>
              <w:left w:val="nil"/>
              <w:bottom w:val="single" w:color="auto" w:sz="4" w:space="0"/>
              <w:right w:val="single" w:color="auto" w:sz="4" w:space="0"/>
            </w:tcBorders>
            <w:noWrap w:val="0"/>
            <w:vAlign w:val="center"/>
          </w:tcPr>
          <w:p w14:paraId="133CF774">
            <w:pPr>
              <w:jc w:val="center"/>
              <w:rPr>
                <w:rFonts w:hint="eastAsia" w:ascii="宋体" w:hAnsi="宋体" w:cs="宋体"/>
                <w:color w:val="auto"/>
                <w:sz w:val="24"/>
                <w:highlight w:val="none"/>
              </w:rPr>
            </w:pPr>
            <w:r>
              <w:rPr>
                <w:rFonts w:hint="eastAsia" w:ascii="宋体" w:hAnsi="宋体" w:cs="宋体"/>
                <w:color w:val="auto"/>
                <w:sz w:val="24"/>
                <w:highlight w:val="none"/>
              </w:rPr>
              <w:t>单价(元)②</w:t>
            </w:r>
          </w:p>
        </w:tc>
        <w:tc>
          <w:tcPr>
            <w:tcW w:w="1126" w:type="pct"/>
            <w:tcBorders>
              <w:top w:val="single" w:color="auto" w:sz="4" w:space="0"/>
              <w:left w:val="nil"/>
              <w:bottom w:val="single" w:color="auto" w:sz="4" w:space="0"/>
              <w:right w:val="single" w:color="auto" w:sz="4" w:space="0"/>
            </w:tcBorders>
            <w:noWrap w:val="0"/>
            <w:vAlign w:val="center"/>
          </w:tcPr>
          <w:p w14:paraId="046EBEF8">
            <w:pPr>
              <w:jc w:val="center"/>
              <w:rPr>
                <w:rFonts w:hint="eastAsia" w:ascii="宋体" w:hAnsi="宋体" w:cs="宋体"/>
                <w:color w:val="auto"/>
                <w:sz w:val="24"/>
                <w:highlight w:val="none"/>
              </w:rPr>
            </w:pPr>
            <w:r>
              <w:rPr>
                <w:rFonts w:hint="eastAsia" w:ascii="宋体" w:hAnsi="宋体" w:cs="宋体"/>
                <w:color w:val="auto"/>
                <w:sz w:val="24"/>
                <w:highlight w:val="none"/>
              </w:rPr>
              <w:t>单项合价（元）</w:t>
            </w:r>
          </w:p>
          <w:p w14:paraId="24D84009">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③＝①×②</w:t>
            </w:r>
          </w:p>
        </w:tc>
        <w:tc>
          <w:tcPr>
            <w:tcW w:w="487" w:type="pct"/>
            <w:tcBorders>
              <w:top w:val="single" w:color="auto" w:sz="4" w:space="0"/>
              <w:left w:val="nil"/>
              <w:bottom w:val="single" w:color="auto" w:sz="4" w:space="0"/>
              <w:right w:val="single" w:color="auto" w:sz="4" w:space="0"/>
            </w:tcBorders>
            <w:noWrap w:val="0"/>
            <w:vAlign w:val="center"/>
          </w:tcPr>
          <w:p w14:paraId="6459D07D">
            <w:pPr>
              <w:rPr>
                <w:rFonts w:hint="eastAsia" w:ascii="宋体" w:hAnsi="宋体" w:cs="宋体"/>
                <w:color w:val="auto"/>
                <w:sz w:val="24"/>
                <w:highlight w:val="none"/>
              </w:rPr>
            </w:pPr>
            <w:r>
              <w:rPr>
                <w:rFonts w:hint="eastAsia" w:ascii="宋体" w:hAnsi="宋体" w:cs="宋体"/>
                <w:color w:val="auto"/>
                <w:sz w:val="24"/>
                <w:highlight w:val="none"/>
              </w:rPr>
              <w:t>备注</w:t>
            </w:r>
          </w:p>
        </w:tc>
      </w:tr>
      <w:tr w14:paraId="0090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365" w:type="pct"/>
            <w:tcBorders>
              <w:top w:val="single" w:color="auto" w:sz="4" w:space="0"/>
              <w:left w:val="single" w:color="auto" w:sz="4" w:space="0"/>
              <w:bottom w:val="single" w:color="auto" w:sz="4" w:space="0"/>
              <w:right w:val="single" w:color="auto" w:sz="4" w:space="0"/>
            </w:tcBorders>
            <w:noWrap w:val="0"/>
            <w:vAlign w:val="center"/>
          </w:tcPr>
          <w:p w14:paraId="12659AEE">
            <w:pPr>
              <w:rPr>
                <w:rFonts w:hint="eastAsia" w:ascii="宋体" w:hAnsi="宋体" w:cs="宋体"/>
                <w:color w:val="auto"/>
                <w:sz w:val="24"/>
                <w:highlight w:val="none"/>
              </w:rPr>
            </w:pPr>
            <w:r>
              <w:rPr>
                <w:rFonts w:hint="eastAsia" w:ascii="宋体" w:hAnsi="宋体" w:cs="宋体"/>
                <w:color w:val="auto"/>
                <w:sz w:val="24"/>
                <w:highlight w:val="none"/>
              </w:rPr>
              <w:t>1</w:t>
            </w:r>
          </w:p>
        </w:tc>
        <w:tc>
          <w:tcPr>
            <w:tcW w:w="764" w:type="pct"/>
            <w:tcBorders>
              <w:top w:val="single" w:color="auto" w:sz="4" w:space="0"/>
              <w:left w:val="nil"/>
              <w:bottom w:val="single" w:color="auto" w:sz="4" w:space="0"/>
              <w:right w:val="single" w:color="auto" w:sz="4" w:space="0"/>
            </w:tcBorders>
            <w:noWrap w:val="0"/>
            <w:vAlign w:val="center"/>
          </w:tcPr>
          <w:p w14:paraId="2D613379">
            <w:pPr>
              <w:rPr>
                <w:rFonts w:hint="eastAsia" w:ascii="宋体" w:hAnsi="宋体" w:cs="宋体"/>
                <w:color w:val="auto"/>
                <w:sz w:val="24"/>
                <w:highlight w:val="none"/>
              </w:rPr>
            </w:pPr>
            <w:r>
              <w:rPr>
                <w:rFonts w:hint="eastAsia" w:ascii="宋体" w:hAnsi="宋体" w:cs="宋体"/>
                <w:color w:val="auto"/>
                <w:sz w:val="24"/>
                <w:highlight w:val="none"/>
              </w:rPr>
              <w:t>阳光城大唐檀境项目部分安置房源第三方检测服务</w:t>
            </w:r>
          </w:p>
        </w:tc>
        <w:tc>
          <w:tcPr>
            <w:tcW w:w="929" w:type="pct"/>
            <w:tcBorders>
              <w:top w:val="single" w:color="auto" w:sz="4" w:space="0"/>
              <w:left w:val="nil"/>
              <w:bottom w:val="single" w:color="auto" w:sz="4" w:space="0"/>
              <w:right w:val="single" w:color="auto" w:sz="4" w:space="0"/>
            </w:tcBorders>
            <w:noWrap w:val="0"/>
            <w:vAlign w:val="center"/>
          </w:tcPr>
          <w:p w14:paraId="56350CDB">
            <w:pPr>
              <w:rPr>
                <w:rFonts w:hint="eastAsia" w:ascii="宋体" w:hAnsi="宋体" w:cs="宋体"/>
                <w:color w:val="auto"/>
                <w:sz w:val="24"/>
                <w:highlight w:val="none"/>
              </w:rPr>
            </w:pPr>
          </w:p>
        </w:tc>
        <w:tc>
          <w:tcPr>
            <w:tcW w:w="550" w:type="pct"/>
            <w:tcBorders>
              <w:top w:val="single" w:color="auto" w:sz="4" w:space="0"/>
              <w:left w:val="nil"/>
              <w:bottom w:val="single" w:color="auto" w:sz="4" w:space="0"/>
              <w:right w:val="single" w:color="auto" w:sz="4" w:space="0"/>
            </w:tcBorders>
            <w:noWrap w:val="0"/>
            <w:vAlign w:val="center"/>
          </w:tcPr>
          <w:p w14:paraId="24E5424A">
            <w:pPr>
              <w:rPr>
                <w:rFonts w:hint="eastAsia" w:ascii="宋体" w:hAnsi="宋体" w:cs="宋体"/>
                <w:color w:val="auto"/>
                <w:sz w:val="24"/>
                <w:highlight w:val="none"/>
              </w:rPr>
            </w:pPr>
            <w:r>
              <w:rPr>
                <w:rFonts w:hint="eastAsia" w:ascii="宋体" w:hAnsi="宋体" w:cs="宋体"/>
                <w:color w:val="auto"/>
                <w:sz w:val="24"/>
                <w:highlight w:val="none"/>
              </w:rPr>
              <w:t>1</w:t>
            </w:r>
          </w:p>
        </w:tc>
        <w:tc>
          <w:tcPr>
            <w:tcW w:w="776" w:type="pct"/>
            <w:tcBorders>
              <w:top w:val="single" w:color="auto" w:sz="4" w:space="0"/>
              <w:left w:val="nil"/>
              <w:bottom w:val="single" w:color="auto" w:sz="4" w:space="0"/>
              <w:right w:val="single" w:color="auto" w:sz="4" w:space="0"/>
            </w:tcBorders>
            <w:noWrap w:val="0"/>
            <w:vAlign w:val="center"/>
          </w:tcPr>
          <w:p w14:paraId="743BD243">
            <w:pPr>
              <w:rPr>
                <w:rFonts w:hint="eastAsia" w:ascii="宋体" w:hAnsi="宋体" w:cs="宋体"/>
                <w:color w:val="auto"/>
                <w:sz w:val="24"/>
                <w:highlight w:val="none"/>
              </w:rPr>
            </w:pPr>
          </w:p>
        </w:tc>
        <w:tc>
          <w:tcPr>
            <w:tcW w:w="1126" w:type="pct"/>
            <w:tcBorders>
              <w:top w:val="single" w:color="auto" w:sz="4" w:space="0"/>
              <w:left w:val="nil"/>
              <w:bottom w:val="single" w:color="auto" w:sz="4" w:space="0"/>
              <w:right w:val="single" w:color="auto" w:sz="4" w:space="0"/>
            </w:tcBorders>
            <w:noWrap w:val="0"/>
            <w:vAlign w:val="center"/>
          </w:tcPr>
          <w:p w14:paraId="4AEBA50C">
            <w:pPr>
              <w:rPr>
                <w:rFonts w:hint="eastAsia" w:ascii="宋体" w:hAnsi="宋体" w:cs="宋体"/>
                <w:color w:val="auto"/>
                <w:sz w:val="24"/>
                <w:highlight w:val="none"/>
              </w:rPr>
            </w:pPr>
          </w:p>
        </w:tc>
        <w:tc>
          <w:tcPr>
            <w:tcW w:w="487" w:type="pct"/>
            <w:tcBorders>
              <w:top w:val="single" w:color="auto" w:sz="4" w:space="0"/>
              <w:left w:val="nil"/>
              <w:bottom w:val="single" w:color="auto" w:sz="4" w:space="0"/>
              <w:right w:val="single" w:color="auto" w:sz="4" w:space="0"/>
            </w:tcBorders>
            <w:noWrap w:val="0"/>
            <w:vAlign w:val="center"/>
          </w:tcPr>
          <w:p w14:paraId="4E0BEAC7">
            <w:pPr>
              <w:rPr>
                <w:rFonts w:hint="eastAsia" w:ascii="宋体" w:hAnsi="宋体" w:cs="宋体"/>
                <w:color w:val="auto"/>
                <w:sz w:val="24"/>
                <w:highlight w:val="none"/>
              </w:rPr>
            </w:pPr>
          </w:p>
        </w:tc>
      </w:tr>
      <w:tr w14:paraId="695E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top"/>
          </w:tcPr>
          <w:p w14:paraId="64BF9F4D">
            <w:pPr>
              <w:rPr>
                <w:rFonts w:hint="eastAsia" w:ascii="宋体" w:hAnsi="宋体" w:cs="宋体"/>
                <w:color w:val="auto"/>
                <w:sz w:val="24"/>
                <w:highlight w:val="none"/>
              </w:rPr>
            </w:pPr>
            <w:r>
              <w:rPr>
                <w:rFonts w:hint="eastAsia" w:ascii="宋体" w:hAnsi="宋体" w:cs="宋体"/>
                <w:color w:val="auto"/>
                <w:sz w:val="24"/>
                <w:highlight w:val="none"/>
              </w:rPr>
              <w:t>报价合计（包含税费等所有费用）：</w:t>
            </w:r>
          </w:p>
          <w:p w14:paraId="03479862">
            <w:pPr>
              <w:rPr>
                <w:rFonts w:hint="eastAsia" w:ascii="宋体" w:hAnsi="宋体" w:cs="宋体"/>
                <w:color w:val="auto"/>
                <w:sz w:val="24"/>
                <w:highlight w:val="none"/>
              </w:rPr>
            </w:pPr>
            <w:r>
              <w:rPr>
                <w:rFonts w:hint="eastAsia" w:ascii="宋体" w:hAnsi="宋体" w:cs="宋体"/>
                <w:color w:val="auto"/>
                <w:sz w:val="24"/>
                <w:highlight w:val="none"/>
              </w:rPr>
              <w:t>（大写）人民币                                       （￥                元）</w:t>
            </w:r>
          </w:p>
        </w:tc>
      </w:tr>
      <w:tr w14:paraId="1356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top"/>
          </w:tcPr>
          <w:p w14:paraId="5D90B60D">
            <w:pPr>
              <w:rPr>
                <w:rFonts w:hint="eastAsia" w:ascii="宋体" w:hAnsi="宋体" w:cs="宋体"/>
                <w:color w:val="auto"/>
                <w:sz w:val="24"/>
                <w:highlight w:val="none"/>
              </w:rPr>
            </w:pPr>
            <w:r>
              <w:rPr>
                <w:rFonts w:hint="eastAsia" w:ascii="宋体" w:hAnsi="宋体" w:cs="宋体"/>
                <w:color w:val="auto"/>
                <w:sz w:val="24"/>
                <w:highlight w:val="none"/>
                <w:u w:val="single"/>
              </w:rPr>
              <w:t>　　</w:t>
            </w:r>
            <w:r>
              <w:rPr>
                <w:rFonts w:hint="eastAsia" w:ascii="宋体" w:hAnsi="宋体" w:cs="宋体"/>
                <w:color w:val="auto"/>
                <w:sz w:val="24"/>
                <w:highlight w:val="none"/>
              </w:rPr>
              <w:t>分标（此处有分标时填写具体分标号，无分标时填写“无”）</w:t>
            </w:r>
          </w:p>
        </w:tc>
      </w:tr>
      <w:tr w14:paraId="6A1A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top"/>
          </w:tcPr>
          <w:p w14:paraId="25902488">
            <w:pPr>
              <w:rPr>
                <w:rFonts w:hint="eastAsia" w:ascii="宋体" w:hAnsi="宋体" w:cs="宋体"/>
                <w:color w:val="auto"/>
                <w:sz w:val="24"/>
                <w:highlight w:val="none"/>
              </w:rPr>
            </w:pPr>
            <w:r>
              <w:rPr>
                <w:rFonts w:hint="eastAsia" w:ascii="宋体" w:hAnsi="宋体" w:cs="宋体"/>
                <w:color w:val="auto"/>
                <w:sz w:val="24"/>
                <w:highlight w:val="none"/>
              </w:rPr>
              <w:t>服务期承诺：</w:t>
            </w:r>
          </w:p>
        </w:tc>
      </w:tr>
      <w:tr w14:paraId="123B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top"/>
          </w:tcPr>
          <w:p w14:paraId="48682842">
            <w:pPr>
              <w:rPr>
                <w:rFonts w:hint="eastAsia" w:ascii="宋体" w:hAnsi="宋体" w:cs="宋体"/>
                <w:color w:val="auto"/>
                <w:sz w:val="24"/>
                <w:highlight w:val="none"/>
              </w:rPr>
            </w:pPr>
            <w:r>
              <w:rPr>
                <w:rFonts w:hint="eastAsia" w:ascii="宋体" w:hAnsi="宋体" w:cs="宋体"/>
                <w:color w:val="auto"/>
                <w:sz w:val="24"/>
                <w:highlight w:val="none"/>
              </w:rPr>
              <w:t>优惠及其它（如有则填写）：</w:t>
            </w:r>
          </w:p>
        </w:tc>
      </w:tr>
    </w:tbl>
    <w:p w14:paraId="6E9B34A0">
      <w:pPr>
        <w:snapToGrid w:val="0"/>
        <w:spacing w:before="50" w:after="50"/>
        <w:jc w:val="left"/>
        <w:rPr>
          <w:rFonts w:hint="eastAsia" w:ascii="宋体" w:hAnsi="宋体" w:cs="宋体"/>
          <w:color w:val="auto"/>
          <w:kern w:val="0"/>
          <w:sz w:val="24"/>
          <w:highlight w:val="none"/>
        </w:rPr>
      </w:pPr>
    </w:p>
    <w:p w14:paraId="559362DB">
      <w:pPr>
        <w:snapToGrid w:val="0"/>
        <w:spacing w:before="50" w:after="50"/>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注： </w:t>
      </w:r>
    </w:p>
    <w:p w14:paraId="39E1FDEA">
      <w:pPr>
        <w:snapToGrid w:val="0"/>
        <w:spacing w:before="50" w:after="50"/>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 供应商需按本表格式填写，不得自行更改，也不得留空, 如有多分标，按分标分别提供响应报价表</w:t>
      </w:r>
      <w:r>
        <w:rPr>
          <w:rFonts w:hint="eastAsia" w:ascii="宋体" w:hAnsi="宋体" w:cs="宋体"/>
          <w:b/>
          <w:color w:val="auto"/>
          <w:kern w:val="0"/>
          <w:sz w:val="24"/>
          <w:highlight w:val="none"/>
        </w:rPr>
        <w:t>。</w:t>
      </w:r>
    </w:p>
    <w:p w14:paraId="22B04361">
      <w:pPr>
        <w:snapToGrid w:val="0"/>
        <w:spacing w:before="50" w:after="50"/>
        <w:ind w:firstLine="480" w:firstLineChars="200"/>
        <w:jc w:val="left"/>
        <w:rPr>
          <w:rFonts w:hint="eastAsia" w:ascii="宋体" w:hAnsi="宋体" w:cs="宋体"/>
          <w:b/>
          <w:color w:val="auto"/>
          <w:kern w:val="0"/>
          <w:sz w:val="24"/>
          <w:highlight w:val="none"/>
        </w:rPr>
      </w:pPr>
      <w:r>
        <w:rPr>
          <w:rFonts w:hint="eastAsia" w:ascii="宋体" w:hAnsi="宋体" w:cs="宋体"/>
          <w:color w:val="auto"/>
          <w:kern w:val="0"/>
          <w:sz w:val="24"/>
          <w:highlight w:val="none"/>
        </w:rPr>
        <w:t>2、如为联合体响应的，“供应商名称”处必须列明联合体各方名称，并标注联合体牵头人名称，且盖章处须加盖联合体各方公章，</w:t>
      </w:r>
      <w:r>
        <w:rPr>
          <w:rFonts w:hint="eastAsia" w:ascii="宋体" w:hAnsi="宋体" w:cs="宋体"/>
          <w:b/>
          <w:color w:val="auto"/>
          <w:kern w:val="0"/>
          <w:sz w:val="24"/>
          <w:highlight w:val="none"/>
        </w:rPr>
        <w:t>否则其响应作无效响应处理。</w:t>
      </w:r>
    </w:p>
    <w:p w14:paraId="3C41C2B5">
      <w:pPr>
        <w:snapToGrid w:val="0"/>
        <w:spacing w:before="50" w:after="50"/>
        <w:ind w:firstLine="480" w:firstLineChars="200"/>
        <w:jc w:val="left"/>
        <w:rPr>
          <w:rFonts w:hint="eastAsia" w:ascii="宋体" w:hAnsi="宋体" w:cs="宋体"/>
          <w:b/>
          <w:color w:val="auto"/>
          <w:kern w:val="0"/>
          <w:sz w:val="24"/>
          <w:highlight w:val="none"/>
        </w:rPr>
      </w:pPr>
      <w:r>
        <w:rPr>
          <w:rFonts w:hint="eastAsia" w:ascii="宋体" w:hAnsi="宋体" w:cs="宋体"/>
          <w:color w:val="auto"/>
          <w:kern w:val="0"/>
          <w:sz w:val="24"/>
          <w:highlight w:val="none"/>
        </w:rPr>
        <w:t>3、以上表格要求细分项目及报价，在“具体服务内容”一栏中，填写具体服务范围、服务时间、服务标准，</w:t>
      </w:r>
      <w:r>
        <w:rPr>
          <w:rFonts w:hint="eastAsia" w:ascii="宋体" w:hAnsi="宋体" w:cs="宋体"/>
          <w:b/>
          <w:color w:val="auto"/>
          <w:kern w:val="0"/>
          <w:sz w:val="24"/>
          <w:highlight w:val="none"/>
        </w:rPr>
        <w:t>否则其响应作无效响应处理。</w:t>
      </w:r>
    </w:p>
    <w:p w14:paraId="4319F62B">
      <w:pPr>
        <w:snapToGrid w:val="0"/>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4、特别提示：采购代理机构将对项目名称和项目编号，成交供应商名称、地址和成交金额，主要成交标的的名称、服务范围、服务要求、服务时间、服务标准等予以公示。</w:t>
      </w:r>
    </w:p>
    <w:p w14:paraId="460E4645">
      <w:pPr>
        <w:snapToGrid w:val="0"/>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符合采购文件中列明的可享受小微企业扶持政策的供应商，请填写小微企业声明函。注：供应商提供的中小企业声明函内容不实的，属于提供虚假材料谋取中标、成交，依照《中华人民共和国政府采购法》等国家有关规定追究相应责任。</w:t>
      </w:r>
    </w:p>
    <w:p w14:paraId="4D36B2AB">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0AD44106">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7CDC468C">
      <w:pPr>
        <w:pStyle w:val="14"/>
        <w:spacing w:line="500" w:lineRule="exact"/>
        <w:ind w:firstLine="6360" w:firstLineChars="2650"/>
        <w:rPr>
          <w:rFonts w:hint="eastAsia" w:hAnsi="宋体" w:cs="宋体"/>
          <w:color w:val="auto"/>
          <w:sz w:val="24"/>
          <w:szCs w:val="24"/>
          <w:highlight w:val="none"/>
        </w:rPr>
      </w:pPr>
      <w:r>
        <w:rPr>
          <w:rFonts w:hint="eastAsia" w:hAnsi="宋体" w:cs="宋体"/>
          <w:color w:val="auto"/>
          <w:sz w:val="24"/>
          <w:szCs w:val="24"/>
          <w:highlight w:val="none"/>
        </w:rPr>
        <w:t>日期：  年  月   日</w:t>
      </w:r>
    </w:p>
    <w:p w14:paraId="4215ADF4">
      <w:pPr>
        <w:widowControl/>
        <w:jc w:val="left"/>
        <w:rPr>
          <w:rFonts w:hint="eastAsia" w:ascii="宋体" w:hAnsi="宋体" w:cs="宋体"/>
          <w:color w:val="auto"/>
          <w:kern w:val="0"/>
          <w:sz w:val="2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5D6F6CE3">
      <w:pPr>
        <w:pStyle w:val="5"/>
        <w:spacing w:before="0" w:after="0" w:line="360" w:lineRule="auto"/>
        <w:jc w:val="center"/>
        <w:rPr>
          <w:rFonts w:hint="eastAsia" w:ascii="宋体" w:hAnsi="宋体" w:cs="宋体"/>
          <w:b w:val="0"/>
          <w:color w:val="auto"/>
          <w:highlight w:val="none"/>
        </w:rPr>
      </w:pPr>
      <w:bookmarkStart w:id="104" w:name="_Toc80205942"/>
      <w:bookmarkEnd w:id="104"/>
      <w:bookmarkStart w:id="105" w:name="_Toc35611438"/>
      <w:bookmarkEnd w:id="105"/>
      <w:bookmarkStart w:id="106" w:name="_Toc31723070"/>
      <w:bookmarkEnd w:id="106"/>
      <w:bookmarkStart w:id="107" w:name="_Toc44229899"/>
      <w:bookmarkEnd w:id="107"/>
      <w:bookmarkStart w:id="108" w:name="_Toc31728084"/>
      <w:bookmarkEnd w:id="108"/>
      <w:bookmarkStart w:id="109" w:name="_Toc35611516"/>
      <w:bookmarkEnd w:id="109"/>
      <w:bookmarkStart w:id="110" w:name="_Toc21156"/>
      <w:bookmarkStart w:id="111" w:name="_Toc2411"/>
      <w:r>
        <w:rPr>
          <w:rFonts w:hint="eastAsia" w:ascii="宋体" w:hAnsi="宋体" w:cs="宋体"/>
          <w:b w:val="0"/>
          <w:color w:val="auto"/>
          <w:sz w:val="32"/>
          <w:szCs w:val="32"/>
          <w:highlight w:val="none"/>
        </w:rPr>
        <w:t>第五节 其他文书、文件格式</w:t>
      </w:r>
      <w:bookmarkEnd w:id="110"/>
      <w:bookmarkEnd w:id="111"/>
    </w:p>
    <w:p w14:paraId="77E32E34">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知识产权合规性声明</w:t>
      </w:r>
    </w:p>
    <w:p w14:paraId="48D88643">
      <w:pPr>
        <w:rPr>
          <w:rFonts w:hint="eastAsia" w:ascii="宋体" w:hAnsi="宋体" w:cs="宋体"/>
          <w:color w:val="auto"/>
          <w:sz w:val="30"/>
          <w:szCs w:val="30"/>
          <w:highlight w:val="none"/>
        </w:rPr>
      </w:pPr>
      <w:r>
        <w:rPr>
          <w:rFonts w:hint="eastAsia" w:ascii="宋体" w:hAnsi="宋体" w:cs="宋体"/>
          <w:color w:val="auto"/>
          <w:sz w:val="30"/>
          <w:szCs w:val="30"/>
          <w:highlight w:val="none"/>
        </w:rPr>
        <w:t xml:space="preserve">    </w:t>
      </w:r>
    </w:p>
    <w:p w14:paraId="6B60588A">
      <w:pPr>
        <w:spacing w:line="360" w:lineRule="auto"/>
        <w:rPr>
          <w:rFonts w:hint="eastAsia" w:ascii="宋体" w:hAnsi="宋体" w:cs="宋体"/>
          <w:color w:val="auto"/>
          <w:sz w:val="24"/>
          <w:highlight w:val="none"/>
        </w:rPr>
      </w:pPr>
      <w:r>
        <w:rPr>
          <w:rFonts w:hint="eastAsia" w:ascii="宋体" w:hAnsi="宋体" w:cs="宋体"/>
          <w:color w:val="auto"/>
          <w:sz w:val="30"/>
          <w:szCs w:val="30"/>
          <w:highlight w:val="none"/>
        </w:rPr>
        <w:t xml:space="preserve">    </w:t>
      </w:r>
      <w:r>
        <w:rPr>
          <w:rFonts w:hint="eastAsia" w:ascii="宋体" w:hAnsi="宋体" w:cs="宋体"/>
          <w:color w:val="auto"/>
          <w:sz w:val="24"/>
          <w:highlight w:val="none"/>
        </w:rPr>
        <w:t>本企业（单位）自愿参与政府投资政府采购的</w:t>
      </w:r>
      <w:bookmarkStart w:id="112" w:name="PO_3000001868_PM002_14"/>
      <w:bookmarkEnd w:id="112"/>
      <w:r>
        <w:rPr>
          <w:rFonts w:hint="eastAsia" w:ascii="宋体" w:hAnsi="宋体" w:cs="宋体"/>
          <w:b/>
          <w:bCs/>
          <w:color w:val="auto"/>
          <w:sz w:val="24"/>
          <w:highlight w:val="none"/>
          <w:u w:val="single"/>
        </w:rPr>
        <w:t>[项目采购：           ]</w:t>
      </w:r>
      <w:r>
        <w:rPr>
          <w:rFonts w:hint="eastAsia" w:ascii="宋体" w:hAnsi="宋体" w:cs="宋体"/>
          <w:color w:val="auto"/>
          <w:sz w:val="24"/>
          <w:highlight w:val="none"/>
        </w:rPr>
        <w:t>项目，</w:t>
      </w:r>
      <w:r>
        <w:rPr>
          <w:rFonts w:hint="eastAsia" w:ascii="宋体" w:hAnsi="宋体" w:cs="宋体"/>
          <w:b/>
          <w:bCs/>
          <w:color w:val="auto"/>
          <w:sz w:val="24"/>
          <w:highlight w:val="none"/>
        </w:rPr>
        <w:t>在此郑重承诺：</w:t>
      </w:r>
      <w:r>
        <w:rPr>
          <w:rFonts w:hint="eastAsia" w:ascii="宋体" w:hAnsi="宋体" w:cs="宋体"/>
          <w:color w:val="auto"/>
          <w:sz w:val="24"/>
          <w:highlight w:val="none"/>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5983E7C6">
      <w:pPr>
        <w:snapToGrid w:val="0"/>
        <w:spacing w:line="360" w:lineRule="auto"/>
        <w:ind w:left="5634" w:leftChars="1736" w:hanging="1988" w:hangingChars="825"/>
        <w:rPr>
          <w:rFonts w:hint="eastAsia" w:ascii="宋体" w:hAnsi="宋体" w:cs="宋体"/>
          <w:b/>
          <w:color w:val="auto"/>
          <w:sz w:val="24"/>
          <w:highlight w:val="none"/>
        </w:rPr>
      </w:pPr>
      <w:r>
        <w:rPr>
          <w:rFonts w:hint="eastAsia" w:ascii="宋体" w:hAnsi="宋体" w:cs="宋体"/>
          <w:b/>
          <w:color w:val="auto"/>
          <w:sz w:val="24"/>
          <w:highlight w:val="none"/>
        </w:rPr>
        <w:t xml:space="preserve">           </w:t>
      </w:r>
    </w:p>
    <w:p w14:paraId="7CC10449">
      <w:pPr>
        <w:snapToGrid w:val="0"/>
        <w:spacing w:line="360" w:lineRule="auto"/>
        <w:ind w:left="5634" w:leftChars="1736" w:hanging="1988" w:hangingChars="825"/>
        <w:rPr>
          <w:rFonts w:hint="eastAsia" w:ascii="宋体" w:hAnsi="宋体" w:cs="宋体"/>
          <w:b/>
          <w:color w:val="auto"/>
          <w:sz w:val="24"/>
          <w:highlight w:val="none"/>
        </w:rPr>
      </w:pPr>
      <w:r>
        <w:rPr>
          <w:rFonts w:hint="eastAsia" w:ascii="宋体" w:hAnsi="宋体" w:cs="宋体"/>
          <w:b/>
          <w:color w:val="auto"/>
          <w:sz w:val="24"/>
          <w:highlight w:val="none"/>
        </w:rPr>
        <w:t xml:space="preserve"> </w:t>
      </w:r>
    </w:p>
    <w:p w14:paraId="12A7CA60">
      <w:pPr>
        <w:snapToGrid w:val="0"/>
        <w:spacing w:line="360" w:lineRule="auto"/>
        <w:ind w:left="5634" w:leftChars="1736" w:hanging="1988" w:hangingChars="825"/>
        <w:rPr>
          <w:rFonts w:hint="eastAsia" w:ascii="宋体" w:hAnsi="宋体" w:cs="宋体"/>
          <w:b/>
          <w:color w:val="auto"/>
          <w:sz w:val="24"/>
          <w:highlight w:val="none"/>
        </w:rPr>
      </w:pPr>
      <w:r>
        <w:rPr>
          <w:rFonts w:hint="eastAsia" w:ascii="宋体" w:hAnsi="宋体" w:cs="宋体"/>
          <w:b/>
          <w:color w:val="auto"/>
          <w:sz w:val="24"/>
          <w:highlight w:val="none"/>
        </w:rPr>
        <w:t xml:space="preserve"> </w:t>
      </w:r>
    </w:p>
    <w:p w14:paraId="55DC2960">
      <w:pPr>
        <w:snapToGrid w:val="0"/>
        <w:spacing w:line="360" w:lineRule="auto"/>
        <w:ind w:left="5634" w:leftChars="1736" w:hanging="1988" w:hangingChars="825"/>
        <w:rPr>
          <w:rFonts w:hint="eastAsia" w:ascii="宋体" w:hAnsi="宋体" w:cs="宋体"/>
          <w:b/>
          <w:color w:val="auto"/>
          <w:sz w:val="24"/>
          <w:highlight w:val="none"/>
        </w:rPr>
      </w:pPr>
      <w:r>
        <w:rPr>
          <w:rFonts w:hint="eastAsia" w:ascii="宋体" w:hAnsi="宋体" w:cs="宋体"/>
          <w:b/>
          <w:color w:val="auto"/>
          <w:sz w:val="24"/>
          <w:highlight w:val="none"/>
        </w:rPr>
        <w:t xml:space="preserve"> </w:t>
      </w:r>
    </w:p>
    <w:p w14:paraId="24BB177C">
      <w:pPr>
        <w:spacing w:line="360" w:lineRule="auto"/>
        <w:rPr>
          <w:rFonts w:hint="eastAsia" w:ascii="宋体" w:hAnsi="宋体" w:cs="宋体"/>
          <w:color w:val="auto"/>
          <w:sz w:val="24"/>
          <w:highlight w:val="none"/>
        </w:rPr>
      </w:pPr>
      <w:r>
        <w:rPr>
          <w:rFonts w:hint="eastAsia" w:ascii="宋体" w:hAnsi="宋体" w:cs="宋体"/>
          <w:b/>
          <w:color w:val="auto"/>
          <w:sz w:val="24"/>
          <w:highlight w:val="none"/>
        </w:rPr>
        <w:t xml:space="preserve">   </w:t>
      </w:r>
      <w:r>
        <w:rPr>
          <w:rFonts w:hint="eastAsia" w:ascii="宋体" w:hAnsi="宋体" w:cs="宋体"/>
          <w:color w:val="auto"/>
          <w:sz w:val="24"/>
          <w:highlight w:val="none"/>
        </w:rPr>
        <w:t xml:space="preserve">   供应商名称(电子签章)：</w:t>
      </w:r>
    </w:p>
    <w:p w14:paraId="245C9C6C">
      <w:pPr>
        <w:spacing w:line="360" w:lineRule="auto"/>
        <w:ind w:firstLine="1200" w:firstLineChars="5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2C0A98F2">
      <w:pPr>
        <w:spacing w:line="360" w:lineRule="auto"/>
        <w:rPr>
          <w:rFonts w:hint="eastAsia" w:ascii="宋体" w:hAnsi="宋体" w:cs="宋体"/>
          <w:color w:val="auto"/>
          <w:sz w:val="24"/>
          <w:highlight w:val="none"/>
        </w:rPr>
      </w:pPr>
    </w:p>
    <w:p w14:paraId="112DF99A">
      <w:pPr>
        <w:pStyle w:val="25"/>
        <w:rPr>
          <w:rFonts w:hint="eastAsia" w:ascii="宋体" w:hAnsi="宋体" w:cs="宋体"/>
          <w:color w:val="auto"/>
          <w:highlight w:val="none"/>
        </w:rPr>
      </w:pPr>
    </w:p>
    <w:p w14:paraId="593FB10D">
      <w:pPr>
        <w:pStyle w:val="25"/>
        <w:rPr>
          <w:rFonts w:hint="eastAsia" w:ascii="宋体" w:hAnsi="宋体" w:cs="宋体"/>
          <w:color w:val="auto"/>
          <w:highlight w:val="none"/>
        </w:rPr>
      </w:pPr>
    </w:p>
    <w:p w14:paraId="374D5944">
      <w:pPr>
        <w:pStyle w:val="7"/>
        <w:ind w:left="0" w:leftChars="0" w:firstLine="0" w:firstLineChars="0"/>
        <w:jc w:val="center"/>
        <w:rPr>
          <w:rFonts w:ascii="宋体" w:hAnsi="宋体" w:cs="宋体"/>
          <w:color w:val="auto"/>
          <w:highlight w:val="none"/>
        </w:rPr>
      </w:pPr>
      <w:r>
        <w:rPr>
          <w:rFonts w:hint="eastAsia" w:ascii="宋体" w:hAnsi="宋体" w:cs="宋体"/>
          <w:b/>
          <w:bCs/>
          <w:color w:val="auto"/>
          <w:sz w:val="28"/>
          <w:szCs w:val="28"/>
          <w:highlight w:val="none"/>
        </w:rPr>
        <w:t>其他承诺书的要求详见</w:t>
      </w: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rPr>
        <w:t>第二章</w:t>
      </w:r>
      <w:r>
        <w:rPr>
          <w:rFonts w:hint="eastAsia" w:ascii="宋体" w:hAnsi="宋体" w:cs="宋体"/>
          <w:b/>
          <w:bCs/>
          <w:color w:val="auto"/>
          <w:sz w:val="28"/>
          <w:szCs w:val="28"/>
          <w:highlight w:val="none"/>
          <w:lang w:val="en-US" w:eastAsia="zh-CN"/>
        </w:rPr>
        <w:t xml:space="preserve"> </w:t>
      </w:r>
      <w:r>
        <w:rPr>
          <w:rFonts w:hint="eastAsia" w:ascii="宋体" w:hAnsi="宋体" w:cs="宋体"/>
          <w:b/>
          <w:bCs/>
          <w:color w:val="auto"/>
          <w:sz w:val="28"/>
          <w:szCs w:val="28"/>
          <w:highlight w:val="none"/>
        </w:rPr>
        <w:t>采购需求</w:t>
      </w: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rPr>
        <w:t>。</w:t>
      </w:r>
    </w:p>
    <w:p w14:paraId="7DC09FC9">
      <w:pPr>
        <w:pStyle w:val="25"/>
        <w:rPr>
          <w:rFonts w:hint="eastAsia" w:ascii="宋体" w:hAnsi="宋体" w:cs="宋体"/>
          <w:color w:val="auto"/>
          <w:highlight w:val="none"/>
        </w:rPr>
      </w:pPr>
    </w:p>
    <w:p w14:paraId="3092EE00">
      <w:pPr>
        <w:pStyle w:val="25"/>
        <w:rPr>
          <w:rFonts w:hint="eastAsia" w:ascii="宋体" w:hAnsi="宋体" w:cs="宋体"/>
          <w:color w:val="auto"/>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docGrid w:type="lines" w:linePitch="331" w:charSpace="0"/>
        </w:sectPr>
      </w:pPr>
    </w:p>
    <w:p w14:paraId="65E6840B">
      <w:pPr>
        <w:pStyle w:val="7"/>
        <w:ind w:left="2940"/>
        <w:outlineLvl w:val="9"/>
        <w:rPr>
          <w:rFonts w:hint="eastAsia" w:ascii="宋体" w:hAnsi="宋体" w:cs="宋体"/>
          <w:color w:val="auto"/>
          <w:sz w:val="24"/>
          <w:szCs w:val="24"/>
          <w:highlight w:val="none"/>
        </w:rPr>
      </w:pPr>
    </w:p>
    <w:p w14:paraId="196CF63D">
      <w:pPr>
        <w:spacing w:line="520" w:lineRule="exact"/>
        <w:jc w:val="center"/>
        <w:outlineLvl w:val="9"/>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7475651">
      <w:pPr>
        <w:jc w:val="center"/>
        <w:outlineLvl w:val="9"/>
        <w:rPr>
          <w:rFonts w:hint="eastAsia" w:ascii="宋体" w:hAnsi="宋体" w:cs="宋体"/>
          <w:b w:val="0"/>
          <w:bCs w:val="0"/>
          <w:color w:val="auto"/>
          <w:highlight w:val="none"/>
        </w:rPr>
      </w:pPr>
      <w:bookmarkStart w:id="113" w:name="_Toc18784"/>
      <w:bookmarkEnd w:id="113"/>
    </w:p>
    <w:p w14:paraId="101B4BCB">
      <w:pPr>
        <w:jc w:val="center"/>
        <w:outlineLvl w:val="9"/>
        <w:rPr>
          <w:rFonts w:hint="eastAsia" w:ascii="宋体" w:hAnsi="宋体" w:cs="宋体"/>
          <w:b w:val="0"/>
          <w:bCs w:val="0"/>
          <w:color w:val="auto"/>
          <w:highlight w:val="none"/>
        </w:rPr>
      </w:pPr>
    </w:p>
    <w:p w14:paraId="06A324BF">
      <w:pPr>
        <w:jc w:val="center"/>
        <w:outlineLvl w:val="9"/>
        <w:rPr>
          <w:rFonts w:hint="eastAsia" w:ascii="宋体" w:hAnsi="宋体" w:cs="宋体"/>
          <w:b w:val="0"/>
          <w:bCs w:val="0"/>
          <w:color w:val="auto"/>
          <w:highlight w:val="none"/>
        </w:rPr>
      </w:pPr>
      <w:r>
        <w:rPr>
          <w:rFonts w:hint="eastAsia" w:ascii="宋体" w:hAnsi="宋体" w:cs="宋体"/>
          <w:b w:val="0"/>
          <w:bCs w:val="0"/>
          <w:color w:val="auto"/>
          <w:highlight w:val="none"/>
        </w:rPr>
        <w:t xml:space="preserve"> </w:t>
      </w:r>
    </w:p>
    <w:p w14:paraId="48145A01">
      <w:pPr>
        <w:jc w:val="center"/>
        <w:outlineLvl w:val="9"/>
        <w:rPr>
          <w:rFonts w:hint="eastAsia" w:ascii="宋体" w:hAnsi="宋体" w:cs="宋体"/>
          <w:b w:val="0"/>
          <w:bCs w:val="0"/>
          <w:color w:val="auto"/>
          <w:highlight w:val="none"/>
        </w:rPr>
      </w:pPr>
      <w:r>
        <w:rPr>
          <w:rFonts w:hint="eastAsia" w:ascii="宋体" w:hAnsi="宋体" w:cs="宋体"/>
          <w:b w:val="0"/>
          <w:bCs w:val="0"/>
          <w:color w:val="auto"/>
          <w:highlight w:val="none"/>
        </w:rPr>
        <w:t xml:space="preserve"> </w:t>
      </w:r>
    </w:p>
    <w:p w14:paraId="1FFDA0AC">
      <w:pPr>
        <w:pStyle w:val="4"/>
        <w:spacing w:before="0" w:after="0" w:line="360" w:lineRule="auto"/>
        <w:jc w:val="center"/>
        <w:rPr>
          <w:rFonts w:hint="eastAsia" w:ascii="宋体" w:hAnsi="宋体" w:cs="宋体"/>
          <w:b w:val="0"/>
          <w:bCs w:val="0"/>
          <w:color w:val="auto"/>
          <w:highlight w:val="none"/>
        </w:rPr>
      </w:pPr>
      <w:bookmarkStart w:id="114" w:name="_Toc3661"/>
      <w:r>
        <w:rPr>
          <w:rFonts w:hint="eastAsia" w:ascii="宋体" w:hAnsi="宋体" w:cs="宋体"/>
          <w:color w:val="auto"/>
          <w:highlight w:val="none"/>
          <w:lang w:val="en-US" w:eastAsia="zh-CN"/>
        </w:rPr>
        <w:t>第六章  合同文本</w:t>
      </w:r>
      <w:bookmarkEnd w:id="114"/>
    </w:p>
    <w:p w14:paraId="334C5F75">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29655AA">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411132B">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BF7C6C3">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7C0FAA9">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255E80F">
      <w:pPr>
        <w:pStyle w:val="25"/>
        <w:rPr>
          <w:rFonts w:hint="eastAsia" w:ascii="宋体" w:hAnsi="宋体" w:cs="宋体"/>
          <w:color w:val="auto"/>
          <w:highlight w:val="none"/>
        </w:rPr>
      </w:pPr>
    </w:p>
    <w:p w14:paraId="6CFFF508">
      <w:pPr>
        <w:pStyle w:val="25"/>
        <w:rPr>
          <w:rFonts w:hint="eastAsia" w:ascii="宋体" w:hAnsi="宋体" w:cs="宋体"/>
          <w:color w:val="auto"/>
          <w:highlight w:val="none"/>
        </w:rPr>
      </w:pPr>
    </w:p>
    <w:p w14:paraId="340B900B">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C412735">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EB6699A">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AD97737">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D3746DF">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911A3B1">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4626D5E">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9C76DB2">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05B3B94">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0190BF7">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23A2CF9">
      <w:pPr>
        <w:rPr>
          <w:rFonts w:hint="eastAsia" w:ascii="宋体" w:hAnsi="宋体" w:cs="宋体"/>
          <w:color w:val="auto"/>
          <w:sz w:val="24"/>
          <w:highlight w:val="none"/>
        </w:rPr>
      </w:pPr>
    </w:p>
    <w:p w14:paraId="72B0B365">
      <w:pPr>
        <w:pStyle w:val="25"/>
        <w:rPr>
          <w:rFonts w:hint="eastAsia"/>
          <w:color w:val="auto"/>
          <w:highlight w:val="none"/>
        </w:rPr>
      </w:pPr>
    </w:p>
    <w:p w14:paraId="53AD749C">
      <w:pPr>
        <w:rPr>
          <w:rFonts w:hint="eastAsia" w:ascii="宋体" w:hAnsi="宋体" w:cs="宋体"/>
          <w:color w:val="auto"/>
          <w:sz w:val="24"/>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docGrid w:type="lines" w:linePitch="331" w:charSpace="0"/>
        </w:sectPr>
      </w:pPr>
      <w:r>
        <w:rPr>
          <w:rFonts w:hint="eastAsia" w:ascii="宋体" w:hAnsi="宋体" w:cs="宋体"/>
          <w:color w:val="auto"/>
          <w:sz w:val="24"/>
          <w:highlight w:val="none"/>
        </w:rPr>
        <w:t xml:space="preserve"> </w:t>
      </w:r>
    </w:p>
    <w:p w14:paraId="1BA6A03E">
      <w:pPr>
        <w:rPr>
          <w:rFonts w:hint="eastAsia" w:ascii="宋体" w:hAnsi="宋体" w:cs="宋体"/>
          <w:snapToGrid w:val="0"/>
          <w:color w:val="auto"/>
          <w:kern w:val="0"/>
          <w:szCs w:val="21"/>
          <w:highlight w:val="none"/>
        </w:rPr>
      </w:pPr>
      <w:r>
        <w:rPr>
          <w:rFonts w:hint="eastAsia" w:ascii="宋体" w:hAnsi="宋体" w:cs="宋体"/>
          <w:color w:val="auto"/>
          <w:sz w:val="24"/>
          <w:highlight w:val="none"/>
        </w:rPr>
        <w:t xml:space="preserve"> </w:t>
      </w:r>
      <w:r>
        <w:rPr>
          <w:rFonts w:hint="eastAsia" w:ascii="宋体" w:hAnsi="宋体" w:cs="宋体"/>
          <w:snapToGrid w:val="0"/>
          <w:color w:val="auto"/>
          <w:kern w:val="0"/>
          <w:sz w:val="22"/>
          <w:szCs w:val="22"/>
          <w:highlight w:val="none"/>
        </w:rPr>
        <w:t>“政采云”平台合同编号：</w:t>
      </w:r>
    </w:p>
    <w:p w14:paraId="61953F73">
      <w:pPr>
        <w:pStyle w:val="3"/>
        <w:rPr>
          <w:rFonts w:hint="eastAsia" w:ascii="宋体" w:hAnsi="宋体" w:cs="宋体"/>
          <w:snapToGrid w:val="0"/>
          <w:color w:val="auto"/>
          <w:kern w:val="0"/>
          <w:szCs w:val="21"/>
          <w:highlight w:val="none"/>
        </w:rPr>
      </w:pPr>
    </w:p>
    <w:p w14:paraId="046DD6B9">
      <w:pPr>
        <w:pStyle w:val="18"/>
        <w:rPr>
          <w:rFonts w:hint="eastAsia"/>
          <w:color w:val="auto"/>
          <w:highlight w:val="none"/>
        </w:rPr>
      </w:pPr>
    </w:p>
    <w:p w14:paraId="0E30DD9E">
      <w:pPr>
        <w:keepNext/>
        <w:keepLines/>
        <w:kinsoku w:val="0"/>
        <w:autoSpaceDE w:val="0"/>
        <w:autoSpaceDN w:val="0"/>
        <w:adjustRightInd w:val="0"/>
        <w:snapToGrid w:val="0"/>
        <w:spacing w:before="340" w:after="330" w:line="576" w:lineRule="auto"/>
        <w:jc w:val="center"/>
        <w:textAlignment w:val="baseline"/>
        <w:outlineLvl w:val="9"/>
        <w:rPr>
          <w:rFonts w:hint="eastAsia" w:ascii="宋体" w:hAnsi="宋体" w:cs="宋体"/>
          <w:b/>
          <w:snapToGrid w:val="0"/>
          <w:color w:val="auto"/>
          <w:kern w:val="44"/>
          <w:sz w:val="52"/>
          <w:szCs w:val="52"/>
          <w:highlight w:val="none"/>
        </w:rPr>
      </w:pPr>
      <w:bookmarkStart w:id="115" w:name="_Toc13958"/>
      <w:r>
        <w:rPr>
          <w:rFonts w:hint="eastAsia" w:ascii="宋体" w:hAnsi="宋体" w:cs="宋体"/>
          <w:b/>
          <w:snapToGrid w:val="0"/>
          <w:color w:val="auto"/>
          <w:kern w:val="44"/>
          <w:sz w:val="52"/>
          <w:szCs w:val="52"/>
          <w:highlight w:val="none"/>
        </w:rPr>
        <w:t>南 宁 市 政 府 采 购</w:t>
      </w:r>
      <w:bookmarkEnd w:id="115"/>
    </w:p>
    <w:p w14:paraId="2E3F19AA">
      <w:pPr>
        <w:spacing w:line="360" w:lineRule="auto"/>
        <w:jc w:val="center"/>
        <w:outlineLvl w:val="9"/>
        <w:rPr>
          <w:rFonts w:hint="eastAsia" w:ascii="宋体" w:hAnsi="宋体" w:cs="宋体"/>
          <w:b/>
          <w:bCs/>
          <w:color w:val="auto"/>
          <w:sz w:val="44"/>
          <w:szCs w:val="44"/>
          <w:highlight w:val="none"/>
        </w:rPr>
      </w:pPr>
      <w:r>
        <w:rPr>
          <w:rFonts w:hint="eastAsia" w:ascii="宋体" w:hAnsi="宋体" w:cs="宋体"/>
          <w:b/>
          <w:bCs/>
          <w:color w:val="auto"/>
          <w:sz w:val="44"/>
          <w:szCs w:val="44"/>
          <w:highlight w:val="none"/>
          <w:u w:val="single"/>
        </w:rPr>
        <w:t xml:space="preserve">                      </w:t>
      </w:r>
      <w:bookmarkStart w:id="116" w:name="_Toc7008"/>
      <w:bookmarkStart w:id="117" w:name="_Toc15149"/>
      <w:r>
        <w:rPr>
          <w:rFonts w:hint="eastAsia" w:ascii="宋体" w:hAnsi="宋体" w:cs="宋体"/>
          <w:b/>
          <w:bCs/>
          <w:color w:val="auto"/>
          <w:sz w:val="44"/>
          <w:szCs w:val="44"/>
          <w:highlight w:val="none"/>
        </w:rPr>
        <w:t>合同</w:t>
      </w:r>
      <w:bookmarkEnd w:id="116"/>
      <w:bookmarkEnd w:id="117"/>
    </w:p>
    <w:p w14:paraId="31D17C7E">
      <w:pPr>
        <w:widowControl/>
        <w:kinsoku w:val="0"/>
        <w:autoSpaceDE w:val="0"/>
        <w:autoSpaceDN w:val="0"/>
        <w:adjustRightInd w:val="0"/>
        <w:snapToGrid w:val="0"/>
        <w:spacing w:line="400" w:lineRule="exact"/>
        <w:ind w:firstLine="420" w:firstLineChars="200"/>
        <w:jc w:val="center"/>
        <w:textAlignment w:val="baseline"/>
        <w:outlineLvl w:val="9"/>
        <w:rPr>
          <w:rFonts w:hint="eastAsia" w:ascii="宋体" w:hAnsi="宋体" w:cs="宋体"/>
          <w:snapToGrid w:val="0"/>
          <w:color w:val="auto"/>
          <w:kern w:val="0"/>
          <w:szCs w:val="21"/>
          <w:highlight w:val="none"/>
        </w:rPr>
      </w:pPr>
    </w:p>
    <w:p w14:paraId="1EE437F1">
      <w:pPr>
        <w:widowControl/>
        <w:kinsoku w:val="0"/>
        <w:autoSpaceDE w:val="0"/>
        <w:autoSpaceDN w:val="0"/>
        <w:adjustRightInd w:val="0"/>
        <w:snapToGrid w:val="0"/>
        <w:spacing w:line="400" w:lineRule="exact"/>
        <w:ind w:firstLine="420" w:firstLineChars="200"/>
        <w:jc w:val="center"/>
        <w:textAlignment w:val="baseline"/>
        <w:outlineLvl w:val="9"/>
        <w:rPr>
          <w:rFonts w:hint="eastAsia" w:ascii="宋体" w:hAnsi="宋体" w:cs="宋体"/>
          <w:snapToGrid w:val="0"/>
          <w:color w:val="auto"/>
          <w:kern w:val="0"/>
          <w:szCs w:val="21"/>
          <w:highlight w:val="none"/>
        </w:rPr>
      </w:pPr>
    </w:p>
    <w:p w14:paraId="18473A61">
      <w:pPr>
        <w:widowControl/>
        <w:kinsoku w:val="0"/>
        <w:autoSpaceDE w:val="0"/>
        <w:autoSpaceDN w:val="0"/>
        <w:adjustRightInd w:val="0"/>
        <w:snapToGrid w:val="0"/>
        <w:spacing w:line="400" w:lineRule="exact"/>
        <w:ind w:firstLine="420" w:firstLineChars="200"/>
        <w:jc w:val="center"/>
        <w:textAlignment w:val="baseline"/>
        <w:outlineLvl w:val="9"/>
        <w:rPr>
          <w:rFonts w:hint="eastAsia" w:ascii="宋体" w:hAnsi="宋体" w:cs="宋体"/>
          <w:snapToGrid w:val="0"/>
          <w:color w:val="auto"/>
          <w:kern w:val="0"/>
          <w:szCs w:val="21"/>
          <w:highlight w:val="none"/>
        </w:rPr>
      </w:pPr>
    </w:p>
    <w:p w14:paraId="5CF6425B">
      <w:pPr>
        <w:widowControl/>
        <w:kinsoku w:val="0"/>
        <w:autoSpaceDE w:val="0"/>
        <w:autoSpaceDN w:val="0"/>
        <w:adjustRightInd w:val="0"/>
        <w:snapToGrid w:val="0"/>
        <w:spacing w:line="400" w:lineRule="exact"/>
        <w:ind w:firstLine="420" w:firstLineChars="200"/>
        <w:jc w:val="center"/>
        <w:textAlignment w:val="baseline"/>
        <w:outlineLvl w:val="9"/>
        <w:rPr>
          <w:rFonts w:hint="eastAsia" w:ascii="宋体" w:hAnsi="宋体" w:cs="宋体"/>
          <w:snapToGrid w:val="0"/>
          <w:color w:val="auto"/>
          <w:kern w:val="0"/>
          <w:szCs w:val="21"/>
          <w:highlight w:val="none"/>
        </w:rPr>
      </w:pPr>
    </w:p>
    <w:p w14:paraId="79045199">
      <w:pPr>
        <w:widowControl/>
        <w:kinsoku w:val="0"/>
        <w:autoSpaceDE w:val="0"/>
        <w:autoSpaceDN w:val="0"/>
        <w:adjustRightInd w:val="0"/>
        <w:snapToGrid w:val="0"/>
        <w:spacing w:line="400" w:lineRule="exact"/>
        <w:ind w:firstLine="420" w:firstLineChars="200"/>
        <w:jc w:val="center"/>
        <w:textAlignment w:val="baseline"/>
        <w:outlineLvl w:val="9"/>
        <w:rPr>
          <w:rFonts w:hint="eastAsia" w:ascii="宋体" w:hAnsi="宋体" w:cs="宋体"/>
          <w:snapToGrid w:val="0"/>
          <w:color w:val="auto"/>
          <w:kern w:val="0"/>
          <w:szCs w:val="21"/>
          <w:highlight w:val="none"/>
        </w:rPr>
      </w:pPr>
    </w:p>
    <w:p w14:paraId="7C9EC01F">
      <w:pPr>
        <w:widowControl/>
        <w:kinsoku w:val="0"/>
        <w:autoSpaceDE w:val="0"/>
        <w:autoSpaceDN w:val="0"/>
        <w:adjustRightInd w:val="0"/>
        <w:snapToGrid w:val="0"/>
        <w:spacing w:line="400" w:lineRule="exact"/>
        <w:jc w:val="both"/>
        <w:textAlignment w:val="baseline"/>
        <w:outlineLvl w:val="9"/>
        <w:rPr>
          <w:rFonts w:hint="eastAsia" w:ascii="宋体" w:hAnsi="宋体" w:cs="宋体"/>
          <w:snapToGrid w:val="0"/>
          <w:color w:val="auto"/>
          <w:kern w:val="0"/>
          <w:szCs w:val="21"/>
          <w:highlight w:val="none"/>
        </w:rPr>
      </w:pPr>
    </w:p>
    <w:p w14:paraId="0C6B8080">
      <w:pPr>
        <w:ind w:firstLine="1446" w:firstLineChars="400"/>
        <w:outlineLvl w:val="9"/>
        <w:rPr>
          <w:rFonts w:ascii="宋体" w:hAnsi="宋体" w:cs="宋体"/>
          <w:b/>
          <w:color w:val="auto"/>
          <w:sz w:val="36"/>
          <w:szCs w:val="36"/>
          <w:highlight w:val="none"/>
          <w:u w:val="single"/>
        </w:rPr>
      </w:pPr>
      <w:r>
        <w:rPr>
          <w:rFonts w:hint="eastAsia" w:ascii="宋体" w:hAnsi="宋体" w:cs="宋体"/>
          <w:b/>
          <w:color w:val="auto"/>
          <w:sz w:val="36"/>
          <w:szCs w:val="36"/>
          <w:highlight w:val="none"/>
        </w:rPr>
        <w:t>采购项目编号：</w:t>
      </w:r>
      <w:r>
        <w:rPr>
          <w:rFonts w:hint="eastAsia" w:ascii="宋体" w:hAnsi="宋体" w:cs="宋体"/>
          <w:b/>
          <w:color w:val="auto"/>
          <w:sz w:val="36"/>
          <w:szCs w:val="36"/>
          <w:highlight w:val="none"/>
          <w:u w:val="single"/>
        </w:rPr>
        <w:t xml:space="preserve">              </w:t>
      </w:r>
    </w:p>
    <w:p w14:paraId="78FF7BFE">
      <w:pPr>
        <w:ind w:firstLine="1446" w:firstLineChars="400"/>
        <w:outlineLvl w:val="9"/>
        <w:rPr>
          <w:rFonts w:ascii="宋体" w:hAnsi="宋体" w:cs="宋体"/>
          <w:b/>
          <w:color w:val="auto"/>
          <w:sz w:val="36"/>
          <w:szCs w:val="36"/>
          <w:highlight w:val="none"/>
        </w:rPr>
      </w:pPr>
      <w:r>
        <w:rPr>
          <w:rFonts w:hint="eastAsia" w:ascii="宋体" w:hAnsi="宋体" w:cs="宋体"/>
          <w:b/>
          <w:color w:val="auto"/>
          <w:sz w:val="36"/>
          <w:szCs w:val="36"/>
          <w:highlight w:val="none"/>
        </w:rPr>
        <w:t xml:space="preserve">                </w:t>
      </w:r>
    </w:p>
    <w:p w14:paraId="1A730A5B">
      <w:pPr>
        <w:ind w:firstLine="1446" w:firstLineChars="400"/>
        <w:outlineLvl w:val="9"/>
        <w:rPr>
          <w:rFonts w:ascii="宋体" w:hAnsi="宋体" w:cs="宋体"/>
          <w:b/>
          <w:color w:val="auto"/>
          <w:sz w:val="36"/>
          <w:szCs w:val="36"/>
          <w:highlight w:val="none"/>
        </w:rPr>
      </w:pPr>
      <w:r>
        <w:rPr>
          <w:rFonts w:hint="eastAsia" w:ascii="宋体" w:hAnsi="宋体" w:cs="宋体"/>
          <w:b/>
          <w:color w:val="auto"/>
          <w:sz w:val="36"/>
          <w:szCs w:val="36"/>
          <w:highlight w:val="none"/>
        </w:rPr>
        <w:t>采购计划编号：</w:t>
      </w:r>
      <w:r>
        <w:rPr>
          <w:rFonts w:hint="eastAsia" w:ascii="宋体" w:hAnsi="宋体" w:cs="宋体"/>
          <w:b/>
          <w:color w:val="auto"/>
          <w:sz w:val="36"/>
          <w:szCs w:val="36"/>
          <w:highlight w:val="none"/>
          <w:u w:val="single"/>
        </w:rPr>
        <w:t xml:space="preserve">              </w:t>
      </w:r>
      <w:r>
        <w:rPr>
          <w:rFonts w:hint="eastAsia" w:ascii="宋体" w:hAnsi="宋体" w:cs="宋体"/>
          <w:b/>
          <w:color w:val="auto"/>
          <w:sz w:val="36"/>
          <w:szCs w:val="36"/>
          <w:highlight w:val="none"/>
        </w:rPr>
        <w:t xml:space="preserve">                   </w:t>
      </w:r>
    </w:p>
    <w:p w14:paraId="5BE5D7F3">
      <w:pPr>
        <w:ind w:firstLine="1995" w:firstLineChars="552"/>
        <w:jc w:val="center"/>
        <w:outlineLvl w:val="9"/>
        <w:rPr>
          <w:rFonts w:hint="eastAsia" w:ascii="宋体" w:hAnsi="宋体" w:cs="宋体"/>
          <w:b/>
          <w:color w:val="auto"/>
          <w:sz w:val="36"/>
          <w:szCs w:val="36"/>
          <w:highlight w:val="none"/>
        </w:rPr>
      </w:pPr>
    </w:p>
    <w:p w14:paraId="2AD461C0">
      <w:pPr>
        <w:ind w:firstLine="1446" w:firstLineChars="400"/>
        <w:outlineLvl w:val="9"/>
        <w:rPr>
          <w:rFonts w:hint="eastAsia" w:ascii="宋体" w:hAnsi="宋体" w:cs="宋体"/>
          <w:b/>
          <w:color w:val="auto"/>
          <w:sz w:val="36"/>
          <w:szCs w:val="36"/>
          <w:highlight w:val="none"/>
        </w:rPr>
      </w:pPr>
      <w:r>
        <w:rPr>
          <w:rFonts w:hint="eastAsia" w:ascii="宋体" w:hAnsi="宋体" w:cs="宋体"/>
          <w:b/>
          <w:color w:val="auto"/>
          <w:sz w:val="36"/>
          <w:szCs w:val="36"/>
          <w:highlight w:val="none"/>
        </w:rPr>
        <w:t>采购人：</w:t>
      </w:r>
      <w:r>
        <w:rPr>
          <w:rFonts w:hint="eastAsia" w:ascii="宋体" w:hAnsi="宋体" w:cs="宋体"/>
          <w:b/>
          <w:color w:val="auto"/>
          <w:sz w:val="36"/>
          <w:szCs w:val="36"/>
          <w:highlight w:val="none"/>
          <w:u w:val="single"/>
        </w:rPr>
        <w:t xml:space="preserve">                    </w:t>
      </w:r>
      <w:r>
        <w:rPr>
          <w:rFonts w:hint="eastAsia" w:ascii="宋体" w:hAnsi="宋体" w:cs="宋体"/>
          <w:b/>
          <w:color w:val="auto"/>
          <w:sz w:val="36"/>
          <w:szCs w:val="36"/>
          <w:highlight w:val="none"/>
        </w:rPr>
        <w:t xml:space="preserve"> </w:t>
      </w:r>
    </w:p>
    <w:p w14:paraId="5645E63B">
      <w:pPr>
        <w:ind w:firstLine="1446" w:firstLineChars="400"/>
        <w:outlineLvl w:val="9"/>
        <w:rPr>
          <w:rFonts w:ascii="宋体" w:hAnsi="宋体" w:cs="宋体"/>
          <w:b/>
          <w:color w:val="auto"/>
          <w:sz w:val="36"/>
          <w:szCs w:val="36"/>
          <w:highlight w:val="none"/>
        </w:rPr>
      </w:pPr>
      <w:r>
        <w:rPr>
          <w:rFonts w:hint="eastAsia" w:ascii="宋体" w:hAnsi="宋体" w:cs="宋体"/>
          <w:b/>
          <w:color w:val="auto"/>
          <w:sz w:val="36"/>
          <w:szCs w:val="36"/>
          <w:highlight w:val="none"/>
        </w:rPr>
        <w:t xml:space="preserve">                            </w:t>
      </w:r>
    </w:p>
    <w:p w14:paraId="24B78C9E">
      <w:pPr>
        <w:ind w:firstLine="1446" w:firstLineChars="400"/>
        <w:outlineLvl w:val="9"/>
        <w:rPr>
          <w:rFonts w:ascii="宋体" w:hAnsi="宋体" w:cs="宋体"/>
          <w:b/>
          <w:color w:val="auto"/>
          <w:sz w:val="36"/>
          <w:szCs w:val="36"/>
          <w:highlight w:val="none"/>
        </w:rPr>
      </w:pPr>
      <w:r>
        <w:rPr>
          <w:rFonts w:hint="eastAsia" w:ascii="宋体" w:hAnsi="宋体" w:cs="宋体"/>
          <w:b/>
          <w:color w:val="auto"/>
          <w:sz w:val="36"/>
          <w:szCs w:val="36"/>
          <w:highlight w:val="none"/>
        </w:rPr>
        <w:t xml:space="preserve">成交供应商： </w:t>
      </w:r>
      <w:r>
        <w:rPr>
          <w:rFonts w:hint="eastAsia" w:ascii="宋体" w:hAnsi="宋体" w:cs="宋体"/>
          <w:b/>
          <w:color w:val="auto"/>
          <w:sz w:val="36"/>
          <w:szCs w:val="36"/>
          <w:highlight w:val="none"/>
          <w:u w:val="single"/>
        </w:rPr>
        <w:t xml:space="preserve">               </w:t>
      </w:r>
      <w:r>
        <w:rPr>
          <w:rFonts w:hint="eastAsia" w:ascii="宋体" w:hAnsi="宋体" w:cs="宋体"/>
          <w:b/>
          <w:color w:val="auto"/>
          <w:sz w:val="36"/>
          <w:szCs w:val="36"/>
          <w:highlight w:val="none"/>
        </w:rPr>
        <w:t xml:space="preserve">                            </w:t>
      </w:r>
    </w:p>
    <w:p w14:paraId="7BFED0B7">
      <w:pPr>
        <w:widowControl/>
        <w:kinsoku w:val="0"/>
        <w:autoSpaceDE w:val="0"/>
        <w:autoSpaceDN w:val="0"/>
        <w:adjustRightInd w:val="0"/>
        <w:snapToGrid w:val="0"/>
        <w:spacing w:line="400" w:lineRule="exact"/>
        <w:ind w:firstLine="420" w:firstLineChars="200"/>
        <w:jc w:val="center"/>
        <w:textAlignment w:val="baseline"/>
        <w:outlineLvl w:val="9"/>
        <w:rPr>
          <w:rFonts w:hint="eastAsia" w:ascii="宋体" w:hAnsi="宋体" w:cs="宋体"/>
          <w:snapToGrid w:val="0"/>
          <w:color w:val="auto"/>
          <w:kern w:val="0"/>
          <w:szCs w:val="21"/>
          <w:highlight w:val="none"/>
        </w:rPr>
      </w:pPr>
    </w:p>
    <w:p w14:paraId="4B025EB7">
      <w:pPr>
        <w:widowControl/>
        <w:kinsoku w:val="0"/>
        <w:autoSpaceDE w:val="0"/>
        <w:autoSpaceDN w:val="0"/>
        <w:adjustRightInd w:val="0"/>
        <w:snapToGrid w:val="0"/>
        <w:spacing w:line="400" w:lineRule="exact"/>
        <w:ind w:firstLine="420" w:firstLineChars="200"/>
        <w:jc w:val="left"/>
        <w:textAlignment w:val="baseline"/>
        <w:outlineLvl w:val="9"/>
        <w:rPr>
          <w:rFonts w:hint="eastAsia" w:ascii="宋体" w:hAnsi="宋体" w:cs="宋体"/>
          <w:snapToGrid w:val="0"/>
          <w:color w:val="auto"/>
          <w:kern w:val="0"/>
          <w:szCs w:val="21"/>
          <w:highlight w:val="none"/>
        </w:rPr>
      </w:pPr>
    </w:p>
    <w:p w14:paraId="1BAF5929">
      <w:pPr>
        <w:widowControl/>
        <w:kinsoku w:val="0"/>
        <w:autoSpaceDE w:val="0"/>
        <w:autoSpaceDN w:val="0"/>
        <w:adjustRightInd w:val="0"/>
        <w:snapToGrid w:val="0"/>
        <w:spacing w:line="400" w:lineRule="exact"/>
        <w:jc w:val="left"/>
        <w:textAlignment w:val="baseline"/>
        <w:outlineLvl w:val="9"/>
        <w:rPr>
          <w:rFonts w:hint="eastAsia" w:ascii="宋体" w:hAnsi="宋体" w:cs="宋体"/>
          <w:snapToGrid w:val="0"/>
          <w:color w:val="auto"/>
          <w:kern w:val="0"/>
          <w:szCs w:val="21"/>
          <w:highlight w:val="none"/>
        </w:rPr>
      </w:pPr>
    </w:p>
    <w:p w14:paraId="7D3552F4">
      <w:pPr>
        <w:widowControl/>
        <w:kinsoku w:val="0"/>
        <w:autoSpaceDE w:val="0"/>
        <w:autoSpaceDN w:val="0"/>
        <w:adjustRightInd w:val="0"/>
        <w:snapToGrid w:val="0"/>
        <w:spacing w:line="400" w:lineRule="exact"/>
        <w:ind w:firstLine="420" w:firstLineChars="200"/>
        <w:jc w:val="left"/>
        <w:textAlignment w:val="baseline"/>
        <w:outlineLvl w:val="9"/>
        <w:rPr>
          <w:rFonts w:hint="eastAsia" w:ascii="宋体" w:hAnsi="宋体" w:cs="宋体"/>
          <w:snapToGrid w:val="0"/>
          <w:color w:val="auto"/>
          <w:kern w:val="0"/>
          <w:szCs w:val="21"/>
          <w:highlight w:val="none"/>
        </w:rPr>
      </w:pPr>
    </w:p>
    <w:p w14:paraId="6630E289">
      <w:pPr>
        <w:widowControl/>
        <w:kinsoku w:val="0"/>
        <w:autoSpaceDE w:val="0"/>
        <w:autoSpaceDN w:val="0"/>
        <w:adjustRightInd w:val="0"/>
        <w:snapToGrid w:val="0"/>
        <w:spacing w:line="400" w:lineRule="exact"/>
        <w:ind w:firstLine="480" w:firstLineChars="200"/>
        <w:jc w:val="center"/>
        <w:textAlignment w:val="baseline"/>
        <w:outlineLvl w:val="9"/>
        <w:rPr>
          <w:rFonts w:hint="eastAsia" w:ascii="宋体" w:hAnsi="宋体" w:cs="宋体"/>
          <w:snapToGrid w:val="0"/>
          <w:color w:val="auto"/>
          <w:kern w:val="0"/>
          <w:szCs w:val="21"/>
          <w:highlight w:val="none"/>
        </w:rPr>
      </w:pPr>
      <w:r>
        <w:rPr>
          <w:rFonts w:hint="eastAsia" w:ascii="宋体" w:hAnsi="宋体" w:cs="宋体"/>
          <w:snapToGrid w:val="0"/>
          <w:color w:val="auto"/>
          <w:kern w:val="0"/>
          <w:sz w:val="24"/>
          <w:highlight w:val="none"/>
        </w:rPr>
        <w:t>签订时间：     年    月    日</w:t>
      </w:r>
    </w:p>
    <w:p w14:paraId="6098D2B2">
      <w:pPr>
        <w:widowControl/>
        <w:kinsoku w:val="0"/>
        <w:autoSpaceDE w:val="0"/>
        <w:autoSpaceDN w:val="0"/>
        <w:adjustRightInd w:val="0"/>
        <w:snapToGrid w:val="0"/>
        <w:spacing w:line="400" w:lineRule="exact"/>
        <w:ind w:firstLine="420" w:firstLineChars="200"/>
        <w:jc w:val="left"/>
        <w:textAlignment w:val="baseline"/>
        <w:outlineLvl w:val="9"/>
        <w:rPr>
          <w:rFonts w:hint="eastAsia" w:ascii="宋体" w:hAnsi="宋体" w:cs="宋体"/>
          <w:snapToGrid w:val="0"/>
          <w:color w:val="auto"/>
          <w:kern w:val="0"/>
          <w:szCs w:val="21"/>
          <w:highlight w:val="none"/>
        </w:rPr>
      </w:pPr>
    </w:p>
    <w:p w14:paraId="3B6AADFF">
      <w:pPr>
        <w:snapToGrid w:val="0"/>
        <w:spacing w:line="360" w:lineRule="auto"/>
        <w:jc w:val="center"/>
        <w:outlineLvl w:val="9"/>
        <w:rPr>
          <w:rFonts w:hint="eastAsia" w:ascii="仿宋_GB2312" w:hAnsi="楷体" w:eastAsia="仿宋_GB2312"/>
          <w:b/>
          <w:color w:val="auto"/>
          <w:sz w:val="24"/>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docGrid w:type="lines" w:linePitch="331" w:charSpace="0"/>
        </w:sectPr>
      </w:pPr>
      <w:bookmarkStart w:id="118" w:name="_Toc3958"/>
    </w:p>
    <w:p w14:paraId="7417824C">
      <w:pPr>
        <w:snapToGrid w:val="0"/>
        <w:spacing w:line="360" w:lineRule="auto"/>
        <w:jc w:val="center"/>
        <w:outlineLvl w:val="9"/>
        <w:rPr>
          <w:rFonts w:hint="eastAsia" w:ascii="仿宋_GB2312" w:hAnsi="楷体" w:eastAsia="仿宋_GB2312"/>
          <w:b/>
          <w:color w:val="auto"/>
          <w:sz w:val="24"/>
          <w:highlight w:val="none"/>
        </w:rPr>
      </w:pPr>
      <w:r>
        <w:rPr>
          <w:rFonts w:hint="eastAsia" w:ascii="仿宋_GB2312" w:hAnsi="楷体" w:eastAsia="仿宋_GB2312"/>
          <w:b/>
          <w:color w:val="auto"/>
          <w:sz w:val="24"/>
          <w:highlight w:val="none"/>
        </w:rPr>
        <w:t>合同目录</w:t>
      </w:r>
    </w:p>
    <w:p w14:paraId="4D1FF753">
      <w:pPr>
        <w:snapToGrid w:val="0"/>
        <w:spacing w:line="360" w:lineRule="auto"/>
        <w:jc w:val="center"/>
        <w:outlineLvl w:val="9"/>
        <w:rPr>
          <w:rFonts w:hint="eastAsia" w:ascii="宋体"/>
          <w:b/>
          <w:bCs/>
          <w:color w:val="auto"/>
          <w:sz w:val="44"/>
          <w:highlight w:val="none"/>
        </w:rPr>
      </w:pPr>
    </w:p>
    <w:p w14:paraId="5857174C">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w:t>
      </w:r>
      <w:r>
        <w:rPr>
          <w:rFonts w:hint="eastAsia" w:ascii="仿宋_GB2312" w:hAnsi="仿宋" w:eastAsia="仿宋_GB2312"/>
          <w:color w:val="auto"/>
          <w:sz w:val="24"/>
          <w:highlight w:val="none"/>
        </w:rPr>
        <w:t>第一部分 合同书</w:t>
      </w:r>
      <w:r>
        <w:rPr>
          <w:rFonts w:hint="eastAsia" w:ascii="仿宋_GB2312" w:hAnsi="仿宋" w:eastAsia="仿宋_GB2312" w:cs="仿宋_GB2312"/>
          <w:color w:val="auto"/>
          <w:kern w:val="0"/>
          <w:sz w:val="24"/>
          <w:highlight w:val="none"/>
        </w:rPr>
        <w:t>……………………………………………………………（页码）</w:t>
      </w:r>
    </w:p>
    <w:p w14:paraId="172A74CB">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二、第二部分 合同一般条款……………………………………………………（页码）</w:t>
      </w:r>
    </w:p>
    <w:p w14:paraId="45C67CE1">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三、第三部分 合同专用条款……………………………………………………（页码）</w:t>
      </w:r>
    </w:p>
    <w:p w14:paraId="52CBAB37">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四、</w:t>
      </w:r>
      <w:r>
        <w:rPr>
          <w:rFonts w:hint="eastAsia" w:ascii="仿宋_GB2312" w:hAnsi="仿宋" w:eastAsia="仿宋_GB2312"/>
          <w:color w:val="auto"/>
          <w:sz w:val="24"/>
          <w:highlight w:val="none"/>
        </w:rPr>
        <w:t>第四部分 合同附件</w:t>
      </w:r>
      <w:r>
        <w:rPr>
          <w:rFonts w:hint="eastAsia" w:ascii="仿宋_GB2312" w:hAnsi="仿宋" w:eastAsia="仿宋_GB2312" w:cs="仿宋_GB2312"/>
          <w:color w:val="auto"/>
          <w:kern w:val="0"/>
          <w:sz w:val="24"/>
          <w:highlight w:val="none"/>
        </w:rPr>
        <w:t>…………………………………………………………（页码）</w:t>
      </w:r>
    </w:p>
    <w:p w14:paraId="6B17F94B">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4.1成交通知书 …………………………………………………………………（页码）</w:t>
      </w:r>
    </w:p>
    <w:p w14:paraId="41F9D4EB">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4.2采购文件服务需求一览表 …………………………………………………（页码）</w:t>
      </w:r>
    </w:p>
    <w:p w14:paraId="7F7BA8F8">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4.3采购文件的更改通知（如有） ……………………………………………（页码）</w:t>
      </w:r>
    </w:p>
    <w:p w14:paraId="3832D458">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4.4响应函 ………………………………………………………………………（页码）</w:t>
      </w:r>
    </w:p>
    <w:p w14:paraId="6669CF01">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4.5响应报价表 …………………………………………………………………（页码）</w:t>
      </w:r>
    </w:p>
    <w:p w14:paraId="708953C2">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4.6响应服务技术资料表 ………………………………………………………（页码）</w:t>
      </w:r>
    </w:p>
    <w:p w14:paraId="4BF0F434">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4.7商务条款偏离表 ……………………………………………………………（页码）</w:t>
      </w:r>
    </w:p>
    <w:p w14:paraId="5D6A5791">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4.8成交供应商澄清函（如有请提供） ………………………………………（页码）</w:t>
      </w:r>
    </w:p>
    <w:p w14:paraId="4011F67B">
      <w:pPr>
        <w:snapToGrid w:val="0"/>
        <w:spacing w:line="360" w:lineRule="auto"/>
        <w:outlineLvl w:val="9"/>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4.9其他与本合同相关的资料（如有请提供） ………………………………（页码）</w:t>
      </w:r>
    </w:p>
    <w:p w14:paraId="50E29BF9">
      <w:pPr>
        <w:snapToGrid w:val="0"/>
        <w:spacing w:line="360" w:lineRule="auto"/>
        <w:outlineLvl w:val="9"/>
        <w:rPr>
          <w:rFonts w:hint="eastAsia" w:ascii="仿宋_GB2312" w:hAnsi="仿宋" w:eastAsia="仿宋_GB2312" w:cs="仿宋_GB2312"/>
          <w:color w:val="auto"/>
          <w:kern w:val="0"/>
          <w:sz w:val="24"/>
          <w:highlight w:val="none"/>
        </w:rPr>
      </w:pPr>
    </w:p>
    <w:p w14:paraId="190FFCB9">
      <w:pPr>
        <w:widowControl/>
        <w:jc w:val="left"/>
        <w:outlineLvl w:val="9"/>
        <w:rPr>
          <w:rFonts w:ascii="仿宋_GB2312" w:eastAsia="仿宋_GB2312"/>
          <w:color w:val="auto"/>
          <w:kern w:val="0"/>
          <w:sz w:val="32"/>
          <w:szCs w:val="20"/>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0" w:num="1"/>
          <w:rtlGutter w:val="0"/>
          <w:docGrid w:type="lines" w:linePitch="331" w:charSpace="0"/>
        </w:sectPr>
      </w:pPr>
    </w:p>
    <w:p w14:paraId="321B0D9E">
      <w:pPr>
        <w:pStyle w:val="5"/>
        <w:spacing w:before="0" w:after="0" w:line="360" w:lineRule="auto"/>
        <w:jc w:val="center"/>
        <w:rPr>
          <w:rFonts w:hint="eastAsia" w:ascii="仿宋_GB2312" w:hAnsi="楷体" w:eastAsia="仿宋_GB2312"/>
          <w:b/>
          <w:color w:val="auto"/>
          <w:sz w:val="28"/>
          <w:szCs w:val="28"/>
          <w:highlight w:val="none"/>
        </w:rPr>
      </w:pPr>
      <w:bookmarkStart w:id="119" w:name="_Toc80205944"/>
      <w:bookmarkStart w:id="120" w:name="_Toc14462"/>
      <w:bookmarkStart w:id="121" w:name="_Toc80886948"/>
      <w:r>
        <w:rPr>
          <w:rFonts w:hint="eastAsia" w:ascii="仿宋" w:hAnsi="仿宋" w:eastAsia="仿宋" w:cs="仿宋"/>
          <w:b/>
          <w:bCs w:val="0"/>
          <w:color w:val="auto"/>
          <w:sz w:val="32"/>
          <w:szCs w:val="32"/>
          <w:highlight w:val="none"/>
        </w:rPr>
        <w:t>第一部分 合同书</w:t>
      </w:r>
      <w:bookmarkEnd w:id="119"/>
      <w:bookmarkEnd w:id="120"/>
      <w:bookmarkEnd w:id="121"/>
    </w:p>
    <w:p w14:paraId="2CADBA4C">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u w:val="single"/>
          <w:lang w:val="zh-CN"/>
        </w:rPr>
        <w:t xml:space="preserve">     </w:t>
      </w:r>
      <w:r>
        <w:rPr>
          <w:rFonts w:hint="eastAsia" w:ascii="仿宋_GB2312" w:hAnsi="楷体" w:eastAsia="仿宋_GB2312"/>
          <w:color w:val="auto"/>
          <w:sz w:val="24"/>
          <w:highlight w:val="none"/>
          <w:lang w:val="zh-CN"/>
        </w:rPr>
        <w:t>年</w:t>
      </w:r>
      <w:r>
        <w:rPr>
          <w:rFonts w:hint="eastAsia" w:ascii="仿宋_GB2312" w:hAnsi="楷体" w:eastAsia="仿宋_GB2312"/>
          <w:color w:val="auto"/>
          <w:sz w:val="24"/>
          <w:highlight w:val="none"/>
          <w:u w:val="single"/>
          <w:lang w:val="zh-CN"/>
        </w:rPr>
        <w:t xml:space="preserve">    </w:t>
      </w:r>
      <w:r>
        <w:rPr>
          <w:rFonts w:hint="eastAsia" w:ascii="仿宋_GB2312" w:hAnsi="楷体" w:eastAsia="仿宋_GB2312"/>
          <w:color w:val="auto"/>
          <w:sz w:val="24"/>
          <w:highlight w:val="none"/>
          <w:lang w:val="zh-CN"/>
        </w:rPr>
        <w:t>月</w:t>
      </w:r>
      <w:r>
        <w:rPr>
          <w:rFonts w:hint="eastAsia" w:ascii="仿宋_GB2312" w:hAnsi="楷体" w:eastAsia="仿宋_GB2312"/>
          <w:color w:val="auto"/>
          <w:sz w:val="24"/>
          <w:highlight w:val="none"/>
          <w:u w:val="single"/>
          <w:lang w:val="zh-CN"/>
        </w:rPr>
        <w:t xml:space="preserve">    </w:t>
      </w:r>
      <w:r>
        <w:rPr>
          <w:rFonts w:hint="eastAsia" w:ascii="仿宋_GB2312" w:hAnsi="楷体" w:eastAsia="仿宋_GB2312"/>
          <w:color w:val="auto"/>
          <w:sz w:val="24"/>
          <w:highlight w:val="none"/>
          <w:lang w:val="zh-CN"/>
        </w:rPr>
        <w:t>日</w:t>
      </w:r>
      <w:r>
        <w:rPr>
          <w:rFonts w:hint="eastAsia" w:ascii="仿宋_GB2312" w:hAnsi="楷体" w:eastAsia="仿宋_GB2312"/>
          <w:color w:val="auto"/>
          <w:sz w:val="24"/>
          <w:highlight w:val="none"/>
        </w:rPr>
        <w:t>，</w:t>
      </w:r>
      <w:r>
        <w:rPr>
          <w:rFonts w:hint="eastAsia" w:ascii="仿宋_GB2312" w:hAnsi="仿宋" w:eastAsia="仿宋_GB2312"/>
          <w:color w:val="auto"/>
          <w:sz w:val="24"/>
          <w:highlight w:val="none"/>
          <w:u w:val="single"/>
        </w:rPr>
        <w:t xml:space="preserve">  </w:t>
      </w:r>
      <w:r>
        <w:rPr>
          <w:rFonts w:hint="eastAsia" w:ascii="仿宋_GB2312" w:hAnsi="楷体" w:eastAsia="仿宋_GB2312"/>
          <w:color w:val="auto"/>
          <w:sz w:val="24"/>
          <w:highlight w:val="none"/>
          <w:u w:val="single"/>
        </w:rPr>
        <w:t xml:space="preserve">南宁市良庆区住房和城乡建设局  </w:t>
      </w:r>
      <w:r>
        <w:rPr>
          <w:rFonts w:hint="eastAsia" w:ascii="仿宋_GB2312" w:hAnsi="仿宋" w:eastAsia="仿宋_GB2312"/>
          <w:color w:val="auto"/>
          <w:sz w:val="24"/>
          <w:highlight w:val="none"/>
          <w:u w:val="single"/>
        </w:rPr>
        <w:t xml:space="preserve"> </w:t>
      </w:r>
      <w:r>
        <w:rPr>
          <w:rFonts w:hint="eastAsia" w:ascii="仿宋_GB2312" w:hAnsi="仿宋" w:eastAsia="仿宋_GB2312"/>
          <w:color w:val="auto"/>
          <w:sz w:val="24"/>
          <w:highlight w:val="none"/>
        </w:rPr>
        <w:t>以</w:t>
      </w:r>
      <w:r>
        <w:rPr>
          <w:rFonts w:hint="eastAsia" w:ascii="仿宋_GB2312" w:hAnsi="仿宋" w:eastAsia="仿宋_GB2312"/>
          <w:color w:val="auto"/>
          <w:sz w:val="24"/>
          <w:highlight w:val="none"/>
          <w:u w:val="single"/>
        </w:rPr>
        <w:t xml:space="preserve">   竞争性磋商方式  </w:t>
      </w:r>
      <w:r>
        <w:rPr>
          <w:rFonts w:hint="eastAsia" w:ascii="仿宋_GB2312" w:hAnsi="仿宋" w:eastAsia="仿宋_GB2312"/>
          <w:color w:val="auto"/>
          <w:sz w:val="24"/>
          <w:highlight w:val="none"/>
        </w:rPr>
        <w:t>对</w:t>
      </w:r>
      <w:r>
        <w:rPr>
          <w:rFonts w:hint="eastAsia" w:ascii="仿宋_GB2312" w:hAnsi="仿宋" w:eastAsia="仿宋_GB2312"/>
          <w:color w:val="auto"/>
          <w:sz w:val="24"/>
          <w:highlight w:val="none"/>
          <w:u w:val="single"/>
        </w:rPr>
        <w:t xml:space="preserve">        </w:t>
      </w:r>
      <w:r>
        <w:rPr>
          <w:rFonts w:hint="eastAsia" w:ascii="仿宋_GB2312" w:hAnsi="楷体" w:eastAsia="仿宋_GB2312"/>
          <w:color w:val="auto"/>
          <w:sz w:val="24"/>
          <w:highlight w:val="none"/>
        </w:rPr>
        <w:t>项目进行了采购。经</w:t>
      </w:r>
      <w:r>
        <w:rPr>
          <w:rFonts w:hint="eastAsia" w:ascii="仿宋_GB2312" w:hAnsi="楷体" w:eastAsia="仿宋_GB2312"/>
          <w:color w:val="auto"/>
          <w:sz w:val="24"/>
          <w:highlight w:val="none"/>
          <w:u w:val="single"/>
        </w:rPr>
        <w:t xml:space="preserve">   （相关评定主体名称）   </w:t>
      </w:r>
      <w:r>
        <w:rPr>
          <w:rFonts w:hint="eastAsia" w:ascii="仿宋_GB2312" w:hAnsi="楷体" w:eastAsia="仿宋_GB2312"/>
          <w:color w:val="auto"/>
          <w:sz w:val="24"/>
          <w:highlight w:val="none"/>
        </w:rPr>
        <w:t>评定，</w:t>
      </w:r>
      <w:r>
        <w:rPr>
          <w:rFonts w:hint="eastAsia" w:ascii="仿宋_GB2312" w:hAnsi="楷体" w:eastAsia="仿宋_GB2312"/>
          <w:color w:val="auto"/>
          <w:sz w:val="24"/>
          <w:highlight w:val="none"/>
          <w:u w:val="single"/>
        </w:rPr>
        <w:t xml:space="preserve">   （供应商名称）</w:t>
      </w:r>
      <w:r>
        <w:rPr>
          <w:rFonts w:hint="eastAsia" w:ascii="仿宋_GB2312" w:hAnsi="楷体" w:eastAsia="仿宋_GB2312"/>
          <w:color w:val="auto"/>
          <w:sz w:val="24"/>
          <w:highlight w:val="none"/>
        </w:rPr>
        <w:t>为该项目成交供应商。现于成交通知书发出之日起</w:t>
      </w:r>
      <w:r>
        <w:rPr>
          <w:rFonts w:hint="eastAsia" w:ascii="仿宋_GB2312" w:hAnsi="楷体" w:eastAsia="仿宋_GB2312"/>
          <w:color w:val="auto"/>
          <w:sz w:val="24"/>
          <w:highlight w:val="none"/>
          <w:u w:val="single"/>
        </w:rPr>
        <w:t xml:space="preserve"> 25 </w:t>
      </w:r>
      <w:r>
        <w:rPr>
          <w:rFonts w:hint="eastAsia" w:ascii="仿宋_GB2312" w:hAnsi="楷体" w:eastAsia="仿宋_GB2312"/>
          <w:color w:val="auto"/>
          <w:sz w:val="24"/>
          <w:highlight w:val="none"/>
        </w:rPr>
        <w:t>日内，按照采购文件确定的事项签订本合同。</w:t>
      </w:r>
    </w:p>
    <w:p w14:paraId="71413846">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lang w:val="zh-CN"/>
        </w:rPr>
        <w:t>根据《中华人民共和国民法典》、《中华人民共和国政府采购法》等相关法律法规之规定，按照平等、自愿、公平和诚实信用的原则，经</w:t>
      </w:r>
      <w:r>
        <w:rPr>
          <w:rFonts w:hint="eastAsia" w:ascii="仿宋_GB2312" w:hAnsi="楷体" w:eastAsia="仿宋_GB2312"/>
          <w:color w:val="auto"/>
          <w:sz w:val="24"/>
          <w:highlight w:val="none"/>
          <w:u w:val="single"/>
        </w:rPr>
        <w:t xml:space="preserve"> 南宁市良庆区住房和城乡建设局  </w:t>
      </w:r>
      <w:r>
        <w:rPr>
          <w:rFonts w:hint="eastAsia" w:ascii="仿宋_GB2312" w:hAnsi="楷体" w:eastAsia="仿宋_GB2312"/>
          <w:color w:val="auto"/>
          <w:sz w:val="24"/>
          <w:highlight w:val="none"/>
          <w:lang w:val="zh-CN"/>
        </w:rPr>
        <w:t>(以下简称：甲方)和</w:t>
      </w:r>
      <w:r>
        <w:rPr>
          <w:rFonts w:hint="eastAsia" w:ascii="仿宋_GB2312" w:hAnsi="楷体" w:eastAsia="仿宋_GB2312"/>
          <w:color w:val="auto"/>
          <w:sz w:val="24"/>
          <w:highlight w:val="none"/>
          <w:u w:val="single"/>
        </w:rPr>
        <w:t xml:space="preserve">   （中标人名称）   </w:t>
      </w:r>
      <w:r>
        <w:rPr>
          <w:rFonts w:hint="eastAsia" w:ascii="仿宋_GB2312" w:hAnsi="楷体" w:eastAsia="仿宋_GB2312"/>
          <w:color w:val="auto"/>
          <w:sz w:val="24"/>
          <w:highlight w:val="none"/>
          <w:lang w:val="zh-CN"/>
        </w:rPr>
        <w:t>(以下简称：乙方)协商一致，约定以下合同</w:t>
      </w:r>
      <w:r>
        <w:rPr>
          <w:rFonts w:hint="eastAsia" w:ascii="仿宋_GB2312" w:hAnsi="楷体" w:eastAsia="仿宋_GB2312"/>
          <w:color w:val="auto"/>
          <w:sz w:val="24"/>
          <w:highlight w:val="none"/>
        </w:rPr>
        <w:t>条款，以兹共同遵守、全面履行。</w:t>
      </w:r>
    </w:p>
    <w:p w14:paraId="794EFB82">
      <w:pPr>
        <w:spacing w:line="360" w:lineRule="auto"/>
        <w:ind w:firstLine="482" w:firstLineChars="200"/>
        <w:rPr>
          <w:rFonts w:hint="eastAsia" w:ascii="仿宋_GB2312" w:hAnsi="楷体" w:eastAsia="仿宋_GB2312"/>
          <w:b/>
          <w:color w:val="auto"/>
          <w:sz w:val="24"/>
          <w:highlight w:val="none"/>
        </w:rPr>
      </w:pPr>
      <w:bookmarkStart w:id="122" w:name="_Toc2232"/>
      <w:bookmarkStart w:id="123" w:name="_Toc24059"/>
      <w:bookmarkStart w:id="124" w:name="_Toc3029"/>
      <w:r>
        <w:rPr>
          <w:rFonts w:hint="eastAsia" w:ascii="仿宋_GB2312" w:hAnsi="楷体" w:eastAsia="仿宋_GB2312"/>
          <w:b/>
          <w:color w:val="auto"/>
          <w:sz w:val="24"/>
          <w:highlight w:val="none"/>
        </w:rPr>
        <w:t>1.1 合同组成部分</w:t>
      </w:r>
      <w:bookmarkEnd w:id="122"/>
      <w:bookmarkEnd w:id="123"/>
      <w:bookmarkEnd w:id="124"/>
    </w:p>
    <w:p w14:paraId="23DD98E3">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0D3DE075">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1.1.1 本合同及其补充合同、变更协议；</w:t>
      </w:r>
    </w:p>
    <w:p w14:paraId="4C6CBB65">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1.1.2 成交通知书；</w:t>
      </w:r>
    </w:p>
    <w:p w14:paraId="6DBCB30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1.1.3 采购文件及“响应报价”（含澄清或者说明文件）；</w:t>
      </w:r>
    </w:p>
    <w:p w14:paraId="6C7474F5">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1.1.4 采购文件（含澄清或者修改文件）；</w:t>
      </w:r>
    </w:p>
    <w:p w14:paraId="3832B2F6">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1.1.5 其他相关采购文件。</w:t>
      </w:r>
    </w:p>
    <w:p w14:paraId="038C798F">
      <w:pPr>
        <w:spacing w:line="360" w:lineRule="auto"/>
        <w:ind w:firstLine="482" w:firstLineChars="200"/>
        <w:rPr>
          <w:rFonts w:hint="eastAsia" w:ascii="仿宋_GB2312" w:hAnsi="楷体" w:eastAsia="仿宋_GB2312"/>
          <w:b/>
          <w:color w:val="auto"/>
          <w:sz w:val="24"/>
          <w:highlight w:val="none"/>
        </w:rPr>
      </w:pPr>
      <w:bookmarkStart w:id="125" w:name="_Toc27126"/>
      <w:bookmarkStart w:id="126" w:name="_Toc24300"/>
      <w:bookmarkStart w:id="127" w:name="_Toc21295"/>
      <w:r>
        <w:rPr>
          <w:rFonts w:hint="eastAsia" w:ascii="仿宋_GB2312" w:hAnsi="楷体" w:eastAsia="仿宋_GB2312"/>
          <w:b/>
          <w:color w:val="auto"/>
          <w:sz w:val="24"/>
          <w:highlight w:val="none"/>
        </w:rPr>
        <w:t>1.2 标的物</w:t>
      </w:r>
      <w:bookmarkEnd w:id="125"/>
      <w:bookmarkEnd w:id="126"/>
      <w:bookmarkEnd w:id="127"/>
    </w:p>
    <w:p w14:paraId="032EC19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1.2.1 标的物1信息</w:t>
      </w:r>
    </w:p>
    <w:p w14:paraId="53C7B793">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1.2.1.1名称：</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0798B4A0">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1.2.1.2数量：</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2D95713A">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1.2.1.3质量：</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0261486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w:t>
      </w:r>
    </w:p>
    <w:p w14:paraId="7628A7FD">
      <w:pPr>
        <w:spacing w:line="360" w:lineRule="auto"/>
        <w:ind w:firstLine="482" w:firstLineChars="200"/>
        <w:rPr>
          <w:rFonts w:hint="eastAsia" w:ascii="仿宋_GB2312" w:hAnsi="楷体" w:eastAsia="仿宋_GB2312"/>
          <w:b/>
          <w:color w:val="auto"/>
          <w:sz w:val="24"/>
          <w:highlight w:val="none"/>
        </w:rPr>
      </w:pPr>
      <w:bookmarkStart w:id="128" w:name="_Toc23292"/>
      <w:bookmarkStart w:id="129" w:name="_Toc21551"/>
      <w:bookmarkStart w:id="130" w:name="_Toc21631"/>
      <w:r>
        <w:rPr>
          <w:rFonts w:hint="eastAsia" w:ascii="仿宋_GB2312" w:hAnsi="楷体" w:eastAsia="仿宋_GB2312"/>
          <w:b/>
          <w:color w:val="auto"/>
          <w:sz w:val="24"/>
          <w:highlight w:val="none"/>
        </w:rPr>
        <w:t>1.3 价款</w:t>
      </w:r>
      <w:bookmarkEnd w:id="128"/>
      <w:bookmarkEnd w:id="129"/>
      <w:bookmarkEnd w:id="130"/>
    </w:p>
    <w:p w14:paraId="565AD6D3">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本合同总价为：人民币</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元（大写：</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元人民币，含税）。</w:t>
      </w:r>
    </w:p>
    <w:p w14:paraId="77914BEE">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分项价格：</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9"/>
        <w:gridCol w:w="4396"/>
        <w:gridCol w:w="3297"/>
      </w:tblGrid>
      <w:tr w14:paraId="5BCA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noWrap w:val="0"/>
            <w:vAlign w:val="center"/>
          </w:tcPr>
          <w:p w14:paraId="184DA15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序号</w:t>
            </w:r>
          </w:p>
        </w:tc>
        <w:tc>
          <w:tcPr>
            <w:tcW w:w="2377" w:type="pct"/>
            <w:tcBorders>
              <w:top w:val="single" w:color="auto" w:sz="4" w:space="0"/>
              <w:left w:val="single" w:color="auto" w:sz="4" w:space="0"/>
              <w:bottom w:val="single" w:color="auto" w:sz="4" w:space="0"/>
              <w:right w:val="single" w:color="auto" w:sz="4" w:space="0"/>
            </w:tcBorders>
            <w:noWrap w:val="0"/>
            <w:vAlign w:val="center"/>
          </w:tcPr>
          <w:p w14:paraId="023E57FB">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分项名称</w:t>
            </w:r>
          </w:p>
        </w:tc>
        <w:tc>
          <w:tcPr>
            <w:tcW w:w="1783" w:type="pct"/>
            <w:tcBorders>
              <w:top w:val="single" w:color="auto" w:sz="4" w:space="0"/>
              <w:left w:val="single" w:color="auto" w:sz="4" w:space="0"/>
              <w:bottom w:val="single" w:color="auto" w:sz="4" w:space="0"/>
              <w:right w:val="single" w:color="auto" w:sz="4" w:space="0"/>
            </w:tcBorders>
            <w:noWrap w:val="0"/>
            <w:vAlign w:val="center"/>
          </w:tcPr>
          <w:p w14:paraId="7DE434C7">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分项价格</w:t>
            </w:r>
          </w:p>
        </w:tc>
      </w:tr>
      <w:tr w14:paraId="3C6B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noWrap w:val="0"/>
            <w:vAlign w:val="center"/>
          </w:tcPr>
          <w:p w14:paraId="7C05B88E">
            <w:pPr>
              <w:spacing w:line="360" w:lineRule="auto"/>
              <w:ind w:firstLine="480" w:firstLineChars="200"/>
              <w:rPr>
                <w:rFonts w:hint="eastAsia" w:ascii="仿宋_GB2312" w:hAnsi="楷体" w:eastAsia="仿宋_GB2312"/>
                <w:color w:val="auto"/>
                <w:sz w:val="24"/>
                <w:highlight w:val="none"/>
              </w:rPr>
            </w:pPr>
          </w:p>
        </w:tc>
        <w:tc>
          <w:tcPr>
            <w:tcW w:w="2377" w:type="pct"/>
            <w:tcBorders>
              <w:top w:val="single" w:color="auto" w:sz="4" w:space="0"/>
              <w:left w:val="single" w:color="auto" w:sz="4" w:space="0"/>
              <w:bottom w:val="single" w:color="auto" w:sz="4" w:space="0"/>
              <w:right w:val="single" w:color="auto" w:sz="4" w:space="0"/>
            </w:tcBorders>
            <w:noWrap w:val="0"/>
            <w:vAlign w:val="center"/>
          </w:tcPr>
          <w:p w14:paraId="0FB001C3">
            <w:pPr>
              <w:spacing w:line="360" w:lineRule="auto"/>
              <w:ind w:firstLine="480" w:firstLineChars="200"/>
              <w:rPr>
                <w:rFonts w:hint="eastAsia" w:ascii="仿宋_GB2312" w:hAnsi="楷体" w:eastAsia="仿宋_GB2312"/>
                <w:color w:val="auto"/>
                <w:sz w:val="24"/>
                <w:highlight w:val="none"/>
              </w:rPr>
            </w:pPr>
          </w:p>
        </w:tc>
        <w:tc>
          <w:tcPr>
            <w:tcW w:w="1783" w:type="pct"/>
            <w:tcBorders>
              <w:top w:val="single" w:color="auto" w:sz="4" w:space="0"/>
              <w:left w:val="single" w:color="auto" w:sz="4" w:space="0"/>
              <w:bottom w:val="single" w:color="auto" w:sz="4" w:space="0"/>
              <w:right w:val="single" w:color="auto" w:sz="4" w:space="0"/>
            </w:tcBorders>
            <w:noWrap w:val="0"/>
            <w:vAlign w:val="center"/>
          </w:tcPr>
          <w:p w14:paraId="462B4B28">
            <w:pPr>
              <w:spacing w:line="360" w:lineRule="auto"/>
              <w:ind w:firstLine="480" w:firstLineChars="200"/>
              <w:rPr>
                <w:rFonts w:hint="eastAsia" w:ascii="仿宋_GB2312" w:hAnsi="楷体" w:eastAsia="仿宋_GB2312"/>
                <w:color w:val="auto"/>
                <w:sz w:val="24"/>
                <w:highlight w:val="none"/>
              </w:rPr>
            </w:pPr>
          </w:p>
        </w:tc>
      </w:tr>
      <w:tr w14:paraId="5202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noWrap w:val="0"/>
            <w:vAlign w:val="center"/>
          </w:tcPr>
          <w:p w14:paraId="59BBA7CD">
            <w:pPr>
              <w:spacing w:line="360" w:lineRule="auto"/>
              <w:ind w:firstLine="480" w:firstLineChars="200"/>
              <w:rPr>
                <w:rFonts w:hint="eastAsia" w:ascii="仿宋_GB2312" w:hAnsi="楷体" w:eastAsia="仿宋_GB2312"/>
                <w:color w:val="auto"/>
                <w:sz w:val="24"/>
                <w:highlight w:val="none"/>
              </w:rPr>
            </w:pPr>
          </w:p>
        </w:tc>
        <w:tc>
          <w:tcPr>
            <w:tcW w:w="2377" w:type="pct"/>
            <w:tcBorders>
              <w:top w:val="single" w:color="auto" w:sz="4" w:space="0"/>
              <w:left w:val="single" w:color="auto" w:sz="4" w:space="0"/>
              <w:bottom w:val="single" w:color="auto" w:sz="4" w:space="0"/>
              <w:right w:val="single" w:color="auto" w:sz="4" w:space="0"/>
            </w:tcBorders>
            <w:noWrap w:val="0"/>
            <w:vAlign w:val="center"/>
          </w:tcPr>
          <w:p w14:paraId="5FEC82F3">
            <w:pPr>
              <w:spacing w:line="360" w:lineRule="auto"/>
              <w:ind w:firstLine="480" w:firstLineChars="200"/>
              <w:rPr>
                <w:rFonts w:hint="eastAsia" w:ascii="仿宋_GB2312" w:hAnsi="楷体" w:eastAsia="仿宋_GB2312"/>
                <w:color w:val="auto"/>
                <w:sz w:val="24"/>
                <w:highlight w:val="none"/>
              </w:rPr>
            </w:pPr>
          </w:p>
        </w:tc>
        <w:tc>
          <w:tcPr>
            <w:tcW w:w="1783" w:type="pct"/>
            <w:tcBorders>
              <w:top w:val="single" w:color="auto" w:sz="4" w:space="0"/>
              <w:left w:val="single" w:color="auto" w:sz="4" w:space="0"/>
              <w:bottom w:val="single" w:color="auto" w:sz="4" w:space="0"/>
              <w:right w:val="single" w:color="auto" w:sz="4" w:space="0"/>
            </w:tcBorders>
            <w:noWrap w:val="0"/>
            <w:vAlign w:val="center"/>
          </w:tcPr>
          <w:p w14:paraId="2FC84FD2">
            <w:pPr>
              <w:spacing w:line="360" w:lineRule="auto"/>
              <w:ind w:firstLine="480" w:firstLineChars="200"/>
              <w:rPr>
                <w:rFonts w:hint="eastAsia" w:ascii="仿宋_GB2312" w:hAnsi="楷体" w:eastAsia="仿宋_GB2312"/>
                <w:color w:val="auto"/>
                <w:sz w:val="24"/>
                <w:highlight w:val="none"/>
              </w:rPr>
            </w:pPr>
          </w:p>
        </w:tc>
      </w:tr>
      <w:tr w14:paraId="0A09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noWrap w:val="0"/>
            <w:vAlign w:val="center"/>
          </w:tcPr>
          <w:p w14:paraId="04DB67AE">
            <w:pPr>
              <w:spacing w:line="360" w:lineRule="auto"/>
              <w:ind w:firstLine="480" w:firstLineChars="200"/>
              <w:rPr>
                <w:rFonts w:hint="eastAsia" w:ascii="仿宋_GB2312" w:hAnsi="楷体" w:eastAsia="仿宋_GB2312"/>
                <w:color w:val="auto"/>
                <w:sz w:val="24"/>
                <w:highlight w:val="none"/>
              </w:rPr>
            </w:pPr>
          </w:p>
        </w:tc>
        <w:tc>
          <w:tcPr>
            <w:tcW w:w="2377" w:type="pct"/>
            <w:tcBorders>
              <w:top w:val="single" w:color="auto" w:sz="4" w:space="0"/>
              <w:left w:val="single" w:color="auto" w:sz="4" w:space="0"/>
              <w:bottom w:val="single" w:color="auto" w:sz="4" w:space="0"/>
              <w:right w:val="single" w:color="auto" w:sz="4" w:space="0"/>
            </w:tcBorders>
            <w:noWrap w:val="0"/>
            <w:vAlign w:val="center"/>
          </w:tcPr>
          <w:p w14:paraId="464D33BE">
            <w:pPr>
              <w:spacing w:line="360" w:lineRule="auto"/>
              <w:ind w:firstLine="480" w:firstLineChars="200"/>
              <w:rPr>
                <w:rFonts w:hint="eastAsia" w:ascii="仿宋_GB2312" w:hAnsi="楷体" w:eastAsia="仿宋_GB2312"/>
                <w:color w:val="auto"/>
                <w:sz w:val="24"/>
                <w:highlight w:val="none"/>
              </w:rPr>
            </w:pPr>
          </w:p>
        </w:tc>
        <w:tc>
          <w:tcPr>
            <w:tcW w:w="1783" w:type="pct"/>
            <w:tcBorders>
              <w:top w:val="single" w:color="auto" w:sz="4" w:space="0"/>
              <w:left w:val="single" w:color="auto" w:sz="4" w:space="0"/>
              <w:bottom w:val="single" w:color="auto" w:sz="4" w:space="0"/>
              <w:right w:val="single" w:color="auto" w:sz="4" w:space="0"/>
            </w:tcBorders>
            <w:noWrap w:val="0"/>
            <w:vAlign w:val="center"/>
          </w:tcPr>
          <w:p w14:paraId="232C91DF">
            <w:pPr>
              <w:spacing w:line="360" w:lineRule="auto"/>
              <w:ind w:firstLine="480" w:firstLineChars="200"/>
              <w:rPr>
                <w:rFonts w:hint="eastAsia" w:ascii="仿宋_GB2312" w:hAnsi="楷体" w:eastAsia="仿宋_GB2312"/>
                <w:color w:val="auto"/>
                <w:sz w:val="24"/>
                <w:highlight w:val="none"/>
              </w:rPr>
            </w:pPr>
          </w:p>
        </w:tc>
      </w:tr>
      <w:tr w14:paraId="6B3A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16" w:type="pct"/>
            <w:gridSpan w:val="2"/>
            <w:tcBorders>
              <w:top w:val="single" w:color="auto" w:sz="4" w:space="0"/>
              <w:left w:val="single" w:color="auto" w:sz="4" w:space="0"/>
              <w:bottom w:val="single" w:color="auto" w:sz="4" w:space="0"/>
              <w:right w:val="single" w:color="auto" w:sz="4" w:space="0"/>
            </w:tcBorders>
            <w:noWrap w:val="0"/>
            <w:vAlign w:val="center"/>
          </w:tcPr>
          <w:p w14:paraId="6F97ABBB">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总价</w:t>
            </w:r>
          </w:p>
        </w:tc>
        <w:tc>
          <w:tcPr>
            <w:tcW w:w="1783" w:type="pct"/>
            <w:tcBorders>
              <w:top w:val="single" w:color="auto" w:sz="4" w:space="0"/>
              <w:left w:val="single" w:color="auto" w:sz="4" w:space="0"/>
              <w:bottom w:val="single" w:color="auto" w:sz="4" w:space="0"/>
              <w:right w:val="single" w:color="auto" w:sz="4" w:space="0"/>
            </w:tcBorders>
            <w:noWrap w:val="0"/>
            <w:vAlign w:val="center"/>
          </w:tcPr>
          <w:p w14:paraId="00B63807">
            <w:pPr>
              <w:spacing w:line="360" w:lineRule="auto"/>
              <w:ind w:firstLine="480" w:firstLineChars="200"/>
              <w:rPr>
                <w:rFonts w:hint="eastAsia" w:ascii="仿宋_GB2312" w:hAnsi="楷体" w:eastAsia="仿宋_GB2312"/>
                <w:color w:val="auto"/>
                <w:sz w:val="24"/>
                <w:highlight w:val="none"/>
              </w:rPr>
            </w:pPr>
          </w:p>
        </w:tc>
      </w:tr>
    </w:tbl>
    <w:p w14:paraId="01757C5E">
      <w:pPr>
        <w:spacing w:line="360" w:lineRule="auto"/>
        <w:ind w:firstLine="482" w:firstLineChars="200"/>
        <w:rPr>
          <w:rFonts w:hint="eastAsia" w:ascii="仿宋_GB2312" w:hAnsi="楷体" w:eastAsia="仿宋_GB2312"/>
          <w:b/>
          <w:color w:val="auto"/>
          <w:sz w:val="24"/>
          <w:highlight w:val="none"/>
        </w:rPr>
      </w:pPr>
      <w:bookmarkStart w:id="131" w:name="_Toc22618"/>
      <w:bookmarkStart w:id="132" w:name="_Toc1814"/>
      <w:bookmarkStart w:id="133" w:name="_Toc10340"/>
      <w:r>
        <w:rPr>
          <w:rFonts w:hint="eastAsia" w:ascii="仿宋_GB2312" w:hAnsi="楷体" w:eastAsia="仿宋_GB2312"/>
          <w:b/>
          <w:color w:val="auto"/>
          <w:sz w:val="24"/>
          <w:highlight w:val="none"/>
        </w:rPr>
        <w:t>1.4 付款方式和发票开具方式</w:t>
      </w:r>
      <w:bookmarkEnd w:id="131"/>
      <w:bookmarkEnd w:id="132"/>
      <w:bookmarkEnd w:id="133"/>
    </w:p>
    <w:p w14:paraId="5FAEB016">
      <w:pPr>
        <w:spacing w:line="360" w:lineRule="exact"/>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1.4.1 付款方式：</w:t>
      </w:r>
    </w:p>
    <w:p w14:paraId="42A77226">
      <w:pPr>
        <w:spacing w:line="36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第一笔：签订合同后，乙方进行房屋安全查勘、检测、调查及验算分析验算分析等安全鉴定并有初步成果文件，10个工作日内甲方向乙方支付合同总价款的30%。</w:t>
      </w:r>
    </w:p>
    <w:p w14:paraId="3C5BD757">
      <w:pPr>
        <w:spacing w:line="36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第二笔：乙方向甲方提交房屋安全鉴定报告成果文件，10个工作日内甲方向乙方支付合同总价款的50%。</w:t>
      </w:r>
    </w:p>
    <w:p w14:paraId="31CA7345">
      <w:pPr>
        <w:spacing w:line="360" w:lineRule="exact"/>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第三笔：乙方向甲方提交房屋使用功能检测报告成果文件， 10个工作日内甲方向乙方支付合同总价款的20%。</w:t>
      </w:r>
    </w:p>
    <w:p w14:paraId="16817460">
      <w:pPr>
        <w:spacing w:line="360" w:lineRule="auto"/>
        <w:ind w:firstLine="482" w:firstLineChars="200"/>
        <w:rPr>
          <w:rFonts w:hint="eastAsia" w:ascii="仿宋_GB2312" w:hAnsi="楷体" w:eastAsia="仿宋_GB2312"/>
          <w:color w:val="auto"/>
          <w:sz w:val="24"/>
          <w:highlight w:val="none"/>
        </w:rPr>
      </w:pPr>
      <w:r>
        <w:rPr>
          <w:rFonts w:hint="eastAsia" w:ascii="宋体" w:hAnsi="宋体" w:cs="宋体"/>
          <w:b/>
          <w:bCs/>
          <w:color w:val="auto"/>
          <w:sz w:val="24"/>
          <w:szCs w:val="24"/>
          <w:highlight w:val="none"/>
        </w:rPr>
        <w:t>发票开具方式：采购人付款前中标人应提供合法有效的增值税专用发票，否则采购人有权推迟付款时间。</w:t>
      </w:r>
    </w:p>
    <w:p w14:paraId="2218C7B6">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1.4.2 发票开具方式：</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1EDC88F0">
      <w:pPr>
        <w:spacing w:line="360" w:lineRule="auto"/>
        <w:ind w:firstLine="482" w:firstLineChars="200"/>
        <w:rPr>
          <w:rFonts w:hint="eastAsia" w:ascii="仿宋_GB2312" w:hAnsi="楷体" w:eastAsia="仿宋_GB2312"/>
          <w:b/>
          <w:color w:val="auto"/>
          <w:sz w:val="24"/>
          <w:highlight w:val="none"/>
        </w:rPr>
      </w:pPr>
      <w:bookmarkStart w:id="134" w:name="_Toc19304"/>
      <w:bookmarkStart w:id="135" w:name="_Toc32071"/>
      <w:bookmarkStart w:id="136" w:name="_Toc2846"/>
      <w:r>
        <w:rPr>
          <w:rFonts w:hint="eastAsia" w:ascii="仿宋_GB2312" w:hAnsi="楷体" w:eastAsia="仿宋_GB2312"/>
          <w:b/>
          <w:color w:val="auto"/>
          <w:sz w:val="24"/>
          <w:highlight w:val="none"/>
        </w:rPr>
        <w:t>1.5 标的物交付期限、地点、方式</w:t>
      </w:r>
      <w:bookmarkEnd w:id="134"/>
      <w:bookmarkEnd w:id="135"/>
      <w:bookmarkEnd w:id="136"/>
      <w:r>
        <w:rPr>
          <w:rFonts w:hint="eastAsia" w:ascii="仿宋_GB2312" w:hAnsi="楷体" w:eastAsia="仿宋_GB2312"/>
          <w:b/>
          <w:color w:val="auto"/>
          <w:sz w:val="24"/>
          <w:highlight w:val="none"/>
        </w:rPr>
        <w:t>和服务期限</w:t>
      </w:r>
    </w:p>
    <w:p w14:paraId="1E5325C2">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rPr>
        <w:t>1.5.1 交付期限：</w:t>
      </w:r>
      <w:r>
        <w:rPr>
          <w:rFonts w:hint="eastAsia" w:ascii="仿宋_GB2312" w:hAnsi="楷体" w:eastAsia="仿宋_GB2312"/>
          <w:color w:val="auto"/>
          <w:sz w:val="24"/>
          <w:highlight w:val="none"/>
          <w:u w:val="single"/>
        </w:rPr>
        <w:t xml:space="preserve">                                                 ；</w:t>
      </w:r>
    </w:p>
    <w:p w14:paraId="45D8A3EE">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1.5.2 交付地点：</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3B353AC7">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1.5.3 交付方式：</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61BB7AF4">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1.5.4 服务及质保期限：</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w:t>
      </w:r>
    </w:p>
    <w:p w14:paraId="7985E2E0">
      <w:pPr>
        <w:spacing w:line="360" w:lineRule="auto"/>
        <w:ind w:firstLine="482" w:firstLineChars="200"/>
        <w:rPr>
          <w:rFonts w:hint="eastAsia" w:ascii="仿宋_GB2312" w:hAnsi="楷体" w:eastAsia="仿宋_GB2312"/>
          <w:b/>
          <w:color w:val="auto"/>
          <w:sz w:val="24"/>
          <w:highlight w:val="none"/>
        </w:rPr>
      </w:pPr>
      <w:bookmarkStart w:id="137" w:name="_Toc21423"/>
      <w:bookmarkStart w:id="138" w:name="_Toc19554"/>
      <w:bookmarkStart w:id="139" w:name="_Toc27250"/>
      <w:r>
        <w:rPr>
          <w:rFonts w:hint="eastAsia" w:ascii="仿宋_GB2312" w:hAnsi="楷体" w:eastAsia="仿宋_GB2312"/>
          <w:b/>
          <w:color w:val="auto"/>
          <w:sz w:val="24"/>
          <w:highlight w:val="none"/>
        </w:rPr>
        <w:t>1.6 违约责任</w:t>
      </w:r>
      <w:bookmarkEnd w:id="137"/>
      <w:bookmarkEnd w:id="138"/>
      <w:bookmarkEnd w:id="139"/>
    </w:p>
    <w:p w14:paraId="7D10F63E">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仿宋_GB2312" w:hAnsi="楷体" w:eastAsia="仿宋_GB2312"/>
          <w:color w:val="auto"/>
          <w:sz w:val="24"/>
          <w:highlight w:val="none"/>
          <w:u w:val="single"/>
        </w:rPr>
        <w:t>万分之五</w:t>
      </w:r>
      <w:r>
        <w:rPr>
          <w:rFonts w:hint="eastAsia" w:ascii="仿宋_GB2312" w:hAnsi="楷体" w:eastAsia="仿宋_GB2312"/>
          <w:color w:val="auto"/>
          <w:sz w:val="24"/>
          <w:highlight w:val="none"/>
        </w:rPr>
        <w:t>（根据项目实际填写，一般为万分之五）计算，最高限额为本合同总价的</w:t>
      </w:r>
      <w:r>
        <w:rPr>
          <w:rFonts w:hint="eastAsia" w:ascii="仿宋_GB2312" w:hAnsi="楷体" w:eastAsia="仿宋_GB2312"/>
          <w:color w:val="auto"/>
          <w:sz w:val="24"/>
          <w:highlight w:val="none"/>
          <w:u w:val="single"/>
        </w:rPr>
        <w:t xml:space="preserve"> 20 </w:t>
      </w:r>
      <w:r>
        <w:rPr>
          <w:rFonts w:hint="eastAsia" w:ascii="仿宋_GB2312" w:hAnsi="楷体" w:eastAsia="仿宋_GB2312"/>
          <w:color w:val="auto"/>
          <w:sz w:val="24"/>
          <w:highlight w:val="none"/>
        </w:rPr>
        <w:t>%（根据项目实际填写，一般为20%）；迟延超过【  】日的，甲方有权在要求乙方支付违约金的同时，书面通知乙方解除本合同，乙方应退回全部已收取的合同价款并按合同总金额的</w:t>
      </w:r>
      <w:r>
        <w:rPr>
          <w:rFonts w:hint="eastAsia" w:ascii="仿宋_GB2312" w:hAnsi="楷体" w:eastAsia="仿宋_GB2312"/>
          <w:color w:val="auto"/>
          <w:sz w:val="24"/>
          <w:highlight w:val="none"/>
          <w:u w:val="single"/>
        </w:rPr>
        <w:t xml:space="preserve"> 20 </w:t>
      </w:r>
      <w:r>
        <w:rPr>
          <w:rFonts w:hint="eastAsia" w:ascii="仿宋_GB2312" w:hAnsi="楷体" w:eastAsia="仿宋_GB2312"/>
          <w:color w:val="auto"/>
          <w:sz w:val="24"/>
          <w:highlight w:val="none"/>
        </w:rPr>
        <w:t>%（根据项目实际填写，一般为20%）向甲方支付违约金；</w:t>
      </w:r>
    </w:p>
    <w:p w14:paraId="57658E8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1.6.2 除不可抗力外，如果甲方没有按照本合同约定的付款方式付款，乙方可要求甲方支付违约金，违约金按每迟延付款一日的应付而未付款的</w:t>
      </w:r>
      <w:r>
        <w:rPr>
          <w:rFonts w:hint="eastAsia" w:ascii="仿宋_GB2312" w:hAnsi="楷体" w:eastAsia="仿宋_GB2312"/>
          <w:color w:val="auto"/>
          <w:sz w:val="24"/>
          <w:highlight w:val="none"/>
          <w:u w:val="single"/>
        </w:rPr>
        <w:t>万分之五</w:t>
      </w:r>
      <w:r>
        <w:rPr>
          <w:rFonts w:hint="eastAsia" w:ascii="仿宋_GB2312" w:hAnsi="楷体" w:eastAsia="仿宋_GB2312"/>
          <w:color w:val="auto"/>
          <w:sz w:val="24"/>
          <w:highlight w:val="none"/>
        </w:rPr>
        <w:t>（根据项目实际填写，一般为万分之五）计算，最高限额为欠付金额的</w:t>
      </w:r>
      <w:r>
        <w:rPr>
          <w:rFonts w:hint="eastAsia" w:ascii="仿宋_GB2312" w:hAnsi="楷体" w:eastAsia="仿宋_GB2312"/>
          <w:color w:val="auto"/>
          <w:sz w:val="24"/>
          <w:highlight w:val="none"/>
          <w:u w:val="single"/>
        </w:rPr>
        <w:t xml:space="preserve"> 20 </w:t>
      </w:r>
      <w:r>
        <w:rPr>
          <w:rFonts w:hint="eastAsia" w:ascii="仿宋_GB2312" w:hAnsi="楷体" w:eastAsia="仿宋_GB2312"/>
          <w:color w:val="auto"/>
          <w:sz w:val="24"/>
          <w:highlight w:val="none"/>
        </w:rPr>
        <w:t>%（根据项目实际填写，一般为20%）；迟延付款的违约金计算数额达到前述最高限额之日起，乙方有权在要求甲方支付违约金的同时，书面通知甲方解除本合同；</w:t>
      </w:r>
    </w:p>
    <w:p w14:paraId="3A465CC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BC5DA87">
      <w:pPr>
        <w:spacing w:line="360" w:lineRule="auto"/>
        <w:ind w:left="239" w:leftChars="114" w:firstLine="240" w:firstLineChars="100"/>
        <w:rPr>
          <w:rFonts w:hint="eastAsia" w:ascii="仿宋" w:hAnsi="仿宋" w:eastAsia="仿宋" w:cs="仿宋"/>
          <w:color w:val="auto"/>
          <w:sz w:val="24"/>
          <w:highlight w:val="none"/>
        </w:rPr>
      </w:pPr>
      <w:r>
        <w:rPr>
          <w:rFonts w:hint="eastAsia" w:ascii="仿宋_GB2312" w:hAnsi="楷体" w:eastAsia="仿宋_GB2312"/>
          <w:color w:val="auto"/>
          <w:sz w:val="24"/>
          <w:highlight w:val="none"/>
        </w:rPr>
        <w:t>1.6.4乙方在质保期内未按承诺提供售后等服务的，每发生一次向甲方支付</w:t>
      </w:r>
      <w:r>
        <w:rPr>
          <w:rFonts w:hint="eastAsia" w:ascii="仿宋" w:hAnsi="仿宋" w:eastAsia="仿宋" w:cs="仿宋"/>
          <w:color w:val="auto"/>
          <w:sz w:val="24"/>
          <w:highlight w:val="none"/>
          <w:u w:val="single"/>
        </w:rPr>
        <w:t xml:space="preserve"> 1000 </w:t>
      </w:r>
      <w:r>
        <w:rPr>
          <w:rFonts w:hint="eastAsia" w:ascii="仿宋_GB2312" w:hAnsi="楷体" w:eastAsia="仿宋_GB2312"/>
          <w:color w:val="auto"/>
          <w:sz w:val="24"/>
          <w:highlight w:val="none"/>
        </w:rPr>
        <w:t>元（根据项目实际填写，一般为2000元）的违约金。</w:t>
      </w:r>
    </w:p>
    <w:p w14:paraId="76CB283C">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A85D930">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82C07B2">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23E665EB">
      <w:pPr>
        <w:spacing w:line="360" w:lineRule="auto"/>
        <w:ind w:firstLine="482" w:firstLineChars="200"/>
        <w:rPr>
          <w:rFonts w:hint="eastAsia" w:ascii="仿宋_GB2312" w:hAnsi="楷体" w:eastAsia="仿宋_GB2312"/>
          <w:b/>
          <w:color w:val="auto"/>
          <w:sz w:val="24"/>
          <w:highlight w:val="none"/>
        </w:rPr>
      </w:pPr>
      <w:bookmarkStart w:id="140" w:name="_Toc15583"/>
      <w:bookmarkStart w:id="141" w:name="_Toc16021"/>
      <w:bookmarkStart w:id="142" w:name="_Toc28375"/>
      <w:r>
        <w:rPr>
          <w:rFonts w:hint="eastAsia" w:ascii="仿宋_GB2312" w:hAnsi="楷体" w:eastAsia="仿宋_GB2312"/>
          <w:b/>
          <w:color w:val="auto"/>
          <w:sz w:val="24"/>
          <w:highlight w:val="none"/>
        </w:rPr>
        <w:t>1.7 合同争议的解决</w:t>
      </w:r>
      <w:bookmarkEnd w:id="140"/>
      <w:bookmarkEnd w:id="141"/>
      <w:bookmarkEnd w:id="142"/>
    </w:p>
    <w:p w14:paraId="283DD291">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本合同履行过程中发生的任何争议，双方当事人均可通过和解或者调解解决；不愿和解、调解或者和解、调解不成的，可以选择下列第</w:t>
      </w:r>
      <w:r>
        <w:rPr>
          <w:rFonts w:hint="eastAsia" w:ascii="仿宋_GB2312" w:hAnsi="楷体" w:eastAsia="仿宋_GB2312"/>
          <w:color w:val="auto"/>
          <w:sz w:val="24"/>
          <w:highlight w:val="none"/>
          <w:u w:val="single"/>
        </w:rPr>
        <w:t xml:space="preserve"> 1.7.2 </w:t>
      </w:r>
      <w:r>
        <w:rPr>
          <w:rFonts w:hint="eastAsia" w:ascii="仿宋_GB2312" w:hAnsi="楷体" w:eastAsia="仿宋_GB2312"/>
          <w:color w:val="auto"/>
          <w:sz w:val="24"/>
          <w:highlight w:val="none"/>
        </w:rPr>
        <w:t>种方式解决：</w:t>
      </w:r>
    </w:p>
    <w:p w14:paraId="7961AD17">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1.7.1 将争议提交</w:t>
      </w:r>
      <w:r>
        <w:rPr>
          <w:rFonts w:hint="eastAsia" w:ascii="仿宋_GB2312" w:hAnsi="楷体" w:eastAsia="仿宋_GB2312"/>
          <w:color w:val="auto"/>
          <w:sz w:val="24"/>
          <w:highlight w:val="none"/>
          <w:u w:val="single"/>
        </w:rPr>
        <w:t>南宁</w:t>
      </w:r>
      <w:r>
        <w:rPr>
          <w:rFonts w:hint="eastAsia" w:ascii="仿宋_GB2312" w:hAnsi="楷体" w:eastAsia="仿宋_GB2312"/>
          <w:color w:val="auto"/>
          <w:sz w:val="24"/>
          <w:highlight w:val="none"/>
        </w:rPr>
        <w:t>仲裁委员会依申请仲裁时其现行有效的仲裁规则裁决；</w:t>
      </w:r>
    </w:p>
    <w:p w14:paraId="701C7C5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1.7.2 向</w:t>
      </w:r>
      <w:r>
        <w:rPr>
          <w:rFonts w:hint="eastAsia" w:ascii="仿宋_GB2312" w:hAnsi="楷体" w:eastAsia="仿宋_GB2312"/>
          <w:color w:val="auto"/>
          <w:sz w:val="24"/>
          <w:highlight w:val="none"/>
          <w:u w:val="single"/>
        </w:rPr>
        <w:t xml:space="preserve">   甲方所在地  </w:t>
      </w:r>
      <w:r>
        <w:rPr>
          <w:rFonts w:hint="eastAsia" w:ascii="仿宋_GB2312" w:hAnsi="楷体" w:eastAsia="仿宋_GB2312"/>
          <w:color w:val="auto"/>
          <w:sz w:val="24"/>
          <w:highlight w:val="none"/>
        </w:rPr>
        <w:t>人民法院起诉。</w:t>
      </w:r>
    </w:p>
    <w:p w14:paraId="344AAC4A">
      <w:pPr>
        <w:spacing w:line="360" w:lineRule="auto"/>
        <w:ind w:firstLine="482" w:firstLineChars="200"/>
        <w:rPr>
          <w:rFonts w:hint="eastAsia" w:ascii="仿宋_GB2312" w:hAnsi="楷体" w:eastAsia="仿宋_GB2312"/>
          <w:b/>
          <w:color w:val="auto"/>
          <w:sz w:val="24"/>
          <w:highlight w:val="none"/>
        </w:rPr>
      </w:pPr>
      <w:bookmarkStart w:id="143" w:name="_Toc15322"/>
      <w:bookmarkStart w:id="144" w:name="_Toc7245"/>
      <w:bookmarkStart w:id="145" w:name="_Toc11173"/>
      <w:r>
        <w:rPr>
          <w:rFonts w:hint="eastAsia" w:ascii="仿宋_GB2312" w:hAnsi="楷体" w:eastAsia="仿宋_GB2312"/>
          <w:b/>
          <w:color w:val="auto"/>
          <w:sz w:val="24"/>
          <w:highlight w:val="none"/>
        </w:rPr>
        <w:t>1.8 合同生效</w:t>
      </w:r>
      <w:bookmarkEnd w:id="143"/>
      <w:bookmarkEnd w:id="144"/>
      <w:bookmarkEnd w:id="145"/>
    </w:p>
    <w:p w14:paraId="748AA8BE">
      <w:pP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本合同自双方当事人加盖有效电子公章时生效。</w:t>
      </w:r>
    </w:p>
    <w:p w14:paraId="168EF3A8">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甲方：南宁市良庆区住房和城乡建设局</w:t>
      </w:r>
      <w:r>
        <w:rPr>
          <w:rFonts w:hint="eastAsia" w:ascii="仿宋_GB2312" w:hAnsi="楷体" w:eastAsia="仿宋_GB2312"/>
          <w:color w:val="auto"/>
          <w:sz w:val="24"/>
          <w:highlight w:val="none"/>
        </w:rPr>
        <w:t xml:space="preserve">       </w:t>
      </w:r>
      <w:r>
        <w:rPr>
          <w:rFonts w:hint="eastAsia" w:ascii="仿宋_GB2312" w:hAnsi="楷体" w:eastAsia="仿宋_GB2312"/>
          <w:color w:val="auto"/>
          <w:sz w:val="24"/>
          <w:highlight w:val="none"/>
          <w:lang w:val="zh-CN"/>
        </w:rPr>
        <w:t>乙方：</w:t>
      </w:r>
    </w:p>
    <w:p w14:paraId="331C6AFD">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 xml:space="preserve">统一社会信用代码：    </w:t>
      </w:r>
      <w:r>
        <w:rPr>
          <w:rFonts w:hint="eastAsia" w:ascii="仿宋_GB2312" w:hAnsi="楷体" w:eastAsia="仿宋_GB2312"/>
          <w:color w:val="auto"/>
          <w:sz w:val="24"/>
          <w:highlight w:val="none"/>
        </w:rPr>
        <w:t xml:space="preserve">                  </w:t>
      </w:r>
      <w:r>
        <w:rPr>
          <w:rFonts w:hint="eastAsia" w:ascii="仿宋_GB2312" w:hAnsi="楷体" w:eastAsia="仿宋_GB2312"/>
          <w:color w:val="auto"/>
          <w:sz w:val="24"/>
          <w:highlight w:val="none"/>
          <w:lang w:val="zh-CN"/>
        </w:rPr>
        <w:t xml:space="preserve"> 统一社会信用代码或身份证号码：</w:t>
      </w:r>
    </w:p>
    <w:p w14:paraId="3F209765">
      <w:pPr>
        <w:spacing w:line="360" w:lineRule="auto"/>
        <w:ind w:firstLine="200"/>
        <w:rPr>
          <w:rFonts w:hint="eastAsia" w:ascii="仿宋_GB2312" w:hAnsi="楷体" w:eastAsia="仿宋_GB2312"/>
          <w:color w:val="auto"/>
          <w:sz w:val="24"/>
          <w:highlight w:val="none"/>
          <w:lang w:val="zh-CN"/>
        </w:rPr>
      </w:pPr>
    </w:p>
    <w:p w14:paraId="34945786">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住所：</w:t>
      </w:r>
      <w:r>
        <w:rPr>
          <w:rFonts w:hint="eastAsia" w:ascii="仿宋_GB2312" w:hAnsi="楷体" w:eastAsia="仿宋_GB2312"/>
          <w:color w:val="auto"/>
          <w:sz w:val="24"/>
          <w:highlight w:val="none"/>
        </w:rPr>
        <w:t xml:space="preserve">                      </w:t>
      </w:r>
      <w:r>
        <w:rPr>
          <w:rFonts w:hint="eastAsia" w:ascii="仿宋_GB2312" w:hAnsi="楷体" w:eastAsia="仿宋_GB2312"/>
          <w:color w:val="auto"/>
          <w:sz w:val="24"/>
          <w:highlight w:val="none"/>
          <w:lang w:val="zh-CN"/>
        </w:rPr>
        <w:t xml:space="preserve">             住所：</w:t>
      </w:r>
    </w:p>
    <w:p w14:paraId="166ED604">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法定代表人或                             法定代表人</w:t>
      </w:r>
    </w:p>
    <w:p w14:paraId="3B60B8A2">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 xml:space="preserve">授权代表（签字或盖章）：                 </w:t>
      </w:r>
      <w:r>
        <w:rPr>
          <w:rFonts w:hint="eastAsia" w:ascii="仿宋_GB2312" w:hAnsi="楷体" w:eastAsia="仿宋_GB2312"/>
          <w:color w:val="auto"/>
          <w:sz w:val="24"/>
          <w:highlight w:val="none"/>
        </w:rPr>
        <w:t xml:space="preserve"> </w:t>
      </w:r>
      <w:r>
        <w:rPr>
          <w:rFonts w:hint="eastAsia" w:ascii="仿宋_GB2312" w:hAnsi="楷体" w:eastAsia="仿宋_GB2312"/>
          <w:color w:val="auto"/>
          <w:sz w:val="24"/>
          <w:highlight w:val="none"/>
          <w:lang w:val="zh-CN"/>
        </w:rPr>
        <w:t>或授权代表（签字或盖章）:</w:t>
      </w:r>
    </w:p>
    <w:p w14:paraId="54682044">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联系人：                                 联系人：</w:t>
      </w:r>
    </w:p>
    <w:p w14:paraId="1E03A843">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约定送达地址：                           约定送达地址：</w:t>
      </w:r>
    </w:p>
    <w:p w14:paraId="66AE3614">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邮政编码：</w:t>
      </w:r>
      <w:r>
        <w:rPr>
          <w:rFonts w:hint="eastAsia" w:ascii="仿宋_GB2312" w:hAnsi="楷体" w:eastAsia="仿宋_GB2312"/>
          <w:color w:val="auto"/>
          <w:sz w:val="24"/>
          <w:highlight w:val="none"/>
        </w:rPr>
        <w:t xml:space="preserve">      </w:t>
      </w:r>
      <w:r>
        <w:rPr>
          <w:rFonts w:hint="eastAsia" w:ascii="仿宋_GB2312" w:hAnsi="楷体" w:eastAsia="仿宋_GB2312"/>
          <w:color w:val="auto"/>
          <w:sz w:val="24"/>
          <w:highlight w:val="none"/>
          <w:lang w:val="zh-CN"/>
        </w:rPr>
        <w:t xml:space="preserve">                         邮政编码：</w:t>
      </w:r>
    </w:p>
    <w:p w14:paraId="06D8AB73">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电话:</w:t>
      </w:r>
      <w:r>
        <w:rPr>
          <w:rFonts w:hint="eastAsia" w:ascii="仿宋_GB2312" w:hAnsi="楷体" w:eastAsia="仿宋_GB2312"/>
          <w:color w:val="auto"/>
          <w:sz w:val="24"/>
          <w:highlight w:val="none"/>
        </w:rPr>
        <w:t xml:space="preserve">            </w:t>
      </w:r>
      <w:r>
        <w:rPr>
          <w:rFonts w:hint="eastAsia" w:ascii="仿宋_GB2312" w:hAnsi="楷体" w:eastAsia="仿宋_GB2312"/>
          <w:color w:val="auto"/>
          <w:sz w:val="24"/>
          <w:highlight w:val="none"/>
          <w:lang w:val="zh-CN"/>
        </w:rPr>
        <w:t xml:space="preserve">                        电话:</w:t>
      </w:r>
    </w:p>
    <w:p w14:paraId="06CAD93F">
      <w:pPr>
        <w:spacing w:line="360" w:lineRule="auto"/>
        <w:ind w:firstLine="200"/>
        <w:rPr>
          <w:rFonts w:hint="eastAsia" w:ascii="仿宋_GB2312" w:hAnsi="楷体" w:eastAsia="仿宋_GB2312"/>
          <w:color w:val="auto"/>
          <w:sz w:val="24"/>
          <w:highlight w:val="none"/>
          <w:lang w:val="zh-CN"/>
        </w:rPr>
      </w:pPr>
      <w:r>
        <w:rPr>
          <w:rFonts w:hint="eastAsia" w:ascii="仿宋_GB2312" w:hAnsi="楷体" w:eastAsia="仿宋_GB2312"/>
          <w:color w:val="auto"/>
          <w:sz w:val="24"/>
          <w:highlight w:val="none"/>
          <w:lang w:val="zh-CN"/>
        </w:rPr>
        <w:t>传真:                                    传真:</w:t>
      </w:r>
    </w:p>
    <w:p w14:paraId="45470A1E">
      <w:pP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lang w:val="zh-CN"/>
        </w:rPr>
        <w:t>电子邮箱：                               电子邮箱：</w:t>
      </w:r>
    </w:p>
    <w:p w14:paraId="73782E6C">
      <w:pP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 xml:space="preserve">开户银行：                               开户银行： </w:t>
      </w:r>
    </w:p>
    <w:p w14:paraId="0FFA9260">
      <w:pP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 xml:space="preserve">开户名称：                               开户名称： </w:t>
      </w:r>
    </w:p>
    <w:p w14:paraId="4EB1E1BA">
      <w:pPr>
        <w:spacing w:line="360" w:lineRule="auto"/>
        <w:ind w:firstLine="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开户账号：</w:t>
      </w:r>
      <w:r>
        <w:rPr>
          <w:rFonts w:hint="eastAsia" w:ascii="仿宋_GB2312" w:hAnsi="楷体" w:eastAsia="仿宋_GB2312"/>
          <w:color w:val="auto"/>
          <w:sz w:val="24"/>
          <w:highlight w:val="none"/>
          <w:lang w:val="zh-CN"/>
        </w:rPr>
        <w:t xml:space="preserve">                               </w:t>
      </w:r>
      <w:r>
        <w:rPr>
          <w:rFonts w:hint="eastAsia" w:ascii="仿宋_GB2312" w:hAnsi="楷体" w:eastAsia="仿宋_GB2312"/>
          <w:color w:val="auto"/>
          <w:sz w:val="24"/>
          <w:highlight w:val="none"/>
        </w:rPr>
        <w:t>开户账号：</w:t>
      </w:r>
    </w:p>
    <w:p w14:paraId="1296EC76">
      <w:pPr>
        <w:pStyle w:val="5"/>
        <w:spacing w:before="0" w:after="0" w:line="360" w:lineRule="auto"/>
        <w:jc w:val="center"/>
        <w:rPr>
          <w:rFonts w:hint="eastAsia" w:ascii="仿宋_GB2312" w:hAnsi="楷体" w:eastAsia="仿宋_GB2312"/>
          <w:b/>
          <w:color w:val="auto"/>
          <w:sz w:val="28"/>
          <w:szCs w:val="28"/>
          <w:highlight w:val="none"/>
        </w:rPr>
      </w:pPr>
      <w:r>
        <w:rPr>
          <w:rFonts w:hint="eastAsia" w:ascii="仿宋_GB2312" w:hAnsi="楷体" w:eastAsia="仿宋_GB2312"/>
          <w:b/>
          <w:color w:val="auto"/>
          <w:highlight w:val="none"/>
        </w:rPr>
        <w:br w:type="page"/>
      </w:r>
      <w:bookmarkStart w:id="146" w:name="_Toc80205945"/>
      <w:bookmarkStart w:id="147" w:name="_Toc331685783"/>
      <w:bookmarkStart w:id="148" w:name="_Toc14791"/>
      <w:bookmarkStart w:id="149" w:name="_Toc80886949"/>
      <w:r>
        <w:rPr>
          <w:rFonts w:hint="eastAsia" w:ascii="仿宋" w:hAnsi="仿宋" w:eastAsia="仿宋" w:cs="仿宋"/>
          <w:b/>
          <w:bCs w:val="0"/>
          <w:color w:val="auto"/>
          <w:sz w:val="32"/>
          <w:szCs w:val="32"/>
          <w:highlight w:val="none"/>
        </w:rPr>
        <w:t>第二部分 合同一般条款</w:t>
      </w:r>
      <w:bookmarkEnd w:id="146"/>
      <w:bookmarkEnd w:id="147"/>
      <w:bookmarkEnd w:id="148"/>
      <w:bookmarkEnd w:id="149"/>
    </w:p>
    <w:p w14:paraId="4DB5964A">
      <w:pPr>
        <w:spacing w:line="360" w:lineRule="auto"/>
        <w:ind w:firstLine="482" w:firstLineChars="200"/>
        <w:rPr>
          <w:rFonts w:hint="eastAsia" w:ascii="仿宋_GB2312" w:hAnsi="楷体" w:eastAsia="仿宋_GB2312"/>
          <w:b/>
          <w:color w:val="auto"/>
          <w:sz w:val="24"/>
          <w:highlight w:val="none"/>
        </w:rPr>
      </w:pPr>
      <w:bookmarkStart w:id="150" w:name="_Ref467378463"/>
      <w:bookmarkStart w:id="151" w:name="_Toc279701240"/>
      <w:bookmarkStart w:id="152" w:name="_Ref467379225"/>
      <w:bookmarkStart w:id="153" w:name="_Toc16917"/>
      <w:bookmarkStart w:id="154" w:name="_Ref467379094"/>
      <w:bookmarkStart w:id="155" w:name="_Ref467379101"/>
      <w:bookmarkStart w:id="156" w:name="_Ref467378404"/>
      <w:bookmarkStart w:id="157" w:name="_Toc19614"/>
      <w:bookmarkStart w:id="158" w:name="_Ref467378499"/>
      <w:bookmarkStart w:id="159" w:name="_Ref467379214"/>
      <w:bookmarkStart w:id="160" w:name="_Ref467379109"/>
      <w:bookmarkStart w:id="161" w:name="_Toc259093669"/>
      <w:bookmarkStart w:id="162" w:name="_Toc487900349"/>
      <w:bookmarkStart w:id="163" w:name="_Toc28763"/>
      <w:bookmarkStart w:id="164" w:name="_Ref467379195"/>
      <w:bookmarkStart w:id="165" w:name="_Ref467379205"/>
      <w:r>
        <w:rPr>
          <w:rFonts w:hint="eastAsia" w:ascii="仿宋_GB2312" w:hAnsi="楷体" w:eastAsia="仿宋_GB2312"/>
          <w:b/>
          <w:color w:val="auto"/>
          <w:sz w:val="24"/>
          <w:highlight w:val="none"/>
        </w:rPr>
        <w:t>2.1 定义</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08C034D2">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本合同中的下列词语应按以下内容进行解释：</w:t>
      </w:r>
    </w:p>
    <w:p w14:paraId="09A6F163">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2.1.1 “合同”系指采购人和中标人签订的载明双方当事人所达成的协议，并包括所有的附件、附录和构成合同的其他文件。</w:t>
      </w:r>
    </w:p>
    <w:p w14:paraId="1E1EE47B">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2.1.2 “合同价”系指根据合同约定，中标人在完全履行合同义务后，采购人应支付给中标人的价格。</w:t>
      </w:r>
    </w:p>
    <w:p w14:paraId="18B8BEB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6D9C1810">
      <w:pPr>
        <w:spacing w:line="360" w:lineRule="auto"/>
        <w:ind w:firstLine="480" w:firstLineChars="200"/>
        <w:rPr>
          <w:rFonts w:hint="eastAsia" w:ascii="仿宋_GB2312" w:hAnsi="楷体" w:eastAsia="仿宋_GB2312"/>
          <w:color w:val="auto"/>
          <w:sz w:val="24"/>
          <w:highlight w:val="none"/>
        </w:rPr>
      </w:pPr>
      <w:bookmarkStart w:id="166" w:name="_Ref467378840"/>
      <w:r>
        <w:rPr>
          <w:rFonts w:hint="eastAsia" w:ascii="仿宋_GB2312" w:hAnsi="楷体" w:eastAsia="仿宋_GB2312"/>
          <w:color w:val="auto"/>
          <w:sz w:val="24"/>
          <w:highlight w:val="none"/>
        </w:rPr>
        <w:t>2.1.4 “甲方”系指与中标人签署合同的采购人</w:t>
      </w:r>
      <w:bookmarkEnd w:id="166"/>
      <w:r>
        <w:rPr>
          <w:rFonts w:hint="eastAsia" w:ascii="仿宋_GB2312" w:hAnsi="楷体" w:eastAsia="仿宋_GB2312"/>
          <w:color w:val="auto"/>
          <w:sz w:val="24"/>
          <w:highlight w:val="none"/>
        </w:rPr>
        <w:t>；采购人委托采购机构代表其与乙方签订合同的，采购人的授权委托书作为合同附件。</w:t>
      </w:r>
    </w:p>
    <w:p w14:paraId="09B81827">
      <w:pPr>
        <w:spacing w:line="360" w:lineRule="auto"/>
        <w:ind w:firstLine="480" w:firstLineChars="200"/>
        <w:rPr>
          <w:rFonts w:hint="eastAsia" w:ascii="仿宋_GB2312" w:hAnsi="楷体" w:eastAsia="仿宋_GB2312"/>
          <w:color w:val="auto"/>
          <w:sz w:val="24"/>
          <w:highlight w:val="none"/>
        </w:rPr>
      </w:pPr>
      <w:bookmarkStart w:id="167" w:name="_Ref467379400"/>
      <w:r>
        <w:rPr>
          <w:rFonts w:hint="eastAsia" w:ascii="仿宋_GB2312" w:hAnsi="楷体" w:eastAsia="仿宋_GB2312"/>
          <w:color w:val="auto"/>
          <w:sz w:val="24"/>
          <w:highlight w:val="none"/>
        </w:rPr>
        <w:t>2.1.5 “乙方”系指根据合同约定交付标的物的</w:t>
      </w:r>
      <w:bookmarkEnd w:id="167"/>
      <w:r>
        <w:rPr>
          <w:rFonts w:hint="eastAsia" w:ascii="仿宋_GB2312" w:hAnsi="楷体" w:eastAsia="仿宋_GB2312"/>
          <w:color w:val="auto"/>
          <w:sz w:val="24"/>
          <w:highlight w:val="none"/>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4347D5FB">
      <w:pPr>
        <w:spacing w:line="360" w:lineRule="auto"/>
        <w:ind w:firstLine="480" w:firstLineChars="200"/>
        <w:rPr>
          <w:rFonts w:hint="eastAsia" w:ascii="仿宋_GB2312" w:hAnsi="楷体" w:eastAsia="仿宋_GB2312"/>
          <w:color w:val="auto"/>
          <w:sz w:val="24"/>
          <w:highlight w:val="none"/>
        </w:rPr>
      </w:pPr>
      <w:bookmarkStart w:id="168" w:name="_Ref467379436"/>
      <w:r>
        <w:rPr>
          <w:rFonts w:hint="eastAsia" w:ascii="仿宋_GB2312" w:hAnsi="楷体" w:eastAsia="仿宋_GB2312"/>
          <w:color w:val="auto"/>
          <w:sz w:val="24"/>
          <w:highlight w:val="none"/>
        </w:rPr>
        <w:t>2.1.6 “现场”系指合同约定标的物将要运至或者实施或者安装的地点。</w:t>
      </w:r>
      <w:bookmarkEnd w:id="168"/>
    </w:p>
    <w:p w14:paraId="18AB18B2">
      <w:pPr>
        <w:spacing w:line="360" w:lineRule="auto"/>
        <w:ind w:firstLine="482" w:firstLineChars="200"/>
        <w:rPr>
          <w:rFonts w:hint="eastAsia" w:ascii="仿宋_GB2312" w:hAnsi="楷体" w:eastAsia="仿宋_GB2312"/>
          <w:b/>
          <w:color w:val="auto"/>
          <w:sz w:val="24"/>
          <w:highlight w:val="none"/>
        </w:rPr>
      </w:pPr>
      <w:bookmarkStart w:id="169" w:name="_Toc487900350"/>
      <w:bookmarkStart w:id="170" w:name="_Toc13336"/>
      <w:bookmarkStart w:id="171" w:name="_Toc279701241"/>
      <w:bookmarkStart w:id="172" w:name="_Toc27635"/>
      <w:bookmarkStart w:id="173" w:name="_Toc32504"/>
      <w:bookmarkStart w:id="174" w:name="_Toc259093670"/>
      <w:r>
        <w:rPr>
          <w:rFonts w:hint="eastAsia" w:ascii="仿宋_GB2312" w:hAnsi="楷体" w:eastAsia="仿宋_GB2312"/>
          <w:b/>
          <w:color w:val="auto"/>
          <w:sz w:val="24"/>
          <w:highlight w:val="none"/>
        </w:rPr>
        <w:t>2.2 技术规范</w:t>
      </w:r>
      <w:bookmarkEnd w:id="169"/>
      <w:bookmarkEnd w:id="170"/>
      <w:bookmarkEnd w:id="171"/>
      <w:bookmarkEnd w:id="172"/>
      <w:bookmarkEnd w:id="173"/>
      <w:bookmarkEnd w:id="174"/>
    </w:p>
    <w:p w14:paraId="0805EBFE">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332565E9">
      <w:pPr>
        <w:spacing w:line="360" w:lineRule="auto"/>
        <w:ind w:firstLine="482" w:firstLineChars="200"/>
        <w:rPr>
          <w:rFonts w:hint="eastAsia" w:ascii="仿宋_GB2312" w:hAnsi="楷体" w:eastAsia="仿宋_GB2312"/>
          <w:b/>
          <w:color w:val="auto"/>
          <w:sz w:val="24"/>
          <w:highlight w:val="none"/>
        </w:rPr>
      </w:pPr>
      <w:bookmarkStart w:id="175" w:name="_Toc279701242"/>
      <w:bookmarkStart w:id="176" w:name="_Toc27853"/>
      <w:bookmarkStart w:id="177" w:name="_Toc259093671"/>
      <w:bookmarkStart w:id="178" w:name="_Toc9829"/>
      <w:bookmarkStart w:id="179" w:name="_Toc487900351"/>
      <w:bookmarkStart w:id="180" w:name="_Toc31634"/>
      <w:r>
        <w:rPr>
          <w:rFonts w:hint="eastAsia" w:ascii="仿宋_GB2312" w:hAnsi="楷体" w:eastAsia="仿宋_GB2312"/>
          <w:b/>
          <w:color w:val="auto"/>
          <w:sz w:val="24"/>
          <w:highlight w:val="none"/>
        </w:rPr>
        <w:t>2.3 知识产权</w:t>
      </w:r>
      <w:bookmarkEnd w:id="175"/>
      <w:bookmarkEnd w:id="176"/>
      <w:bookmarkEnd w:id="177"/>
      <w:bookmarkEnd w:id="178"/>
      <w:bookmarkEnd w:id="179"/>
      <w:bookmarkEnd w:id="180"/>
    </w:p>
    <w:p w14:paraId="16EA2359">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10000A2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2.3.2具有知识产权的计算机软件等标的物的知识产权归属，详见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691D2514">
      <w:pPr>
        <w:spacing w:line="360" w:lineRule="auto"/>
        <w:ind w:firstLine="482" w:firstLineChars="200"/>
        <w:rPr>
          <w:rFonts w:hint="eastAsia" w:ascii="仿宋_GB2312" w:hAnsi="楷体" w:eastAsia="仿宋_GB2312"/>
          <w:b/>
          <w:color w:val="auto"/>
          <w:sz w:val="24"/>
          <w:highlight w:val="none"/>
        </w:rPr>
      </w:pPr>
      <w:bookmarkStart w:id="181" w:name="_Toc29149"/>
      <w:bookmarkStart w:id="182" w:name="_Toc11932"/>
      <w:bookmarkStart w:id="183" w:name="_Toc4194"/>
      <w:r>
        <w:rPr>
          <w:rFonts w:hint="eastAsia" w:ascii="仿宋_GB2312" w:hAnsi="楷体" w:eastAsia="仿宋_GB2312"/>
          <w:b/>
          <w:color w:val="auto"/>
          <w:sz w:val="24"/>
          <w:highlight w:val="none"/>
        </w:rPr>
        <w:t>2.4 包装和装运</w:t>
      </w:r>
      <w:bookmarkEnd w:id="181"/>
      <w:bookmarkEnd w:id="182"/>
      <w:bookmarkEnd w:id="183"/>
    </w:p>
    <w:p w14:paraId="700F896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2.4.1除</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3E8B06D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2.4.2 装运标的物的要求和通知，详见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5251921B">
      <w:pPr>
        <w:spacing w:line="360" w:lineRule="auto"/>
        <w:ind w:firstLine="482" w:firstLineChars="200"/>
        <w:rPr>
          <w:rFonts w:hint="eastAsia" w:ascii="仿宋_GB2312" w:hAnsi="楷体" w:eastAsia="仿宋_GB2312"/>
          <w:b/>
          <w:color w:val="auto"/>
          <w:sz w:val="24"/>
          <w:highlight w:val="none"/>
        </w:rPr>
      </w:pPr>
      <w:bookmarkStart w:id="184" w:name="_Ref467378591"/>
      <w:bookmarkStart w:id="185" w:name="_Ref467378541"/>
      <w:bookmarkStart w:id="186" w:name="_Toc259093674"/>
      <w:bookmarkStart w:id="187" w:name="_Toc487900354"/>
      <w:bookmarkStart w:id="188" w:name="_Toc279701245"/>
      <w:bookmarkStart w:id="189" w:name="_Ref467379527"/>
      <w:bookmarkStart w:id="190" w:name="_Ref467379542"/>
      <w:bookmarkStart w:id="191" w:name="_Ref467379536"/>
      <w:bookmarkStart w:id="192" w:name="_Toc26182"/>
      <w:bookmarkStart w:id="193" w:name="_Toc30272"/>
      <w:bookmarkStart w:id="194" w:name="_Toc19074"/>
      <w:r>
        <w:rPr>
          <w:rFonts w:hint="eastAsia" w:ascii="仿宋_GB2312" w:hAnsi="楷体" w:eastAsia="仿宋_GB2312"/>
          <w:b/>
          <w:color w:val="auto"/>
          <w:sz w:val="24"/>
          <w:highlight w:val="none"/>
        </w:rPr>
        <w:t>2.</w:t>
      </w:r>
      <w:bookmarkEnd w:id="184"/>
      <w:bookmarkEnd w:id="185"/>
      <w:bookmarkEnd w:id="186"/>
      <w:bookmarkEnd w:id="187"/>
      <w:bookmarkEnd w:id="188"/>
      <w:bookmarkEnd w:id="189"/>
      <w:bookmarkEnd w:id="190"/>
      <w:bookmarkEnd w:id="191"/>
      <w:r>
        <w:rPr>
          <w:rFonts w:hint="eastAsia" w:ascii="仿宋_GB2312" w:hAnsi="楷体" w:eastAsia="仿宋_GB2312"/>
          <w:b/>
          <w:color w:val="auto"/>
          <w:sz w:val="24"/>
          <w:highlight w:val="none"/>
        </w:rPr>
        <w:t>5 履约检查和问题反馈</w:t>
      </w:r>
      <w:bookmarkEnd w:id="192"/>
      <w:bookmarkEnd w:id="193"/>
      <w:bookmarkEnd w:id="194"/>
    </w:p>
    <w:p w14:paraId="0136FF61">
      <w:pPr>
        <w:spacing w:line="360" w:lineRule="auto"/>
        <w:ind w:firstLine="480" w:firstLineChars="200"/>
        <w:rPr>
          <w:rFonts w:hint="eastAsia" w:ascii="仿宋_GB2312" w:hAnsi="楷体" w:eastAsia="仿宋_GB2312"/>
          <w:color w:val="auto"/>
          <w:sz w:val="24"/>
          <w:highlight w:val="none"/>
        </w:rPr>
      </w:pPr>
      <w:bookmarkStart w:id="195" w:name="_Ref467379657"/>
      <w:r>
        <w:rPr>
          <w:rFonts w:hint="eastAsia" w:ascii="仿宋_GB2312" w:hAnsi="楷体" w:eastAsia="仿宋_GB2312"/>
          <w:color w:val="auto"/>
          <w:sz w:val="24"/>
          <w:highlight w:val="none"/>
        </w:rPr>
        <w:t>2.5.1</w:t>
      </w:r>
      <w:bookmarkEnd w:id="195"/>
      <w:bookmarkStart w:id="196" w:name="_Toc186431854"/>
      <w:bookmarkStart w:id="197" w:name="_Toc487900357"/>
      <w:bookmarkStart w:id="198" w:name="_Ref467379793"/>
      <w:bookmarkStart w:id="199" w:name="_Ref467379807"/>
      <w:bookmarkStart w:id="200" w:name="_Toc259093676"/>
      <w:bookmarkStart w:id="201" w:name="_Toc279701247"/>
      <w:r>
        <w:rPr>
          <w:rFonts w:hint="eastAsia" w:ascii="仿宋_GB2312" w:hAnsi="楷体" w:eastAsia="仿宋_GB2312"/>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5DDDAD56">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2.5.2 合同履行期间，甲方有权将履行过程中出现的问题反馈给乙方，双方当事人应以书面形式约定需要完善和改进的内容</w:t>
      </w:r>
      <w:bookmarkEnd w:id="196"/>
      <w:bookmarkStart w:id="202" w:name="_Toc186431855"/>
      <w:r>
        <w:rPr>
          <w:rFonts w:hint="eastAsia" w:ascii="仿宋_GB2312" w:hAnsi="楷体" w:eastAsia="仿宋_GB2312"/>
          <w:color w:val="auto"/>
          <w:sz w:val="24"/>
          <w:highlight w:val="none"/>
        </w:rPr>
        <w:t>。</w:t>
      </w:r>
    </w:p>
    <w:bookmarkEnd w:id="202"/>
    <w:p w14:paraId="06E8283C">
      <w:pPr>
        <w:spacing w:line="360" w:lineRule="auto"/>
        <w:ind w:firstLine="482" w:firstLineChars="200"/>
        <w:rPr>
          <w:rFonts w:hint="eastAsia" w:ascii="仿宋_GB2312" w:hAnsi="楷体" w:eastAsia="仿宋_GB2312"/>
          <w:b/>
          <w:color w:val="auto"/>
          <w:sz w:val="24"/>
          <w:highlight w:val="none"/>
        </w:rPr>
      </w:pPr>
      <w:bookmarkStart w:id="203" w:name="_Toc19219"/>
      <w:bookmarkStart w:id="204" w:name="_Toc28451"/>
      <w:bookmarkStart w:id="205" w:name="_Toc7836"/>
      <w:r>
        <w:rPr>
          <w:rFonts w:hint="eastAsia" w:ascii="仿宋_GB2312" w:hAnsi="楷体" w:eastAsia="仿宋_GB2312"/>
          <w:b/>
          <w:color w:val="auto"/>
          <w:sz w:val="24"/>
          <w:highlight w:val="none"/>
        </w:rPr>
        <w:t>2.6 结算方式和付款条件</w:t>
      </w:r>
      <w:bookmarkEnd w:id="197"/>
      <w:bookmarkEnd w:id="198"/>
      <w:bookmarkEnd w:id="199"/>
      <w:bookmarkEnd w:id="200"/>
      <w:bookmarkEnd w:id="201"/>
      <w:bookmarkEnd w:id="203"/>
      <w:bookmarkEnd w:id="204"/>
      <w:bookmarkEnd w:id="205"/>
    </w:p>
    <w:p w14:paraId="612C2790">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24F6CFA1">
      <w:pPr>
        <w:spacing w:line="360" w:lineRule="auto"/>
        <w:ind w:firstLine="482" w:firstLineChars="200"/>
        <w:rPr>
          <w:rFonts w:hint="eastAsia" w:ascii="仿宋_GB2312" w:hAnsi="楷体" w:eastAsia="仿宋_GB2312"/>
          <w:b/>
          <w:color w:val="auto"/>
          <w:sz w:val="24"/>
          <w:highlight w:val="none"/>
        </w:rPr>
      </w:pPr>
      <w:bookmarkStart w:id="206" w:name="_Toc259093677"/>
      <w:bookmarkStart w:id="207" w:name="_Ref467379852"/>
      <w:bookmarkStart w:id="208" w:name="_Toc487900358"/>
      <w:bookmarkStart w:id="209" w:name="_Toc279701248"/>
      <w:bookmarkStart w:id="210" w:name="_Ref467379923"/>
      <w:bookmarkStart w:id="211" w:name="_Ref467379863"/>
      <w:bookmarkStart w:id="212" w:name="_Toc3225"/>
      <w:bookmarkStart w:id="213" w:name="_Toc16110"/>
      <w:bookmarkStart w:id="214" w:name="_Toc774"/>
      <w:r>
        <w:rPr>
          <w:rFonts w:hint="eastAsia" w:ascii="仿宋_GB2312" w:hAnsi="楷体" w:eastAsia="仿宋_GB2312"/>
          <w:b/>
          <w:color w:val="auto"/>
          <w:sz w:val="24"/>
          <w:highlight w:val="none"/>
        </w:rPr>
        <w:t>2.7 技术资料</w:t>
      </w:r>
      <w:bookmarkEnd w:id="206"/>
      <w:bookmarkEnd w:id="207"/>
      <w:bookmarkEnd w:id="208"/>
      <w:bookmarkEnd w:id="209"/>
      <w:bookmarkEnd w:id="210"/>
      <w:bookmarkEnd w:id="211"/>
      <w:r>
        <w:rPr>
          <w:rFonts w:hint="eastAsia" w:ascii="仿宋_GB2312" w:hAnsi="楷体" w:eastAsia="仿宋_GB2312"/>
          <w:b/>
          <w:color w:val="auto"/>
          <w:sz w:val="24"/>
          <w:highlight w:val="none"/>
        </w:rPr>
        <w:t>和保密义务</w:t>
      </w:r>
      <w:bookmarkEnd w:id="212"/>
      <w:bookmarkEnd w:id="213"/>
      <w:bookmarkEnd w:id="214"/>
    </w:p>
    <w:p w14:paraId="3175067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2.7.1 乙方有权依据合同约定和项目需要，向甲方了解有关情况，调阅有关资料等，甲方应予积极配合；</w:t>
      </w:r>
    </w:p>
    <w:p w14:paraId="7D5730CB">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2.7.2 乙方有义务妥善保管和保护由甲方提供的前款信息和资料等；</w:t>
      </w:r>
    </w:p>
    <w:p w14:paraId="23157413">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7F10B2F1">
      <w:pPr>
        <w:spacing w:line="360" w:lineRule="auto"/>
        <w:ind w:firstLine="482" w:firstLineChars="200"/>
        <w:rPr>
          <w:rFonts w:hint="eastAsia" w:ascii="仿宋_GB2312" w:hAnsi="楷体" w:eastAsia="仿宋_GB2312"/>
          <w:b/>
          <w:color w:val="auto"/>
          <w:sz w:val="24"/>
          <w:highlight w:val="none"/>
        </w:rPr>
      </w:pPr>
      <w:bookmarkStart w:id="215" w:name="_Toc7860"/>
      <w:r>
        <w:rPr>
          <w:rFonts w:hint="eastAsia" w:ascii="仿宋_GB2312" w:hAnsi="楷体" w:eastAsia="仿宋_GB2312"/>
          <w:b/>
          <w:color w:val="auto"/>
          <w:sz w:val="24"/>
          <w:highlight w:val="none"/>
        </w:rPr>
        <w:t>2.8 质量保证</w:t>
      </w:r>
      <w:bookmarkEnd w:id="215"/>
    </w:p>
    <w:p w14:paraId="00D6ACBB">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2.8.1 乙方应建立和完善履行合同的内部质量保证体系，并提供相关内部规章制度给甲方，以便甲方进行监督检查；</w:t>
      </w:r>
    </w:p>
    <w:p w14:paraId="58744FD9">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2.8.2 乙方应保证履行合同的人员数量和素质、软件和硬件设备的配置、场地、环境和设施等满足全面履行合同的要求，并应接受甲方的监督检查。</w:t>
      </w:r>
    </w:p>
    <w:p w14:paraId="1ED81C1E">
      <w:pPr>
        <w:spacing w:line="360" w:lineRule="auto"/>
        <w:ind w:firstLine="480" w:firstLineChars="200"/>
        <w:rPr>
          <w:rFonts w:hint="eastAsia" w:ascii="仿宋_GB2312" w:hAnsi="仿宋" w:eastAsia="仿宋_GB2312" w:cs="仿宋_GB2312"/>
          <w:color w:val="auto"/>
          <w:kern w:val="0"/>
          <w:sz w:val="24"/>
          <w:highlight w:val="none"/>
        </w:rPr>
      </w:pPr>
      <w:r>
        <w:rPr>
          <w:rFonts w:hint="eastAsia" w:ascii="仿宋_GB2312" w:hAnsi="仿宋" w:eastAsia="仿宋_GB2312"/>
          <w:color w:val="auto"/>
          <w:sz w:val="24"/>
          <w:highlight w:val="none"/>
        </w:rPr>
        <w:t>2.8.3乙方应确保项目技术人员的数量和水平与响应文件一致。未经甲方书面同意，乙方不得擅自更换响应文件中注明的项目经理和技术负责人。否则</w:t>
      </w:r>
      <w:r>
        <w:rPr>
          <w:rFonts w:hint="eastAsia" w:ascii="仿宋_GB2312" w:hAnsi="仿宋" w:eastAsia="仿宋_GB2312" w:cs="仿宋_GB2312"/>
          <w:color w:val="auto"/>
          <w:kern w:val="0"/>
          <w:sz w:val="24"/>
          <w:highlight w:val="none"/>
        </w:rPr>
        <w:t>甲方有权放弃或终止合同。</w:t>
      </w:r>
    </w:p>
    <w:p w14:paraId="74029E39">
      <w:pPr>
        <w:spacing w:line="360" w:lineRule="auto"/>
        <w:ind w:firstLine="480" w:firstLineChars="200"/>
        <w:rPr>
          <w:rFonts w:hint="eastAsia" w:ascii="仿宋_GB2312" w:hAnsi="楷体" w:eastAsia="仿宋_GB2312"/>
          <w:color w:val="auto"/>
          <w:sz w:val="24"/>
          <w:highlight w:val="none"/>
        </w:rPr>
      </w:pPr>
      <w:r>
        <w:rPr>
          <w:rFonts w:hint="eastAsia" w:ascii="仿宋_GB2312" w:hAnsi="仿宋" w:eastAsia="仿宋_GB2312"/>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仿宋_GB2312" w:hAnsi="仿宋" w:eastAsia="仿宋_GB2312"/>
          <w:color w:val="auto"/>
          <w:sz w:val="24"/>
          <w:highlight w:val="none"/>
          <w:u w:val="single"/>
        </w:rPr>
        <w:t>30%</w:t>
      </w:r>
      <w:r>
        <w:rPr>
          <w:rFonts w:hint="eastAsia" w:ascii="仿宋_GB2312" w:hAnsi="仿宋" w:eastAsia="仿宋_GB2312"/>
          <w:color w:val="auto"/>
          <w:sz w:val="24"/>
          <w:highlight w:val="none"/>
        </w:rPr>
        <w:t>（根据项目实际情况填写，一般为30%）。</w:t>
      </w:r>
    </w:p>
    <w:p w14:paraId="4FAC2EE0">
      <w:pPr>
        <w:spacing w:line="360" w:lineRule="auto"/>
        <w:ind w:firstLine="482" w:firstLineChars="200"/>
        <w:rPr>
          <w:rFonts w:hint="eastAsia" w:ascii="仿宋_GB2312" w:hAnsi="楷体" w:eastAsia="仿宋_GB2312"/>
          <w:b/>
          <w:color w:val="auto"/>
          <w:sz w:val="24"/>
          <w:highlight w:val="none"/>
        </w:rPr>
      </w:pPr>
      <w:bookmarkStart w:id="216" w:name="_Toc17244"/>
      <w:bookmarkStart w:id="217" w:name="_Toc259093681"/>
      <w:bookmarkStart w:id="218" w:name="_Toc279701252"/>
      <w:bookmarkStart w:id="219" w:name="_Toc487900362"/>
      <w:r>
        <w:rPr>
          <w:rFonts w:hint="eastAsia" w:ascii="仿宋_GB2312" w:hAnsi="楷体" w:eastAsia="仿宋_GB2312"/>
          <w:b/>
          <w:color w:val="auto"/>
          <w:sz w:val="24"/>
          <w:highlight w:val="none"/>
        </w:rPr>
        <w:t>2.9 标的物的风险负担</w:t>
      </w:r>
      <w:bookmarkEnd w:id="216"/>
    </w:p>
    <w:p w14:paraId="6B4B10D5">
      <w:pP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标的物或者在途标的物或者交付给第一承运人后的标的物毁损、灭失的风险负担详见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w:t>
      </w:r>
    </w:p>
    <w:p w14:paraId="490DDDDF">
      <w:pPr>
        <w:spacing w:line="360" w:lineRule="auto"/>
        <w:ind w:firstLine="482" w:firstLineChars="200"/>
        <w:rPr>
          <w:rFonts w:hint="eastAsia" w:ascii="仿宋_GB2312" w:hAnsi="楷体" w:eastAsia="仿宋_GB2312"/>
          <w:b/>
          <w:color w:val="auto"/>
          <w:sz w:val="24"/>
          <w:highlight w:val="none"/>
        </w:rPr>
      </w:pPr>
      <w:bookmarkStart w:id="220" w:name="_Toc14055"/>
      <w:r>
        <w:rPr>
          <w:rFonts w:hint="eastAsia" w:ascii="仿宋_GB2312" w:hAnsi="楷体" w:eastAsia="仿宋_GB2312"/>
          <w:b/>
          <w:color w:val="auto"/>
          <w:sz w:val="24"/>
          <w:highlight w:val="none"/>
        </w:rPr>
        <w:t>2.10 延迟交货</w:t>
      </w:r>
      <w:bookmarkEnd w:id="217"/>
      <w:bookmarkEnd w:id="218"/>
      <w:bookmarkEnd w:id="219"/>
      <w:bookmarkEnd w:id="220"/>
      <w:r>
        <w:rPr>
          <w:rFonts w:hint="eastAsia" w:ascii="仿宋_GB2312" w:hAnsi="楷体" w:eastAsia="仿宋_GB2312"/>
          <w:b/>
          <w:color w:val="auto"/>
          <w:sz w:val="24"/>
          <w:highlight w:val="none"/>
        </w:rPr>
        <w:t>/交付</w:t>
      </w:r>
    </w:p>
    <w:p w14:paraId="63BB2171">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5783B75C">
      <w:pPr>
        <w:spacing w:line="360" w:lineRule="auto"/>
        <w:ind w:firstLine="482" w:firstLineChars="200"/>
        <w:rPr>
          <w:rFonts w:hint="eastAsia" w:ascii="仿宋_GB2312" w:hAnsi="楷体" w:eastAsia="仿宋_GB2312"/>
          <w:b/>
          <w:color w:val="auto"/>
          <w:sz w:val="24"/>
          <w:highlight w:val="none"/>
        </w:rPr>
      </w:pPr>
      <w:bookmarkStart w:id="221" w:name="_Toc7502"/>
      <w:bookmarkStart w:id="222" w:name="_Toc279701254"/>
      <w:bookmarkStart w:id="223" w:name="_Ref467378121"/>
      <w:bookmarkStart w:id="224" w:name="_Toc487900364"/>
      <w:bookmarkStart w:id="225" w:name="_Toc259093683"/>
      <w:r>
        <w:rPr>
          <w:rFonts w:hint="eastAsia" w:ascii="仿宋_GB2312" w:hAnsi="楷体" w:eastAsia="仿宋_GB2312"/>
          <w:b/>
          <w:color w:val="auto"/>
          <w:sz w:val="24"/>
          <w:highlight w:val="none"/>
        </w:rPr>
        <w:t>2.11 合同变更</w:t>
      </w:r>
      <w:bookmarkEnd w:id="221"/>
    </w:p>
    <w:p w14:paraId="171C83F4">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3D4F8577">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226" w:name="_Toc279701259"/>
      <w:bookmarkStart w:id="227" w:name="_Toc487900369"/>
      <w:bookmarkStart w:id="228" w:name="_Toc259093688"/>
    </w:p>
    <w:p w14:paraId="0CF37ECA">
      <w:pPr>
        <w:spacing w:line="360" w:lineRule="auto"/>
        <w:ind w:firstLine="482" w:firstLineChars="200"/>
        <w:rPr>
          <w:rFonts w:hint="eastAsia" w:ascii="仿宋_GB2312" w:hAnsi="楷体" w:eastAsia="仿宋_GB2312"/>
          <w:b/>
          <w:color w:val="auto"/>
          <w:sz w:val="24"/>
          <w:highlight w:val="none"/>
        </w:rPr>
      </w:pPr>
      <w:bookmarkStart w:id="229" w:name="_Toc10366"/>
      <w:bookmarkStart w:id="230" w:name="_Toc22955"/>
      <w:bookmarkStart w:id="231" w:name="_Toc15237"/>
      <w:r>
        <w:rPr>
          <w:rFonts w:hint="eastAsia" w:ascii="仿宋_GB2312" w:hAnsi="楷体" w:eastAsia="仿宋_GB2312"/>
          <w:b/>
          <w:color w:val="auto"/>
          <w:sz w:val="24"/>
          <w:highlight w:val="none"/>
        </w:rPr>
        <w:t>2.12 合同转让</w:t>
      </w:r>
      <w:bookmarkEnd w:id="226"/>
      <w:bookmarkEnd w:id="227"/>
      <w:bookmarkEnd w:id="228"/>
      <w:r>
        <w:rPr>
          <w:rFonts w:hint="eastAsia" w:ascii="仿宋_GB2312" w:hAnsi="楷体" w:eastAsia="仿宋_GB2312"/>
          <w:b/>
          <w:color w:val="auto"/>
          <w:sz w:val="24"/>
          <w:highlight w:val="none"/>
        </w:rPr>
        <w:t>和分包</w:t>
      </w:r>
      <w:bookmarkEnd w:id="229"/>
      <w:bookmarkEnd w:id="230"/>
      <w:bookmarkEnd w:id="231"/>
    </w:p>
    <w:p w14:paraId="59494CD2">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22B1FCCB">
      <w:pPr>
        <w:spacing w:line="360" w:lineRule="auto"/>
        <w:ind w:firstLine="482" w:firstLineChars="200"/>
        <w:rPr>
          <w:rFonts w:hint="eastAsia" w:ascii="仿宋_GB2312" w:hAnsi="楷体" w:eastAsia="仿宋_GB2312"/>
          <w:b/>
          <w:color w:val="auto"/>
          <w:sz w:val="24"/>
          <w:highlight w:val="none"/>
        </w:rPr>
      </w:pPr>
      <w:bookmarkStart w:id="232" w:name="_Toc14066"/>
      <w:bookmarkStart w:id="233" w:name="_Toc16508"/>
      <w:bookmarkStart w:id="234" w:name="_Toc13566"/>
      <w:r>
        <w:rPr>
          <w:rFonts w:hint="eastAsia" w:ascii="仿宋_GB2312" w:hAnsi="楷体" w:eastAsia="仿宋_GB2312"/>
          <w:b/>
          <w:color w:val="auto"/>
          <w:sz w:val="24"/>
          <w:highlight w:val="none"/>
        </w:rPr>
        <w:t>2.13 不可抗力</w:t>
      </w:r>
      <w:bookmarkEnd w:id="232"/>
      <w:bookmarkEnd w:id="233"/>
      <w:bookmarkEnd w:id="234"/>
    </w:p>
    <w:p w14:paraId="787DC22C">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2.13.1如果任何一方遭遇法律规定的不可抗力，致使合同履行受阻时，履行合同的期限应予延长，延长的期限应相当于不可抗力所影响的时间；</w:t>
      </w:r>
    </w:p>
    <w:p w14:paraId="738832E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2.13.2受不可抗力影响的一方在不可抗力发生后，应在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约定时间内以书面形式通知对方当事人，并在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约定时间内，将有关部门出具的证明文件送达对方当事人。</w:t>
      </w:r>
    </w:p>
    <w:p w14:paraId="0B3BF1D6">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2.13.3 因不可抗力致使不能实现合同目的的，当事人可以解除合同；</w:t>
      </w:r>
    </w:p>
    <w:p w14:paraId="170077A4">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2.13.4 因不可抗力致使合同有变更必要的，双方当事人应在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约定时间内以书面形式变更合同；</w:t>
      </w:r>
    </w:p>
    <w:p w14:paraId="4E84F671">
      <w:pPr>
        <w:spacing w:line="360" w:lineRule="auto"/>
        <w:ind w:firstLine="482" w:firstLineChars="200"/>
        <w:rPr>
          <w:rFonts w:hint="eastAsia" w:ascii="仿宋_GB2312" w:hAnsi="楷体" w:eastAsia="仿宋_GB2312"/>
          <w:b/>
          <w:color w:val="auto"/>
          <w:sz w:val="24"/>
          <w:highlight w:val="none"/>
        </w:rPr>
      </w:pPr>
      <w:bookmarkStart w:id="235" w:name="_Toc487900365"/>
      <w:bookmarkStart w:id="236" w:name="_Toc6969"/>
      <w:bookmarkStart w:id="237" w:name="_Toc30676"/>
      <w:bookmarkStart w:id="238" w:name="_Toc279701255"/>
      <w:bookmarkStart w:id="239" w:name="_Toc259093684"/>
      <w:bookmarkStart w:id="240" w:name="_Toc689"/>
      <w:r>
        <w:rPr>
          <w:rFonts w:hint="eastAsia" w:ascii="仿宋_GB2312" w:hAnsi="楷体" w:eastAsia="仿宋_GB2312"/>
          <w:b/>
          <w:color w:val="auto"/>
          <w:sz w:val="24"/>
          <w:highlight w:val="none"/>
        </w:rPr>
        <w:t>2.14 税费</w:t>
      </w:r>
      <w:bookmarkEnd w:id="235"/>
      <w:bookmarkEnd w:id="236"/>
      <w:bookmarkEnd w:id="237"/>
      <w:bookmarkEnd w:id="238"/>
      <w:bookmarkEnd w:id="239"/>
      <w:bookmarkEnd w:id="240"/>
    </w:p>
    <w:p w14:paraId="2FFB9D5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与合同有关的一切税费，均按照中华人民共和国法律的相关规定执行。</w:t>
      </w:r>
    </w:p>
    <w:p w14:paraId="4EA6F30E">
      <w:pPr>
        <w:spacing w:line="360" w:lineRule="auto"/>
        <w:ind w:firstLine="482" w:firstLineChars="200"/>
        <w:rPr>
          <w:rFonts w:hint="eastAsia" w:ascii="仿宋_GB2312" w:hAnsi="楷体" w:eastAsia="仿宋_GB2312"/>
          <w:b/>
          <w:color w:val="auto"/>
          <w:sz w:val="24"/>
          <w:highlight w:val="none"/>
        </w:rPr>
      </w:pPr>
      <w:bookmarkStart w:id="241" w:name="_Toc279701258"/>
      <w:bookmarkStart w:id="242" w:name="_Toc259093687"/>
      <w:bookmarkStart w:id="243" w:name="_Toc7102"/>
      <w:bookmarkStart w:id="244" w:name="_Toc487900368"/>
      <w:bookmarkStart w:id="245" w:name="_Toc16959"/>
      <w:bookmarkStart w:id="246" w:name="_Toc8298"/>
      <w:r>
        <w:rPr>
          <w:rFonts w:hint="eastAsia" w:ascii="仿宋_GB2312" w:hAnsi="楷体" w:eastAsia="仿宋_GB2312"/>
          <w:b/>
          <w:color w:val="auto"/>
          <w:sz w:val="24"/>
          <w:highlight w:val="none"/>
        </w:rPr>
        <w:t>2.15 乙方破产</w:t>
      </w:r>
      <w:bookmarkEnd w:id="241"/>
      <w:bookmarkEnd w:id="242"/>
      <w:bookmarkEnd w:id="243"/>
      <w:bookmarkEnd w:id="244"/>
      <w:bookmarkEnd w:id="245"/>
      <w:bookmarkEnd w:id="246"/>
    </w:p>
    <w:p w14:paraId="01728C10">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BAA2C5C">
      <w:pPr>
        <w:spacing w:line="360" w:lineRule="auto"/>
        <w:ind w:firstLine="482" w:firstLineChars="200"/>
        <w:rPr>
          <w:rFonts w:hint="eastAsia" w:ascii="仿宋_GB2312" w:hAnsi="楷体" w:eastAsia="仿宋_GB2312"/>
          <w:b/>
          <w:color w:val="auto"/>
          <w:sz w:val="24"/>
          <w:highlight w:val="none"/>
        </w:rPr>
      </w:pPr>
      <w:bookmarkStart w:id="247" w:name="_Toc6134"/>
      <w:bookmarkStart w:id="248" w:name="_Toc29333"/>
      <w:bookmarkStart w:id="249" w:name="_Toc15387"/>
      <w:r>
        <w:rPr>
          <w:rFonts w:hint="eastAsia" w:ascii="仿宋_GB2312" w:hAnsi="楷体" w:eastAsia="仿宋_GB2312"/>
          <w:b/>
          <w:color w:val="auto"/>
          <w:sz w:val="24"/>
          <w:highlight w:val="none"/>
        </w:rPr>
        <w:t>2.16 合同中止、终止</w:t>
      </w:r>
      <w:bookmarkEnd w:id="247"/>
      <w:bookmarkEnd w:id="248"/>
      <w:bookmarkEnd w:id="249"/>
    </w:p>
    <w:p w14:paraId="240E4145">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2.16.1 双方当事人不得擅自中止或者终止合同；</w:t>
      </w:r>
    </w:p>
    <w:p w14:paraId="20628057">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32282F8A">
      <w:pPr>
        <w:spacing w:line="360" w:lineRule="auto"/>
        <w:ind w:firstLine="482" w:firstLineChars="200"/>
        <w:rPr>
          <w:rFonts w:hint="eastAsia" w:ascii="仿宋_GB2312" w:hAnsi="楷体" w:eastAsia="仿宋_GB2312"/>
          <w:b/>
          <w:color w:val="auto"/>
          <w:sz w:val="24"/>
          <w:highlight w:val="none"/>
        </w:rPr>
      </w:pPr>
      <w:bookmarkStart w:id="250" w:name="_Toc14563"/>
      <w:bookmarkStart w:id="251" w:name="_Toc1125"/>
      <w:bookmarkStart w:id="252" w:name="_Toc6596"/>
      <w:r>
        <w:rPr>
          <w:rFonts w:hint="eastAsia" w:ascii="仿宋_GB2312" w:hAnsi="楷体" w:eastAsia="仿宋_GB2312"/>
          <w:b/>
          <w:color w:val="auto"/>
          <w:sz w:val="24"/>
          <w:highlight w:val="none"/>
        </w:rPr>
        <w:t>2.17 检验和验收</w:t>
      </w:r>
      <w:bookmarkEnd w:id="250"/>
      <w:bookmarkEnd w:id="251"/>
      <w:bookmarkEnd w:id="252"/>
    </w:p>
    <w:p w14:paraId="0C772D97">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b/>
          <w:i/>
          <w:color w:val="auto"/>
          <w:sz w:val="24"/>
          <w:highlight w:val="none"/>
          <w:u w:val="single"/>
        </w:rPr>
        <w:t>合同专用条款</w:t>
      </w:r>
      <w:r>
        <w:rPr>
          <w:rFonts w:hint="eastAsia" w:ascii="仿宋_GB2312" w:hAnsi="楷体" w:eastAsia="仿宋_GB2312"/>
          <w:color w:val="auto"/>
          <w:sz w:val="24"/>
          <w:highlight w:val="none"/>
        </w:rPr>
        <w:t>约定时间内组织验收，并可依法邀请相关方参加，验收应出具验收书。</w:t>
      </w:r>
    </w:p>
    <w:p w14:paraId="43431CCE">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6C8AD719">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2.17.3 检验和验收标准、程序等具体内容以及前述验收书的效力详见</w:t>
      </w:r>
      <w:r>
        <w:rPr>
          <w:rFonts w:hint="eastAsia" w:ascii="仿宋_GB2312" w:hAnsi="楷体" w:eastAsia="仿宋_GB2312"/>
          <w:b/>
          <w:i/>
          <w:color w:val="auto"/>
          <w:sz w:val="24"/>
          <w:highlight w:val="none"/>
          <w:u w:val="single"/>
        </w:rPr>
        <w:t>合同专用条款</w:t>
      </w:r>
      <w:r>
        <w:rPr>
          <w:rFonts w:hint="eastAsia" w:ascii="仿宋_GB2312" w:hAnsi="楷体" w:eastAsia="仿宋_GB2312"/>
          <w:i/>
          <w:color w:val="auto"/>
          <w:sz w:val="24"/>
          <w:highlight w:val="none"/>
        </w:rPr>
        <w:t>。</w:t>
      </w:r>
    </w:p>
    <w:bookmarkEnd w:id="222"/>
    <w:bookmarkEnd w:id="223"/>
    <w:bookmarkEnd w:id="224"/>
    <w:bookmarkEnd w:id="225"/>
    <w:p w14:paraId="5E9AD4D4">
      <w:pPr>
        <w:spacing w:line="360" w:lineRule="auto"/>
        <w:ind w:firstLine="482" w:firstLineChars="200"/>
        <w:rPr>
          <w:rFonts w:hint="eastAsia" w:ascii="仿宋_GB2312" w:hAnsi="楷体" w:eastAsia="仿宋_GB2312"/>
          <w:b/>
          <w:color w:val="auto"/>
          <w:sz w:val="24"/>
          <w:highlight w:val="none"/>
        </w:rPr>
      </w:pPr>
      <w:bookmarkStart w:id="253" w:name="_Toc259093690"/>
      <w:bookmarkStart w:id="254" w:name="_Toc279701261"/>
      <w:bookmarkStart w:id="255" w:name="_Toc487900371"/>
      <w:bookmarkStart w:id="256" w:name="_Toc11284"/>
      <w:bookmarkStart w:id="257" w:name="_Toc25182"/>
      <w:bookmarkStart w:id="258" w:name="_Toc19604"/>
      <w:r>
        <w:rPr>
          <w:rFonts w:hint="eastAsia" w:ascii="仿宋_GB2312" w:hAnsi="楷体" w:eastAsia="仿宋_GB2312"/>
          <w:b/>
          <w:color w:val="auto"/>
          <w:sz w:val="24"/>
          <w:highlight w:val="none"/>
        </w:rPr>
        <w:t>2.18 通知</w:t>
      </w:r>
      <w:bookmarkEnd w:id="253"/>
      <w:bookmarkEnd w:id="254"/>
      <w:bookmarkEnd w:id="255"/>
      <w:r>
        <w:rPr>
          <w:rFonts w:hint="eastAsia" w:ascii="仿宋_GB2312" w:hAnsi="楷体" w:eastAsia="仿宋_GB2312"/>
          <w:b/>
          <w:color w:val="auto"/>
          <w:sz w:val="24"/>
          <w:highlight w:val="none"/>
        </w:rPr>
        <w:t>和送达</w:t>
      </w:r>
      <w:bookmarkEnd w:id="256"/>
      <w:bookmarkEnd w:id="257"/>
      <w:bookmarkEnd w:id="258"/>
    </w:p>
    <w:p w14:paraId="5B2A1EC1">
      <w:pPr>
        <w:spacing w:line="360" w:lineRule="auto"/>
        <w:ind w:firstLine="480" w:firstLineChars="200"/>
        <w:rPr>
          <w:rFonts w:hint="eastAsia" w:ascii="仿宋_GB2312" w:hAnsi="楷体" w:eastAsia="仿宋_GB2312"/>
          <w:color w:val="auto"/>
          <w:sz w:val="24"/>
          <w:highlight w:val="none"/>
        </w:rPr>
      </w:pPr>
      <w:bookmarkStart w:id="259" w:name="_Toc3135"/>
      <w:bookmarkStart w:id="260" w:name="_Toc6698"/>
      <w:bookmarkStart w:id="261" w:name="_Toc279701262"/>
      <w:bookmarkStart w:id="262" w:name="_Toc259093691"/>
      <w:bookmarkStart w:id="263" w:name="_Toc487900372"/>
      <w:r>
        <w:rPr>
          <w:rFonts w:hint="eastAsia" w:ascii="仿宋_GB2312" w:hAnsi="楷体" w:eastAsia="仿宋_GB2312"/>
          <w:color w:val="auto"/>
          <w:sz w:val="24"/>
          <w:highlight w:val="none"/>
        </w:rPr>
        <w:t>2.18.1 任何一方因履行合同而以合同第一部分尾部所列明的</w:t>
      </w:r>
      <w:r>
        <w:rPr>
          <w:rFonts w:hint="eastAsia" w:ascii="仿宋_GB2312" w:hAnsi="楷体" w:eastAsia="仿宋_GB2312"/>
          <w:color w:val="auto"/>
          <w:sz w:val="24"/>
          <w:highlight w:val="none"/>
          <w:u w:val="single"/>
        </w:rPr>
        <w:t>“约定送达地址”</w:t>
      </w:r>
      <w:r>
        <w:rPr>
          <w:rFonts w:hint="eastAsia" w:ascii="仿宋_GB2312" w:hAnsi="楷体" w:eastAsia="仿宋_GB2312"/>
          <w:color w:val="auto"/>
          <w:sz w:val="24"/>
          <w:highlight w:val="none"/>
        </w:rPr>
        <w:t>为收件地址的所有通知、文件、材料，均视为已向对方当事人送达；任何一方变更上述送达方式或者地址的，应于</w:t>
      </w:r>
      <w:r>
        <w:rPr>
          <w:rFonts w:hint="eastAsia" w:ascii="仿宋_GB2312" w:hAnsi="楷体" w:eastAsia="仿宋_GB2312"/>
          <w:color w:val="auto"/>
          <w:sz w:val="24"/>
          <w:highlight w:val="none"/>
          <w:u w:val="single"/>
        </w:rPr>
        <w:t xml:space="preserve"> 7 </w:t>
      </w:r>
      <w:r>
        <w:rPr>
          <w:rFonts w:hint="eastAsia" w:ascii="仿宋_GB2312" w:hAnsi="楷体" w:eastAsia="仿宋_GB2312"/>
          <w:color w:val="auto"/>
          <w:sz w:val="24"/>
          <w:highlight w:val="none"/>
        </w:rPr>
        <w:t>个工作日内（根据项目实际填写）书面通知对方当事人，在对方当事人收到有关变更通知之前，变更前的约定送达方式或者地址仍视为有效。</w:t>
      </w:r>
      <w:bookmarkEnd w:id="259"/>
      <w:bookmarkEnd w:id="260"/>
    </w:p>
    <w:p w14:paraId="1EFA6D6C">
      <w:pPr>
        <w:spacing w:line="360" w:lineRule="auto"/>
        <w:ind w:firstLine="480" w:firstLineChars="200"/>
        <w:rPr>
          <w:rFonts w:hint="eastAsia" w:ascii="仿宋_GB2312" w:hAnsi="楷体" w:eastAsia="仿宋_GB2312"/>
          <w:color w:val="auto"/>
          <w:sz w:val="24"/>
          <w:highlight w:val="none"/>
        </w:rPr>
      </w:pPr>
      <w:bookmarkStart w:id="264" w:name="_Toc23294"/>
      <w:bookmarkStart w:id="265" w:name="_Toc23128"/>
      <w:r>
        <w:rPr>
          <w:rFonts w:hint="eastAsia" w:ascii="仿宋_GB2312" w:hAnsi="楷体" w:eastAsia="仿宋_GB2312"/>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64"/>
      <w:bookmarkEnd w:id="265"/>
    </w:p>
    <w:p w14:paraId="078FB3EF">
      <w:pPr>
        <w:spacing w:line="360" w:lineRule="auto"/>
        <w:ind w:firstLine="482" w:firstLineChars="200"/>
        <w:rPr>
          <w:rFonts w:hint="eastAsia" w:ascii="仿宋_GB2312" w:hAnsi="楷体" w:eastAsia="仿宋_GB2312"/>
          <w:b/>
          <w:color w:val="auto"/>
          <w:sz w:val="24"/>
          <w:highlight w:val="none"/>
        </w:rPr>
      </w:pPr>
      <w:bookmarkStart w:id="266" w:name="_Toc18540"/>
      <w:bookmarkStart w:id="267" w:name="_Toc4355"/>
      <w:bookmarkStart w:id="268" w:name="_Toc30599"/>
      <w:r>
        <w:rPr>
          <w:rFonts w:hint="eastAsia" w:ascii="仿宋_GB2312" w:hAnsi="楷体" w:eastAsia="仿宋_GB2312"/>
          <w:b/>
          <w:color w:val="auto"/>
          <w:sz w:val="24"/>
          <w:highlight w:val="none"/>
        </w:rPr>
        <w:t>2.19 计量单位</w:t>
      </w:r>
      <w:bookmarkEnd w:id="261"/>
      <w:bookmarkEnd w:id="262"/>
      <w:bookmarkEnd w:id="263"/>
      <w:bookmarkEnd w:id="266"/>
      <w:bookmarkEnd w:id="267"/>
      <w:bookmarkEnd w:id="268"/>
    </w:p>
    <w:p w14:paraId="3004F789">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除技术规范中另有规定外,合同的计量单位均使用国家法定计量单位。</w:t>
      </w:r>
    </w:p>
    <w:p w14:paraId="03EE427E">
      <w:pPr>
        <w:spacing w:line="360" w:lineRule="auto"/>
        <w:ind w:firstLine="482" w:firstLineChars="200"/>
        <w:rPr>
          <w:rFonts w:hint="eastAsia" w:ascii="仿宋_GB2312" w:hAnsi="楷体" w:eastAsia="仿宋_GB2312"/>
          <w:b/>
          <w:color w:val="auto"/>
          <w:sz w:val="24"/>
          <w:highlight w:val="none"/>
        </w:rPr>
      </w:pPr>
      <w:bookmarkStart w:id="269" w:name="_Toc12773"/>
      <w:bookmarkStart w:id="270" w:name="_Toc259093692"/>
      <w:bookmarkStart w:id="271" w:name="_Toc10330"/>
      <w:bookmarkStart w:id="272" w:name="_Toc487900373"/>
      <w:bookmarkStart w:id="273" w:name="_Toc279701263"/>
      <w:bookmarkStart w:id="274" w:name="_Toc18567"/>
      <w:r>
        <w:rPr>
          <w:rFonts w:hint="eastAsia" w:ascii="仿宋_GB2312" w:hAnsi="楷体" w:eastAsia="仿宋_GB2312"/>
          <w:b/>
          <w:color w:val="auto"/>
          <w:sz w:val="24"/>
          <w:highlight w:val="none"/>
        </w:rPr>
        <w:t>2.20 合同使用的文字和适用的法律</w:t>
      </w:r>
      <w:bookmarkEnd w:id="269"/>
      <w:bookmarkEnd w:id="270"/>
      <w:bookmarkEnd w:id="271"/>
      <w:bookmarkEnd w:id="272"/>
      <w:bookmarkEnd w:id="273"/>
      <w:bookmarkEnd w:id="274"/>
    </w:p>
    <w:p w14:paraId="7DA186C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2.20.1 合同使用汉语书就、变更和解释；</w:t>
      </w:r>
    </w:p>
    <w:p w14:paraId="188B604A">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2.20.2 合同适用中华人民共和国法律。</w:t>
      </w:r>
    </w:p>
    <w:p w14:paraId="6336BF80">
      <w:pPr>
        <w:spacing w:line="360" w:lineRule="auto"/>
        <w:ind w:firstLine="482" w:firstLineChars="200"/>
        <w:rPr>
          <w:rFonts w:hint="eastAsia" w:ascii="仿宋_GB2312" w:hAnsi="楷体" w:eastAsia="仿宋_GB2312"/>
          <w:b/>
          <w:color w:val="auto"/>
          <w:sz w:val="24"/>
          <w:highlight w:val="none"/>
        </w:rPr>
      </w:pPr>
      <w:bookmarkStart w:id="275" w:name="_Toc279701264"/>
      <w:bookmarkStart w:id="276" w:name="_Toc16673"/>
      <w:bookmarkStart w:id="277" w:name="_Toc259093693"/>
      <w:bookmarkStart w:id="278" w:name="_Toc12004"/>
      <w:bookmarkStart w:id="279" w:name="_Toc3148"/>
      <w:bookmarkStart w:id="280" w:name="_Toc487900374"/>
      <w:r>
        <w:rPr>
          <w:rFonts w:hint="eastAsia" w:ascii="仿宋_GB2312" w:hAnsi="楷体" w:eastAsia="仿宋_GB2312"/>
          <w:b/>
          <w:color w:val="auto"/>
          <w:sz w:val="24"/>
          <w:highlight w:val="none"/>
        </w:rPr>
        <w:t>2.21 履约保证金</w:t>
      </w:r>
      <w:bookmarkEnd w:id="275"/>
      <w:bookmarkEnd w:id="276"/>
      <w:bookmarkEnd w:id="277"/>
      <w:bookmarkEnd w:id="278"/>
      <w:bookmarkEnd w:id="279"/>
    </w:p>
    <w:p w14:paraId="61C1EEC5">
      <w:pPr>
        <w:spacing w:line="360" w:lineRule="auto"/>
        <w:ind w:firstLine="480" w:firstLineChars="200"/>
        <w:rPr>
          <w:rFonts w:hint="eastAsia" w:ascii="仿宋_GB2312" w:hAnsi="仿宋" w:eastAsia="仿宋_GB2312" w:cs="Arial"/>
          <w:snapToGrid w:val="0"/>
          <w:color w:val="auto"/>
          <w:kern w:val="0"/>
          <w:sz w:val="24"/>
          <w:highlight w:val="none"/>
        </w:rPr>
      </w:pPr>
      <w:r>
        <w:rPr>
          <w:rFonts w:hint="eastAsia" w:ascii="仿宋_GB2312" w:hAnsi="楷体" w:eastAsia="仿宋_GB2312"/>
          <w:color w:val="auto"/>
          <w:sz w:val="24"/>
          <w:highlight w:val="none"/>
        </w:rPr>
        <w:t>本项目不收取履约保证金</w:t>
      </w:r>
    </w:p>
    <w:p w14:paraId="44C6A183">
      <w:pPr>
        <w:spacing w:line="360" w:lineRule="auto"/>
        <w:ind w:firstLine="482" w:firstLineChars="200"/>
        <w:rPr>
          <w:rFonts w:hint="eastAsia" w:ascii="仿宋_GB2312" w:hAnsi="仿宋" w:eastAsia="仿宋_GB2312"/>
          <w:color w:val="auto"/>
          <w:kern w:val="0"/>
          <w:sz w:val="24"/>
          <w:highlight w:val="none"/>
          <w:lang w:val="zh-CN"/>
        </w:rPr>
      </w:pPr>
      <w:r>
        <w:rPr>
          <w:rFonts w:hint="eastAsia" w:ascii="仿宋_GB2312" w:hAnsi="楷体" w:eastAsia="仿宋_GB2312"/>
          <w:b/>
          <w:color w:val="auto"/>
          <w:sz w:val="24"/>
          <w:highlight w:val="none"/>
        </w:rPr>
        <w:t>2.22 中小企业政策</w:t>
      </w:r>
    </w:p>
    <w:p w14:paraId="44B29496">
      <w:pPr>
        <w:spacing w:line="360" w:lineRule="auto"/>
        <w:ind w:firstLine="480" w:firstLineChars="200"/>
        <w:rPr>
          <w:rFonts w:hint="eastAsia" w:ascii="仿宋_GB2312" w:hAnsi="仿宋" w:eastAsia="仿宋_GB2312"/>
          <w:color w:val="auto"/>
          <w:kern w:val="0"/>
          <w:sz w:val="24"/>
          <w:highlight w:val="none"/>
          <w:lang w:val="zh-CN"/>
        </w:rPr>
      </w:pPr>
      <w:r>
        <w:rPr>
          <w:rFonts w:hint="eastAsia" w:ascii="仿宋_GB2312" w:hAnsi="仿宋" w:eastAsia="仿宋_GB2312"/>
          <w:color w:val="auto"/>
          <w:kern w:val="0"/>
          <w:sz w:val="24"/>
          <w:highlight w:val="none"/>
          <w:lang w:val="zh-CN"/>
        </w:rPr>
        <w:t>2.22.1本合同（□是  □否）为中小企业“政采贷”可融资合同，关于中小企业信用融资事项见采购文件“供应商须知正文”。</w:t>
      </w:r>
    </w:p>
    <w:p w14:paraId="7C76EB3F">
      <w:pPr>
        <w:spacing w:line="360" w:lineRule="auto"/>
        <w:ind w:firstLine="480" w:firstLineChars="200"/>
        <w:rPr>
          <w:rFonts w:hint="eastAsia" w:ascii="仿宋_GB2312" w:hAnsi="仿宋" w:eastAsia="仿宋_GB2312"/>
          <w:color w:val="auto"/>
          <w:kern w:val="0"/>
          <w:sz w:val="24"/>
          <w:highlight w:val="none"/>
          <w:lang w:val="zh-CN"/>
        </w:rPr>
      </w:pPr>
      <w:r>
        <w:rPr>
          <w:rFonts w:hint="eastAsia" w:ascii="仿宋_GB2312" w:hAnsi="仿宋" w:eastAsia="仿宋_GB2312"/>
          <w:color w:val="auto"/>
          <w:kern w:val="0"/>
          <w:sz w:val="24"/>
          <w:highlight w:val="none"/>
          <w:lang w:val="zh-CN"/>
        </w:rPr>
        <w:t>2.22.2本合同（□是  ☑否）为中小企业预留合同。</w:t>
      </w:r>
    </w:p>
    <w:bookmarkEnd w:id="280"/>
    <w:p w14:paraId="6B50A5E3">
      <w:pPr>
        <w:spacing w:line="360" w:lineRule="auto"/>
        <w:ind w:firstLine="482" w:firstLineChars="200"/>
        <w:rPr>
          <w:rFonts w:hint="eastAsia" w:ascii="仿宋_GB2312" w:hAnsi="楷体" w:eastAsia="仿宋_GB2312"/>
          <w:b/>
          <w:color w:val="auto"/>
          <w:sz w:val="24"/>
          <w:highlight w:val="none"/>
        </w:rPr>
      </w:pPr>
      <w:bookmarkStart w:id="281" w:name="_Toc6885"/>
      <w:bookmarkStart w:id="282" w:name="_Toc14001"/>
      <w:bookmarkStart w:id="283" w:name="_Toc19890"/>
      <w:r>
        <w:rPr>
          <w:rFonts w:hint="eastAsia" w:ascii="仿宋_GB2312" w:hAnsi="楷体" w:eastAsia="仿宋_GB2312"/>
          <w:b/>
          <w:color w:val="auto"/>
          <w:sz w:val="24"/>
          <w:highlight w:val="none"/>
        </w:rPr>
        <w:t>2.23 合同份数</w:t>
      </w:r>
      <w:bookmarkEnd w:id="281"/>
      <w:bookmarkEnd w:id="282"/>
      <w:bookmarkEnd w:id="283"/>
    </w:p>
    <w:p w14:paraId="498CEB8D">
      <w:pPr>
        <w:spacing w:line="360" w:lineRule="auto"/>
        <w:ind w:firstLine="480" w:firstLineChars="200"/>
        <w:rPr>
          <w:rFonts w:hint="eastAsia" w:ascii="仿宋_GB2312" w:hAnsi="楷体" w:eastAsia="仿宋_GB2312"/>
          <w:color w:val="auto"/>
          <w:sz w:val="24"/>
          <w:highlight w:val="none"/>
        </w:rPr>
      </w:pPr>
      <w:r>
        <w:rPr>
          <w:rFonts w:hint="eastAsia" w:ascii="仿宋_GB2312" w:hAnsi="宋体" w:eastAsia="仿宋_GB2312"/>
          <w:color w:val="auto"/>
          <w:sz w:val="24"/>
          <w:highlight w:val="none"/>
        </w:rPr>
        <w:t>本合同壹式</w:t>
      </w:r>
      <w:r>
        <w:rPr>
          <w:rFonts w:hint="eastAsia" w:ascii="仿宋_GB2312" w:hAnsi="宋体" w:eastAsia="仿宋_GB2312"/>
          <w:color w:val="auto"/>
          <w:sz w:val="24"/>
          <w:highlight w:val="none"/>
          <w:u w:val="single"/>
        </w:rPr>
        <w:t xml:space="preserve"> 陆</w:t>
      </w:r>
      <w:r>
        <w:rPr>
          <w:rFonts w:hint="eastAsia" w:ascii="仿宋_GB2312" w:hAnsi="仿宋" w:eastAsia="仿宋_GB2312"/>
          <w:color w:val="auto"/>
          <w:sz w:val="24"/>
          <w:highlight w:val="none"/>
          <w:u w:val="single"/>
        </w:rPr>
        <w:t xml:space="preserve"> </w:t>
      </w:r>
      <w:r>
        <w:rPr>
          <w:rFonts w:hint="eastAsia" w:ascii="仿宋_GB2312" w:hAnsi="宋体" w:eastAsia="仿宋_GB2312"/>
          <w:color w:val="auto"/>
          <w:sz w:val="24"/>
          <w:highlight w:val="none"/>
        </w:rPr>
        <w:t>份，甲方执</w:t>
      </w:r>
      <w:r>
        <w:rPr>
          <w:rFonts w:hint="eastAsia" w:ascii="仿宋_GB2312" w:hAnsi="宋体" w:eastAsia="仿宋_GB2312"/>
          <w:color w:val="auto"/>
          <w:sz w:val="24"/>
          <w:highlight w:val="none"/>
          <w:u w:val="single"/>
        </w:rPr>
        <w:t xml:space="preserve"> 叁</w:t>
      </w:r>
      <w:r>
        <w:rPr>
          <w:rFonts w:hint="eastAsia" w:ascii="仿宋_GB2312" w:hAnsi="仿宋" w:eastAsia="仿宋_GB2312"/>
          <w:color w:val="auto"/>
          <w:sz w:val="24"/>
          <w:highlight w:val="none"/>
          <w:u w:val="single"/>
        </w:rPr>
        <w:t xml:space="preserve"> </w:t>
      </w:r>
      <w:r>
        <w:rPr>
          <w:rFonts w:hint="eastAsia" w:ascii="仿宋_GB2312" w:hAnsi="宋体" w:eastAsia="仿宋_GB2312"/>
          <w:color w:val="auto"/>
          <w:sz w:val="24"/>
          <w:highlight w:val="none"/>
        </w:rPr>
        <w:t>份，乙方执</w:t>
      </w:r>
      <w:r>
        <w:rPr>
          <w:rFonts w:hint="eastAsia" w:ascii="仿宋_GB2312" w:hAnsi="仿宋" w:eastAsia="仿宋_GB2312"/>
          <w:color w:val="auto"/>
          <w:sz w:val="24"/>
          <w:highlight w:val="none"/>
          <w:u w:val="single"/>
        </w:rPr>
        <w:t xml:space="preserve"> </w:t>
      </w:r>
      <w:r>
        <w:rPr>
          <w:rFonts w:hint="eastAsia" w:ascii="仿宋_GB2312" w:hAnsi="宋体" w:eastAsia="仿宋_GB2312"/>
          <w:color w:val="auto"/>
          <w:sz w:val="24"/>
          <w:highlight w:val="none"/>
          <w:u w:val="single"/>
        </w:rPr>
        <w:t xml:space="preserve">叁 </w:t>
      </w:r>
      <w:r>
        <w:rPr>
          <w:rFonts w:hint="eastAsia" w:ascii="仿宋_GB2312" w:hAnsi="宋体" w:eastAsia="仿宋_GB2312"/>
          <w:color w:val="auto"/>
          <w:sz w:val="24"/>
          <w:highlight w:val="none"/>
        </w:rPr>
        <w:t>份。</w:t>
      </w:r>
      <w:r>
        <w:rPr>
          <w:rFonts w:hint="eastAsia" w:ascii="仿宋_GB2312" w:hAnsi="楷体" w:eastAsia="仿宋_GB2312"/>
          <w:color w:val="auto"/>
          <w:sz w:val="24"/>
          <w:highlight w:val="none"/>
        </w:rPr>
        <w:t>每份均具有同等法律效力。</w:t>
      </w:r>
    </w:p>
    <w:p w14:paraId="017C86E2">
      <w:pPr>
        <w:pStyle w:val="5"/>
        <w:spacing w:before="0" w:after="0" w:line="360" w:lineRule="auto"/>
        <w:jc w:val="center"/>
        <w:rPr>
          <w:rFonts w:hint="eastAsia" w:ascii="仿宋_GB2312" w:hAnsi="楷体" w:eastAsia="仿宋_GB2312"/>
          <w:b/>
          <w:color w:val="auto"/>
          <w:sz w:val="28"/>
          <w:szCs w:val="28"/>
          <w:highlight w:val="none"/>
        </w:rPr>
      </w:pPr>
      <w:r>
        <w:rPr>
          <w:rFonts w:hint="eastAsia" w:ascii="仿宋_GB2312" w:hAnsi="楷体" w:eastAsia="仿宋_GB2312"/>
          <w:color w:val="auto"/>
          <w:highlight w:val="none"/>
        </w:rPr>
        <w:br w:type="page"/>
      </w:r>
      <w:bookmarkStart w:id="284" w:name="_Toc80205946"/>
      <w:bookmarkStart w:id="285" w:name="_Toc80886950"/>
      <w:bookmarkStart w:id="286" w:name="_Toc17665"/>
      <w:bookmarkStart w:id="287" w:name="_Toc331685784"/>
      <w:r>
        <w:rPr>
          <w:rFonts w:hint="eastAsia" w:ascii="仿宋" w:hAnsi="仿宋" w:eastAsia="仿宋" w:cs="仿宋"/>
          <w:b/>
          <w:bCs w:val="0"/>
          <w:color w:val="auto"/>
          <w:sz w:val="32"/>
          <w:szCs w:val="32"/>
          <w:highlight w:val="none"/>
        </w:rPr>
        <w:t>第三部分 合同专用条款</w:t>
      </w:r>
      <w:bookmarkEnd w:id="284"/>
      <w:bookmarkEnd w:id="285"/>
      <w:bookmarkEnd w:id="286"/>
      <w:bookmarkEnd w:id="287"/>
    </w:p>
    <w:p w14:paraId="1FBED7D1">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5A9343D2">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2.3.2具有知识产权的标的物知识产权归属：</w:t>
      </w:r>
    </w:p>
    <w:p w14:paraId="14445914">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 xml:space="preserve">           </w:t>
      </w:r>
    </w:p>
    <w:p w14:paraId="70007E99">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2.4.1包装和装运专用条款（如果有）：</w:t>
      </w:r>
    </w:p>
    <w:p w14:paraId="75B57F79">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p>
    <w:p w14:paraId="0BE42B71">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2.4.2装运标的物的要求和通知：</w:t>
      </w:r>
    </w:p>
    <w:p w14:paraId="17F3398E">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p>
    <w:p w14:paraId="41E7D0AA">
      <w:pP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2.6</w:t>
      </w:r>
      <w:r>
        <w:rPr>
          <w:rFonts w:hint="eastAsia" w:ascii="仿宋_GB2312" w:hAnsi="楷体" w:eastAsia="仿宋_GB2312"/>
          <w:b/>
          <w:color w:val="auto"/>
          <w:sz w:val="24"/>
          <w:highlight w:val="none"/>
        </w:rPr>
        <w:t>结算方式和付款条件</w:t>
      </w:r>
    </w:p>
    <w:p w14:paraId="220312A7">
      <w:pPr>
        <w:spacing w:line="360" w:lineRule="auto"/>
        <w:ind w:firstLine="480" w:firstLineChars="200"/>
        <w:rPr>
          <w:rFonts w:hint="eastAsia" w:ascii="仿宋_GB2312" w:hAnsi="仿宋_GB2312" w:eastAsia="仿宋_GB2312" w:cs="仿宋_GB2312"/>
          <w:color w:val="auto"/>
          <w:kern w:val="0"/>
          <w:sz w:val="24"/>
          <w:highlight w:val="none"/>
          <w:lang w:val="zh-CN"/>
        </w:rPr>
      </w:pPr>
      <w:r>
        <w:rPr>
          <w:rFonts w:hint="eastAsia" w:ascii="仿宋_GB2312" w:hAnsi="仿宋_GB2312" w:eastAsia="仿宋_GB2312" w:cs="仿宋_GB2312"/>
          <w:color w:val="auto"/>
          <w:kern w:val="0"/>
          <w:sz w:val="24"/>
          <w:highlight w:val="none"/>
          <w:lang w:val="zh-CN"/>
        </w:rPr>
        <w:t>本次项目合同总价为大写人民币</w:t>
      </w:r>
      <w:r>
        <w:rPr>
          <w:rFonts w:hint="eastAsia" w:ascii="仿宋_GB2312" w:hAnsi="仿宋_GB2312" w:eastAsia="仿宋_GB2312" w:cs="仿宋_GB2312"/>
          <w:color w:val="auto"/>
          <w:kern w:val="0"/>
          <w:sz w:val="24"/>
          <w:highlight w:val="none"/>
          <w:u w:val="single"/>
          <w:lang w:val="zh-CN"/>
        </w:rPr>
        <w:t xml:space="preserve">            （</w:t>
      </w:r>
      <w:r>
        <w:rPr>
          <w:rFonts w:hint="eastAsia" w:ascii="仿宋_GB2312" w:hAnsi="仿宋_GB2312" w:eastAsia="仿宋_GB2312" w:cs="仿宋_GB2312"/>
          <w:color w:val="auto"/>
          <w:kern w:val="0"/>
          <w:sz w:val="24"/>
          <w:highlight w:val="none"/>
          <w:lang w:val="zh-CN"/>
        </w:rPr>
        <w:t>￥    元）。本项目采用以下勾选结算方式进行支付：</w:t>
      </w:r>
    </w:p>
    <w:p w14:paraId="76DFE387">
      <w:pPr>
        <w:spacing w:line="360" w:lineRule="auto"/>
        <w:ind w:firstLine="480" w:firstLineChars="200"/>
        <w:rPr>
          <w:rFonts w:hint="eastAsia" w:ascii="仿宋_GB2312" w:hAnsi="仿宋_GB2312" w:eastAsia="仿宋_GB2312" w:cs="仿宋_GB2312"/>
          <w:color w:val="auto"/>
          <w:kern w:val="0"/>
          <w:sz w:val="24"/>
          <w:highlight w:val="none"/>
          <w:lang w:val="zh-CN"/>
        </w:rPr>
      </w:pPr>
      <w:r>
        <w:rPr>
          <w:rFonts w:hint="eastAsia" w:ascii="仿宋_GB2312" w:hAnsi="仿宋_GB2312" w:eastAsia="仿宋_GB2312" w:cs="仿宋_GB2312"/>
          <w:color w:val="auto"/>
          <w:kern w:val="0"/>
          <w:sz w:val="24"/>
          <w:highlight w:val="none"/>
          <w:lang w:val="zh-CN"/>
        </w:rPr>
        <w:t>□采用一次性支付方式，付款条件为：</w:t>
      </w:r>
      <w:r>
        <w:rPr>
          <w:rFonts w:hint="eastAsia" w:ascii="仿宋_GB2312" w:hAnsi="仿宋_GB2312" w:eastAsia="仿宋_GB2312" w:cs="仿宋_GB2312"/>
          <w:color w:val="auto"/>
          <w:kern w:val="0"/>
          <w:sz w:val="24"/>
          <w:highlight w:val="none"/>
          <w:u w:val="single"/>
        </w:rPr>
        <w:t xml:space="preserve">           </w:t>
      </w:r>
    </w:p>
    <w:p w14:paraId="22E4AC1D">
      <w:pPr>
        <w:spacing w:line="360" w:lineRule="auto"/>
        <w:ind w:firstLine="480" w:firstLineChars="200"/>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lang w:val="zh-CN"/>
        </w:rPr>
        <w:t>□采用分期付款方式，付款条件为</w:t>
      </w:r>
      <w:r>
        <w:rPr>
          <w:rFonts w:hint="eastAsia" w:ascii="仿宋_GB2312" w:hAnsi="仿宋_GB2312" w:eastAsia="仿宋_GB2312" w:cs="仿宋_GB2312"/>
          <w:color w:val="auto"/>
          <w:kern w:val="0"/>
          <w:sz w:val="24"/>
          <w:highlight w:val="none"/>
        </w:rPr>
        <w:t>：</w:t>
      </w:r>
    </w:p>
    <w:p w14:paraId="2EF6E918">
      <w:pPr>
        <w:spacing w:line="360" w:lineRule="auto"/>
        <w:ind w:firstLine="480" w:firstLineChars="200"/>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lang w:val="zh-CN"/>
        </w:rPr>
        <w:t>第一期付款</w:t>
      </w:r>
      <w:r>
        <w:rPr>
          <w:rFonts w:hint="eastAsia" w:ascii="仿宋_GB2312" w:hAnsi="仿宋_GB2312" w:eastAsia="仿宋_GB2312" w:cs="仿宋_GB2312"/>
          <w:color w:val="auto"/>
          <w:kern w:val="0"/>
          <w:sz w:val="24"/>
          <w:highlight w:val="none"/>
        </w:rPr>
        <w:t>：</w:t>
      </w:r>
      <w:r>
        <w:rPr>
          <w:rFonts w:hint="eastAsia" w:ascii="仿宋_GB2312" w:hAnsi="仿宋_GB2312" w:eastAsia="仿宋_GB2312" w:cs="仿宋_GB2312"/>
          <w:color w:val="auto"/>
          <w:kern w:val="0"/>
          <w:sz w:val="24"/>
          <w:highlight w:val="none"/>
          <w:u w:val="single"/>
        </w:rPr>
        <w:t xml:space="preserve">                                        </w:t>
      </w:r>
    </w:p>
    <w:p w14:paraId="64485BB8">
      <w:pPr>
        <w:spacing w:line="360" w:lineRule="auto"/>
        <w:ind w:firstLine="480" w:firstLineChars="200"/>
        <w:rPr>
          <w:rFonts w:hint="eastAsia" w:ascii="仿宋_GB2312" w:hAnsi="仿宋_GB2312" w:eastAsia="仿宋_GB2312" w:cs="仿宋_GB2312"/>
          <w:color w:val="auto"/>
          <w:kern w:val="0"/>
          <w:sz w:val="24"/>
          <w:highlight w:val="none"/>
          <w:u w:val="single"/>
        </w:rPr>
      </w:pPr>
      <w:r>
        <w:rPr>
          <w:rFonts w:hint="eastAsia" w:ascii="仿宋_GB2312" w:hAnsi="仿宋_GB2312" w:eastAsia="仿宋_GB2312" w:cs="仿宋_GB2312"/>
          <w:color w:val="auto"/>
          <w:kern w:val="0"/>
          <w:sz w:val="24"/>
          <w:highlight w:val="none"/>
          <w:lang w:val="zh-CN"/>
        </w:rPr>
        <w:t>第</w:t>
      </w:r>
      <w:r>
        <w:rPr>
          <w:rFonts w:hint="eastAsia" w:ascii="仿宋_GB2312" w:hAnsi="仿宋_GB2312" w:eastAsia="仿宋_GB2312" w:cs="仿宋_GB2312"/>
          <w:color w:val="auto"/>
          <w:kern w:val="0"/>
          <w:sz w:val="24"/>
          <w:highlight w:val="none"/>
        </w:rPr>
        <w:t>二</w:t>
      </w:r>
      <w:r>
        <w:rPr>
          <w:rFonts w:hint="eastAsia" w:ascii="仿宋_GB2312" w:hAnsi="仿宋_GB2312" w:eastAsia="仿宋_GB2312" w:cs="仿宋_GB2312"/>
          <w:color w:val="auto"/>
          <w:kern w:val="0"/>
          <w:sz w:val="24"/>
          <w:highlight w:val="none"/>
          <w:lang w:val="zh-CN"/>
        </w:rPr>
        <w:t>期付款</w:t>
      </w:r>
      <w:r>
        <w:rPr>
          <w:rFonts w:hint="eastAsia" w:ascii="仿宋_GB2312" w:hAnsi="仿宋_GB2312" w:eastAsia="仿宋_GB2312" w:cs="仿宋_GB2312"/>
          <w:color w:val="auto"/>
          <w:kern w:val="0"/>
          <w:sz w:val="24"/>
          <w:highlight w:val="none"/>
        </w:rPr>
        <w:t>：</w:t>
      </w:r>
      <w:r>
        <w:rPr>
          <w:rFonts w:hint="eastAsia" w:ascii="仿宋_GB2312" w:hAnsi="仿宋_GB2312" w:eastAsia="仿宋_GB2312" w:cs="仿宋_GB2312"/>
          <w:color w:val="auto"/>
          <w:kern w:val="0"/>
          <w:sz w:val="24"/>
          <w:highlight w:val="none"/>
          <w:u w:val="single"/>
        </w:rPr>
        <w:t xml:space="preserve">                                        </w:t>
      </w:r>
    </w:p>
    <w:p w14:paraId="16DB4AD0">
      <w:pPr>
        <w:spacing w:line="360" w:lineRule="auto"/>
        <w:ind w:firstLine="480" w:firstLineChars="200"/>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w:t>
      </w:r>
    </w:p>
    <w:p w14:paraId="0367C2CE">
      <w:pPr>
        <w:spacing w:line="360" w:lineRule="auto"/>
        <w:ind w:firstLine="480" w:firstLineChars="200"/>
        <w:rPr>
          <w:rFonts w:hint="eastAsia" w:ascii="仿宋_GB2312" w:hAnsi="仿宋" w:eastAsia="仿宋_GB2312"/>
          <w:color w:val="auto"/>
          <w:sz w:val="24"/>
          <w:highlight w:val="none"/>
        </w:rPr>
      </w:pPr>
      <w:r>
        <w:rPr>
          <w:rFonts w:hint="eastAsia" w:ascii="仿宋_GB2312" w:hAnsi="仿宋" w:eastAsia="仿宋_GB2312"/>
          <w:color w:val="auto"/>
          <w:sz w:val="24"/>
          <w:highlight w:val="none"/>
        </w:rPr>
        <w:t>甲方无故逾期支付服务费用的，按照每逾期一日支付欠付服务费额度的</w:t>
      </w:r>
      <w:r>
        <w:rPr>
          <w:rFonts w:hint="eastAsia" w:ascii="仿宋_GB2312" w:hAnsi="仿宋" w:eastAsia="仿宋_GB2312"/>
          <w:color w:val="auto"/>
          <w:sz w:val="24"/>
          <w:highlight w:val="none"/>
          <w:u w:val="single"/>
        </w:rPr>
        <w:t>万分之五</w:t>
      </w:r>
      <w:r>
        <w:rPr>
          <w:rFonts w:hint="eastAsia" w:ascii="仿宋_GB2312" w:hAnsi="仿宋" w:eastAsia="仿宋_GB2312"/>
          <w:color w:val="auto"/>
          <w:sz w:val="24"/>
          <w:highlight w:val="none"/>
        </w:rPr>
        <w:t>（</w:t>
      </w:r>
      <w:r>
        <w:rPr>
          <w:rFonts w:hint="eastAsia" w:ascii="仿宋_GB2312" w:hAnsi="楷体" w:eastAsia="仿宋_GB2312"/>
          <w:color w:val="auto"/>
          <w:sz w:val="24"/>
          <w:highlight w:val="none"/>
        </w:rPr>
        <w:t>根据项目实际填写，一般为万分之五</w:t>
      </w:r>
      <w:r>
        <w:rPr>
          <w:rFonts w:hint="eastAsia" w:ascii="仿宋_GB2312" w:hAnsi="仿宋" w:eastAsia="仿宋_GB2312"/>
          <w:color w:val="auto"/>
          <w:sz w:val="24"/>
          <w:highlight w:val="none"/>
        </w:rPr>
        <w:t>）承担违约责任，违约金上限按照《合同书》约定执行。</w:t>
      </w:r>
    </w:p>
    <w:p w14:paraId="637D5C8E">
      <w:pPr>
        <w:spacing w:line="360" w:lineRule="auto"/>
        <w:ind w:firstLine="480" w:firstLineChars="200"/>
        <w:rPr>
          <w:rFonts w:hint="eastAsia" w:ascii="仿宋_GB2312" w:hAnsi="仿宋_GB2312" w:eastAsia="仿宋_GB2312" w:cs="仿宋_GB2312"/>
          <w:color w:val="auto"/>
          <w:kern w:val="0"/>
          <w:sz w:val="24"/>
          <w:highlight w:val="none"/>
          <w:lang w:val="zh-CN"/>
        </w:rPr>
      </w:pPr>
      <w:r>
        <w:rPr>
          <w:rFonts w:hint="eastAsia" w:ascii="仿宋_GB2312" w:hAnsi="仿宋" w:eastAsia="仿宋_GB2312"/>
          <w:color w:val="auto"/>
          <w:sz w:val="24"/>
          <w:highlight w:val="none"/>
          <w:lang w:val="zh-CN"/>
        </w:rPr>
        <w:t>（温馨提示：根据《广西壮族自治区财政厅关于进一步发挥政府采购政策功能促进企业发展的通知》（桂财采〔2022〕30号）及《2023年广西优化营商环境行动方案》等规定，政府采购货物和服务的采购人在政府采购合同中约定预付款比例的，采购合同履行期超过30天，对中小企业合同预付款比例应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49FC32C5">
      <w:pPr>
        <w:spacing w:line="360" w:lineRule="auto"/>
        <w:ind w:firstLine="480" w:firstLineChars="200"/>
        <w:rPr>
          <w:rFonts w:hint="eastAsia" w:ascii="仿宋_GB2312" w:hAnsi="楷体" w:eastAsia="仿宋_GB2312"/>
          <w:b/>
          <w:color w:val="auto"/>
          <w:sz w:val="24"/>
          <w:highlight w:val="none"/>
        </w:rPr>
      </w:pPr>
      <w:r>
        <w:rPr>
          <w:rFonts w:hint="eastAsia" w:ascii="仿宋_GB2312" w:hAnsi="楷体" w:eastAsia="仿宋_GB2312"/>
          <w:color w:val="auto"/>
          <w:sz w:val="24"/>
          <w:highlight w:val="none"/>
        </w:rPr>
        <w:t>2.9</w:t>
      </w:r>
      <w:r>
        <w:rPr>
          <w:rFonts w:hint="eastAsia" w:ascii="仿宋_GB2312" w:hAnsi="楷体" w:eastAsia="仿宋_GB2312"/>
          <w:b/>
          <w:color w:val="auto"/>
          <w:sz w:val="24"/>
          <w:highlight w:val="none"/>
        </w:rPr>
        <w:t>标的物的风险负担</w:t>
      </w:r>
    </w:p>
    <w:p w14:paraId="45403455">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标的物或者在途标的物或者交付给第一承运人后的标的物毁损、灭失的风险负担：</w:t>
      </w:r>
    </w:p>
    <w:p w14:paraId="318BF263">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乙方                                                                   </w:t>
      </w:r>
    </w:p>
    <w:p w14:paraId="05CF65A2">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2.13.2受不可抗力影响的一方在不可抗力发生后，应在</w:t>
      </w:r>
      <w:r>
        <w:rPr>
          <w:rFonts w:hint="eastAsia" w:ascii="仿宋_GB2312" w:hAnsi="楷体" w:eastAsia="仿宋_GB2312"/>
          <w:color w:val="auto"/>
          <w:sz w:val="24"/>
          <w:highlight w:val="none"/>
          <w:u w:val="single"/>
        </w:rPr>
        <w:t xml:space="preserve"> 7 </w:t>
      </w:r>
      <w:r>
        <w:rPr>
          <w:rFonts w:hint="eastAsia" w:ascii="仿宋_GB2312" w:hAnsi="楷体" w:eastAsia="仿宋_GB2312"/>
          <w:color w:val="auto"/>
          <w:sz w:val="24"/>
          <w:highlight w:val="none"/>
        </w:rPr>
        <w:t>日内（根据项目实际填写）以书面形式通知对方当事人，并在</w:t>
      </w:r>
      <w:r>
        <w:rPr>
          <w:rFonts w:hint="eastAsia" w:ascii="仿宋_GB2312" w:hAnsi="楷体" w:eastAsia="仿宋_GB2312"/>
          <w:color w:val="auto"/>
          <w:sz w:val="24"/>
          <w:highlight w:val="none"/>
          <w:u w:val="single"/>
        </w:rPr>
        <w:t xml:space="preserve"> 7 </w:t>
      </w:r>
      <w:r>
        <w:rPr>
          <w:rFonts w:hint="eastAsia" w:ascii="仿宋_GB2312" w:hAnsi="楷体" w:eastAsia="仿宋_GB2312"/>
          <w:color w:val="auto"/>
          <w:sz w:val="24"/>
          <w:highlight w:val="none"/>
        </w:rPr>
        <w:t>日内（根据项目实际填写），将有关部门出具的证明文件送达对方当事人。</w:t>
      </w:r>
    </w:p>
    <w:p w14:paraId="55424412">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2.13.4因不可抗力致使合同有变更必要的，双方当事人应在</w:t>
      </w:r>
      <w:r>
        <w:rPr>
          <w:rFonts w:hint="eastAsia" w:ascii="仿宋_GB2312" w:hAnsi="楷体" w:eastAsia="仿宋_GB2312"/>
          <w:color w:val="auto"/>
          <w:sz w:val="24"/>
          <w:highlight w:val="none"/>
          <w:u w:val="single"/>
        </w:rPr>
        <w:t xml:space="preserve"> 7 </w:t>
      </w:r>
      <w:r>
        <w:rPr>
          <w:rFonts w:hint="eastAsia" w:ascii="仿宋_GB2312" w:hAnsi="楷体" w:eastAsia="仿宋_GB2312"/>
          <w:color w:val="auto"/>
          <w:sz w:val="24"/>
          <w:highlight w:val="none"/>
        </w:rPr>
        <w:t>日内（根据项目实际填写）以书面形式变更合同；</w:t>
      </w:r>
    </w:p>
    <w:p w14:paraId="25429B88">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color w:val="auto"/>
          <w:sz w:val="24"/>
          <w:highlight w:val="none"/>
          <w:u w:val="single"/>
        </w:rPr>
        <w:t xml:space="preserve"> 7 </w:t>
      </w:r>
      <w:r>
        <w:rPr>
          <w:rFonts w:hint="eastAsia" w:ascii="仿宋_GB2312" w:hAnsi="楷体" w:eastAsia="仿宋_GB2312"/>
          <w:color w:val="auto"/>
          <w:sz w:val="24"/>
          <w:highlight w:val="none"/>
        </w:rPr>
        <w:t>日内（根据项目实际填写）发起验收，并可依法邀请相关方参加，验收应出具验收书。</w:t>
      </w:r>
    </w:p>
    <w:p w14:paraId="79262BEC">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2.17.3 检验和验收标准、程序等具体内容以及前述验收书的效力：</w:t>
      </w:r>
    </w:p>
    <w:p w14:paraId="6F5D7362">
      <w:pPr>
        <w:spacing w:line="360" w:lineRule="auto"/>
        <w:ind w:firstLine="480" w:firstLineChars="200"/>
        <w:rPr>
          <w:rFonts w:hint="eastAsia" w:ascii="仿宋_GB2312" w:hAnsi="楷体" w:eastAsia="仿宋_GB2312"/>
          <w:color w:val="auto"/>
          <w:sz w:val="24"/>
          <w:highlight w:val="none"/>
          <w:u w:val="single"/>
        </w:rPr>
      </w:pPr>
      <w:r>
        <w:rPr>
          <w:rFonts w:hint="eastAsia" w:ascii="仿宋_GB2312" w:hAnsi="楷体" w:eastAsia="仿宋_GB2312"/>
          <w:color w:val="auto"/>
          <w:sz w:val="24"/>
          <w:highlight w:val="none"/>
          <w:u w:val="single"/>
        </w:rPr>
        <w:t xml:space="preserve">                                                                       </w:t>
      </w:r>
    </w:p>
    <w:p w14:paraId="26EDBB56">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3.1 其他：</w:t>
      </w:r>
    </w:p>
    <w:p w14:paraId="5FBB32C8">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项目验收：</w:t>
      </w:r>
    </w:p>
    <w:p w14:paraId="0E5CE729">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4DF969E0">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0EDECD9F">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56118D1E">
      <w:pPr>
        <w:tabs>
          <w:tab w:val="left" w:pos="904"/>
        </w:tabs>
        <w:snapToGrid w:val="0"/>
        <w:spacing w:line="360" w:lineRule="auto"/>
        <w:ind w:firstLine="480" w:firstLineChars="200"/>
        <w:jc w:val="left"/>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4、验收产生的费用：首次验收费用由</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承担，如首次验收不合格，后续验收费用由</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rPr>
        <w:t>支付。</w:t>
      </w:r>
    </w:p>
    <w:p w14:paraId="4687743A">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5、验收内容及资料要求：</w:t>
      </w:r>
    </w:p>
    <w:p w14:paraId="7E6A8661">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根根据采购文件确定的技术指标或者服务要求确定验收指标和标准。未进行相应约定的，应当符合国家强制性规定、政策要求、安全标准、行业或企业有关标准等。</w:t>
      </w:r>
    </w:p>
    <w:p w14:paraId="2855B596">
      <w:pPr>
        <w:tabs>
          <w:tab w:val="left" w:pos="904"/>
        </w:tabs>
        <w:snapToGrid w:val="0"/>
        <w:spacing w:line="360" w:lineRule="auto"/>
        <w:ind w:firstLine="480" w:firstLineChars="200"/>
        <w:jc w:val="left"/>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5.1验收内容</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2077"/>
        <w:gridCol w:w="6443"/>
      </w:tblGrid>
      <w:tr w14:paraId="5A0E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392" w:type="pct"/>
            <w:tcBorders>
              <w:top w:val="single" w:color="auto" w:sz="4" w:space="0"/>
              <w:left w:val="single" w:color="auto" w:sz="4" w:space="0"/>
              <w:bottom w:val="single" w:color="auto" w:sz="4" w:space="0"/>
              <w:right w:val="single" w:color="auto" w:sz="4" w:space="0"/>
            </w:tcBorders>
            <w:noWrap w:val="0"/>
            <w:vAlign w:val="center"/>
          </w:tcPr>
          <w:p w14:paraId="2EEEEE12">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序号</w:t>
            </w:r>
          </w:p>
        </w:tc>
        <w:tc>
          <w:tcPr>
            <w:tcW w:w="1123" w:type="pct"/>
            <w:tcBorders>
              <w:top w:val="single" w:color="auto" w:sz="4" w:space="0"/>
              <w:left w:val="single" w:color="auto" w:sz="4" w:space="0"/>
              <w:bottom w:val="single" w:color="auto" w:sz="4" w:space="0"/>
              <w:right w:val="single" w:color="auto" w:sz="4" w:space="0"/>
            </w:tcBorders>
            <w:noWrap w:val="0"/>
            <w:vAlign w:val="center"/>
          </w:tcPr>
          <w:p w14:paraId="05E1AF3F">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验收内容</w:t>
            </w:r>
          </w:p>
        </w:tc>
        <w:tc>
          <w:tcPr>
            <w:tcW w:w="3484" w:type="pct"/>
            <w:tcBorders>
              <w:top w:val="single" w:color="auto" w:sz="4" w:space="0"/>
              <w:left w:val="single" w:color="auto" w:sz="4" w:space="0"/>
              <w:bottom w:val="single" w:color="auto" w:sz="4" w:space="0"/>
              <w:right w:val="single" w:color="auto" w:sz="4" w:space="0"/>
            </w:tcBorders>
            <w:noWrap w:val="0"/>
            <w:vAlign w:val="center"/>
          </w:tcPr>
          <w:p w14:paraId="377552FA">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验收标准</w:t>
            </w:r>
          </w:p>
        </w:tc>
      </w:tr>
      <w:tr w14:paraId="43E7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392" w:type="pct"/>
            <w:tcBorders>
              <w:top w:val="single" w:color="auto" w:sz="4" w:space="0"/>
              <w:left w:val="single" w:color="auto" w:sz="4" w:space="0"/>
              <w:bottom w:val="single" w:color="auto" w:sz="4" w:space="0"/>
              <w:right w:val="single" w:color="auto" w:sz="4" w:space="0"/>
            </w:tcBorders>
            <w:noWrap w:val="0"/>
            <w:vAlign w:val="center"/>
          </w:tcPr>
          <w:p w14:paraId="30C37C04">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1</w:t>
            </w:r>
          </w:p>
        </w:tc>
        <w:tc>
          <w:tcPr>
            <w:tcW w:w="1123" w:type="pct"/>
            <w:tcBorders>
              <w:top w:val="single" w:color="auto" w:sz="4" w:space="0"/>
              <w:left w:val="single" w:color="auto" w:sz="4" w:space="0"/>
              <w:bottom w:val="single" w:color="auto" w:sz="4" w:space="0"/>
              <w:right w:val="single" w:color="auto" w:sz="4" w:space="0"/>
            </w:tcBorders>
            <w:noWrap w:val="0"/>
            <w:vAlign w:val="center"/>
          </w:tcPr>
          <w:p w14:paraId="3215D02F">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color w:val="auto"/>
                <w:kern w:val="0"/>
                <w:sz w:val="24"/>
                <w:highlight w:val="none"/>
                <w:lang w:bidi="ar"/>
              </w:rPr>
              <w:t>交货产品数量</w:t>
            </w:r>
          </w:p>
        </w:tc>
        <w:tc>
          <w:tcPr>
            <w:tcW w:w="3484" w:type="pct"/>
            <w:tcBorders>
              <w:top w:val="single" w:color="auto" w:sz="4" w:space="0"/>
              <w:left w:val="single" w:color="auto" w:sz="4" w:space="0"/>
              <w:bottom w:val="single" w:color="auto" w:sz="4" w:space="0"/>
              <w:right w:val="single" w:color="auto" w:sz="4" w:space="0"/>
            </w:tcBorders>
            <w:noWrap w:val="0"/>
            <w:vAlign w:val="center"/>
          </w:tcPr>
          <w:p w14:paraId="086CCCF0">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按采购文件要求和响应文件承诺</w:t>
            </w:r>
          </w:p>
        </w:tc>
      </w:tr>
      <w:tr w14:paraId="7C5F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392" w:type="pct"/>
            <w:tcBorders>
              <w:top w:val="single" w:color="auto" w:sz="4" w:space="0"/>
              <w:left w:val="single" w:color="auto" w:sz="4" w:space="0"/>
              <w:bottom w:val="single" w:color="auto" w:sz="4" w:space="0"/>
              <w:right w:val="single" w:color="auto" w:sz="4" w:space="0"/>
            </w:tcBorders>
            <w:noWrap w:val="0"/>
            <w:vAlign w:val="center"/>
          </w:tcPr>
          <w:p w14:paraId="5C6F0AAA">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2</w:t>
            </w:r>
          </w:p>
        </w:tc>
        <w:tc>
          <w:tcPr>
            <w:tcW w:w="1123" w:type="pct"/>
            <w:tcBorders>
              <w:top w:val="single" w:color="auto" w:sz="4" w:space="0"/>
              <w:left w:val="single" w:color="auto" w:sz="4" w:space="0"/>
              <w:bottom w:val="single" w:color="auto" w:sz="4" w:space="0"/>
              <w:right w:val="single" w:color="auto" w:sz="4" w:space="0"/>
            </w:tcBorders>
            <w:noWrap w:val="0"/>
            <w:vAlign w:val="center"/>
          </w:tcPr>
          <w:p w14:paraId="04C361BE">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color w:val="auto"/>
                <w:kern w:val="0"/>
                <w:sz w:val="24"/>
                <w:highlight w:val="none"/>
                <w:lang w:bidi="ar"/>
              </w:rPr>
              <w:t>交货产品的质量文件</w:t>
            </w:r>
          </w:p>
        </w:tc>
        <w:tc>
          <w:tcPr>
            <w:tcW w:w="3484" w:type="pct"/>
            <w:tcBorders>
              <w:top w:val="single" w:color="auto" w:sz="4" w:space="0"/>
              <w:left w:val="single" w:color="auto" w:sz="4" w:space="0"/>
              <w:bottom w:val="single" w:color="auto" w:sz="4" w:space="0"/>
              <w:right w:val="single" w:color="auto" w:sz="4" w:space="0"/>
            </w:tcBorders>
            <w:noWrap w:val="0"/>
            <w:vAlign w:val="center"/>
          </w:tcPr>
          <w:p w14:paraId="444B69A9">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按采购文件要求和响应文件承诺</w:t>
            </w:r>
          </w:p>
        </w:tc>
      </w:tr>
      <w:tr w14:paraId="6FCA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392" w:type="pct"/>
            <w:tcBorders>
              <w:top w:val="single" w:color="auto" w:sz="4" w:space="0"/>
              <w:left w:val="single" w:color="auto" w:sz="4" w:space="0"/>
              <w:bottom w:val="single" w:color="auto" w:sz="4" w:space="0"/>
              <w:right w:val="single" w:color="auto" w:sz="4" w:space="0"/>
            </w:tcBorders>
            <w:noWrap w:val="0"/>
            <w:vAlign w:val="center"/>
          </w:tcPr>
          <w:p w14:paraId="29E431E9">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4</w:t>
            </w:r>
          </w:p>
        </w:tc>
        <w:tc>
          <w:tcPr>
            <w:tcW w:w="1123" w:type="pct"/>
            <w:tcBorders>
              <w:top w:val="single" w:color="auto" w:sz="4" w:space="0"/>
              <w:left w:val="single" w:color="auto" w:sz="4" w:space="0"/>
              <w:bottom w:val="single" w:color="auto" w:sz="4" w:space="0"/>
              <w:right w:val="single" w:color="auto" w:sz="4" w:space="0"/>
            </w:tcBorders>
            <w:noWrap w:val="0"/>
            <w:vAlign w:val="center"/>
          </w:tcPr>
          <w:p w14:paraId="057FB8B4">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color w:val="auto"/>
                <w:kern w:val="0"/>
                <w:sz w:val="24"/>
                <w:highlight w:val="none"/>
                <w:lang w:bidi="ar"/>
              </w:rPr>
              <w:t>交货产品技术、性能指标</w:t>
            </w:r>
          </w:p>
        </w:tc>
        <w:tc>
          <w:tcPr>
            <w:tcW w:w="3484" w:type="pct"/>
            <w:tcBorders>
              <w:top w:val="single" w:color="auto" w:sz="4" w:space="0"/>
              <w:left w:val="single" w:color="auto" w:sz="4" w:space="0"/>
              <w:bottom w:val="single" w:color="auto" w:sz="4" w:space="0"/>
              <w:right w:val="single" w:color="auto" w:sz="4" w:space="0"/>
            </w:tcBorders>
            <w:noWrap w:val="0"/>
            <w:vAlign w:val="center"/>
          </w:tcPr>
          <w:p w14:paraId="54F92A3E">
            <w:pPr>
              <w:widowControl/>
              <w:spacing w:line="360" w:lineRule="auto"/>
              <w:jc w:val="center"/>
              <w:rPr>
                <w:rFonts w:hint="eastAsia" w:ascii="仿宋" w:hAnsi="仿宋" w:eastAsia="仿宋" w:cs="仿宋"/>
                <w:color w:val="auto"/>
                <w:highlight w:val="none"/>
              </w:rPr>
            </w:pPr>
            <w:r>
              <w:rPr>
                <w:rFonts w:hint="eastAsia" w:ascii="仿宋" w:hAnsi="仿宋" w:eastAsia="仿宋" w:cs="仿宋"/>
                <w:color w:val="auto"/>
                <w:kern w:val="0"/>
                <w:sz w:val="24"/>
                <w:highlight w:val="none"/>
              </w:rPr>
              <w:t>按采购文件要求和响应文件承诺</w:t>
            </w:r>
          </w:p>
        </w:tc>
      </w:tr>
      <w:tr w14:paraId="1E77B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392" w:type="pct"/>
            <w:tcBorders>
              <w:top w:val="single" w:color="auto" w:sz="4" w:space="0"/>
              <w:left w:val="single" w:color="auto" w:sz="4" w:space="0"/>
              <w:bottom w:val="single" w:color="auto" w:sz="4" w:space="0"/>
              <w:right w:val="single" w:color="auto" w:sz="4" w:space="0"/>
            </w:tcBorders>
            <w:noWrap w:val="0"/>
            <w:vAlign w:val="center"/>
          </w:tcPr>
          <w:p w14:paraId="0C8EE512">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w:t>
            </w:r>
          </w:p>
        </w:tc>
        <w:tc>
          <w:tcPr>
            <w:tcW w:w="1123" w:type="pct"/>
            <w:tcBorders>
              <w:top w:val="single" w:color="auto" w:sz="4" w:space="0"/>
              <w:left w:val="single" w:color="auto" w:sz="4" w:space="0"/>
              <w:bottom w:val="single" w:color="auto" w:sz="4" w:space="0"/>
              <w:right w:val="single" w:color="auto" w:sz="4" w:space="0"/>
            </w:tcBorders>
            <w:noWrap w:val="0"/>
            <w:vAlign w:val="center"/>
          </w:tcPr>
          <w:p w14:paraId="5453F77D">
            <w:pPr>
              <w:widowControl/>
              <w:spacing w:line="360" w:lineRule="auto"/>
              <w:jc w:val="center"/>
              <w:rPr>
                <w:rFonts w:hint="eastAsia" w:ascii="仿宋" w:hAnsi="仿宋" w:eastAsia="仿宋" w:cs="仿宋"/>
                <w:bCs/>
                <w:color w:val="auto"/>
                <w:kern w:val="0"/>
                <w:sz w:val="24"/>
                <w:highlight w:val="none"/>
              </w:rPr>
            </w:pPr>
            <w:r>
              <w:rPr>
                <w:rFonts w:hint="eastAsia" w:ascii="仿宋" w:hAnsi="仿宋" w:eastAsia="仿宋" w:cs="仿宋"/>
                <w:color w:val="auto"/>
                <w:kern w:val="0"/>
                <w:sz w:val="24"/>
                <w:highlight w:val="none"/>
                <w:lang w:bidi="ar"/>
              </w:rPr>
              <w:t>售后服务承诺</w:t>
            </w:r>
          </w:p>
        </w:tc>
        <w:tc>
          <w:tcPr>
            <w:tcW w:w="3484" w:type="pct"/>
            <w:tcBorders>
              <w:top w:val="single" w:color="auto" w:sz="4" w:space="0"/>
              <w:left w:val="single" w:color="auto" w:sz="4" w:space="0"/>
              <w:bottom w:val="single" w:color="auto" w:sz="4" w:space="0"/>
              <w:right w:val="single" w:color="auto" w:sz="4" w:space="0"/>
            </w:tcBorders>
            <w:noWrap w:val="0"/>
            <w:vAlign w:val="center"/>
          </w:tcPr>
          <w:p w14:paraId="2E315101">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按采购文件要求和响应文件承诺</w:t>
            </w:r>
          </w:p>
        </w:tc>
      </w:tr>
    </w:tbl>
    <w:p w14:paraId="445627E5">
      <w:pPr>
        <w:tabs>
          <w:tab w:val="left" w:pos="904"/>
        </w:tabs>
        <w:snapToGrid w:val="0"/>
        <w:spacing w:line="360" w:lineRule="auto"/>
        <w:ind w:firstLine="480" w:firstLineChars="200"/>
        <w:jc w:val="left"/>
        <w:rPr>
          <w:rFonts w:hint="eastAsia" w:ascii="仿宋" w:hAnsi="仿宋" w:eastAsia="仿宋" w:cs="仿宋"/>
          <w:color w:val="auto"/>
          <w:sz w:val="24"/>
          <w:highlight w:val="none"/>
        </w:rPr>
      </w:pPr>
    </w:p>
    <w:p w14:paraId="64C2E094">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5.2验收资料要求</w:t>
      </w:r>
    </w:p>
    <w:p w14:paraId="09B1ACC5">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验收资料要求包括（不限于）以下内容：</w:t>
      </w:r>
    </w:p>
    <w:p w14:paraId="5ECECCF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（1）采购文件；</w:t>
      </w:r>
    </w:p>
    <w:p w14:paraId="6C7E310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（2）响应文件；</w:t>
      </w:r>
    </w:p>
    <w:p w14:paraId="25020CC4">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（3）采购合同；</w:t>
      </w:r>
    </w:p>
    <w:p w14:paraId="0E725A6D">
      <w:pPr>
        <w:spacing w:line="360" w:lineRule="auto"/>
        <w:ind w:firstLine="480" w:firstLineChars="200"/>
        <w:rPr>
          <w:rFonts w:hint="eastAsia" w:ascii="仿宋_GB2312" w:hAnsi="楷体" w:eastAsia="仿宋_GB2312"/>
          <w:color w:val="auto"/>
          <w:sz w:val="24"/>
          <w:highlight w:val="none"/>
        </w:rPr>
      </w:pPr>
      <w:r>
        <w:rPr>
          <w:rFonts w:hint="eastAsia" w:ascii="仿宋_GB2312" w:hAnsi="楷体" w:eastAsia="仿宋_GB2312"/>
          <w:color w:val="auto"/>
          <w:sz w:val="24"/>
          <w:highlight w:val="none"/>
        </w:rPr>
        <w:t>（4）其他需提供的相关材料：（由业主根据实际情况填写）。</w:t>
      </w:r>
    </w:p>
    <w:p w14:paraId="60F4228B">
      <w:pPr>
        <w:widowControl/>
        <w:ind w:firstLine="720" w:firstLineChars="300"/>
        <w:jc w:val="left"/>
        <w:rPr>
          <w:rFonts w:hint="eastAsia" w:ascii="仿宋" w:hAnsi="仿宋" w:eastAsia="仿宋"/>
          <w:bCs/>
          <w:color w:val="auto"/>
          <w:sz w:val="24"/>
          <w:highlight w:val="none"/>
        </w:rPr>
      </w:pPr>
    </w:p>
    <w:p w14:paraId="7238C39F">
      <w:pPr>
        <w:spacing w:line="360" w:lineRule="auto"/>
        <w:ind w:firstLine="480" w:firstLineChars="200"/>
        <w:rPr>
          <w:rFonts w:hint="eastAsia" w:ascii="宋体" w:hAnsi="宋体" w:cs="仿宋_GB2312"/>
          <w:b/>
          <w:color w:val="auto"/>
          <w:sz w:val="44"/>
          <w:szCs w:val="44"/>
          <w:highlight w:val="none"/>
        </w:rPr>
      </w:pP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u w:val="single"/>
          <w:lang w:val="en-US" w:eastAsia="zh-CN"/>
        </w:rPr>
        <w:t>补充内容：根据《广西壮族自治区房屋建筑和市政工程检测合同范本（2020年版）》条款，双方补充检测专用条款。</w:t>
      </w:r>
      <w:r>
        <w:rPr>
          <w:rFonts w:hint="eastAsia" w:ascii="仿宋_GB2312" w:hAnsi="楷体" w:eastAsia="仿宋_GB2312"/>
          <w:color w:val="auto"/>
          <w:sz w:val="24"/>
          <w:highlight w:val="none"/>
          <w:u w:val="single"/>
        </w:rPr>
        <w:t xml:space="preserve">    </w:t>
      </w:r>
      <w:r>
        <w:rPr>
          <w:rFonts w:hint="eastAsia" w:ascii="仿宋_GB2312" w:hAnsi="楷体" w:eastAsia="仿宋_GB2312"/>
          <w:color w:val="auto"/>
          <w:sz w:val="24"/>
          <w:highlight w:val="none"/>
          <w:u w:val="single"/>
          <w:lang w:val="en-US" w:eastAsia="zh-CN"/>
        </w:rPr>
        <w:t>详见补充合同。</w:t>
      </w:r>
      <w:r>
        <w:rPr>
          <w:rFonts w:hint="eastAsia" w:ascii="仿宋_GB2312" w:hAnsi="楷体" w:eastAsia="仿宋_GB2312"/>
          <w:color w:val="auto"/>
          <w:sz w:val="24"/>
          <w:highlight w:val="none"/>
          <w:u w:val="single"/>
        </w:rPr>
        <w:t xml:space="preserve">                                                               </w:t>
      </w:r>
    </w:p>
    <w:bookmarkEnd w:id="118"/>
    <w:p w14:paraId="57D3397D">
      <w:pPr>
        <w:spacing w:line="360" w:lineRule="auto"/>
        <w:jc w:val="center"/>
        <w:rPr>
          <w:rFonts w:hint="eastAsia" w:ascii="宋体" w:hAnsi="宋体" w:cs="宋体"/>
          <w:b/>
          <w:color w:val="auto"/>
          <w:sz w:val="44"/>
          <w:szCs w:val="44"/>
          <w:highlight w:val="none"/>
        </w:rPr>
      </w:pPr>
    </w:p>
    <w:p w14:paraId="2AEBA11D">
      <w:pPr>
        <w:spacing w:line="360" w:lineRule="auto"/>
        <w:jc w:val="center"/>
        <w:rPr>
          <w:rFonts w:hint="eastAsia" w:ascii="宋体" w:hAnsi="宋体" w:cs="宋体"/>
          <w:b/>
          <w:color w:val="auto"/>
          <w:sz w:val="44"/>
          <w:szCs w:val="44"/>
          <w:highlight w:val="none"/>
        </w:rPr>
      </w:pPr>
    </w:p>
    <w:p w14:paraId="786C5DC3">
      <w:pPr>
        <w:spacing w:line="360" w:lineRule="auto"/>
        <w:jc w:val="center"/>
        <w:rPr>
          <w:rFonts w:hint="eastAsia" w:ascii="宋体" w:hAnsi="宋体" w:cs="宋体"/>
          <w:b/>
          <w:color w:val="auto"/>
          <w:sz w:val="44"/>
          <w:szCs w:val="44"/>
          <w:highlight w:val="none"/>
        </w:rPr>
      </w:pPr>
    </w:p>
    <w:p w14:paraId="65020659">
      <w:pPr>
        <w:spacing w:line="360" w:lineRule="auto"/>
        <w:jc w:val="center"/>
        <w:rPr>
          <w:rFonts w:hint="eastAsia" w:ascii="宋体" w:hAnsi="宋体" w:cs="宋体"/>
          <w:b/>
          <w:color w:val="auto"/>
          <w:sz w:val="44"/>
          <w:szCs w:val="44"/>
          <w:highlight w:val="none"/>
        </w:rPr>
      </w:pPr>
    </w:p>
    <w:p w14:paraId="67A990F4">
      <w:pPr>
        <w:pStyle w:val="5"/>
        <w:spacing w:before="0" w:after="0" w:line="360" w:lineRule="auto"/>
        <w:jc w:val="both"/>
        <w:rPr>
          <w:rFonts w:hint="default" w:hAnsi="宋体" w:eastAsia="宋体"/>
          <w:b/>
          <w:bCs/>
          <w:color w:val="auto"/>
          <w:sz w:val="48"/>
          <w:szCs w:val="48"/>
          <w:highlight w:val="none"/>
          <w:lang w:val="en-US" w:eastAsia="zh-CN"/>
        </w:rPr>
      </w:pPr>
      <w:r>
        <w:rPr>
          <w:rFonts w:hint="eastAsia" w:ascii="仿宋" w:hAnsi="仿宋" w:eastAsia="仿宋" w:cs="仿宋"/>
          <w:b/>
          <w:bCs w:val="0"/>
          <w:color w:val="auto"/>
          <w:sz w:val="32"/>
          <w:szCs w:val="32"/>
          <w:highlight w:val="none"/>
          <w:lang w:val="en-US" w:eastAsia="zh-CN"/>
        </w:rPr>
        <w:t>补充合同：</w:t>
      </w:r>
    </w:p>
    <w:p w14:paraId="7EFF7015">
      <w:pPr>
        <w:spacing w:line="360" w:lineRule="auto"/>
        <w:ind w:firstLine="437"/>
        <w:jc w:val="center"/>
        <w:rPr>
          <w:rFonts w:hint="eastAsia" w:hAnsi="宋体"/>
          <w:b/>
          <w:bCs/>
          <w:color w:val="auto"/>
          <w:sz w:val="48"/>
          <w:szCs w:val="48"/>
          <w:highlight w:val="none"/>
        </w:rPr>
      </w:pPr>
    </w:p>
    <w:p w14:paraId="77DB758E">
      <w:pPr>
        <w:spacing w:line="360" w:lineRule="auto"/>
        <w:ind w:firstLine="437"/>
        <w:jc w:val="center"/>
        <w:rPr>
          <w:rFonts w:hint="eastAsia" w:hAnsi="宋体"/>
          <w:b/>
          <w:bCs/>
          <w:color w:val="auto"/>
          <w:sz w:val="48"/>
          <w:szCs w:val="48"/>
          <w:highlight w:val="none"/>
        </w:rPr>
      </w:pPr>
    </w:p>
    <w:p w14:paraId="6CFA3BEA">
      <w:pPr>
        <w:spacing w:line="360" w:lineRule="auto"/>
        <w:ind w:firstLine="437"/>
        <w:jc w:val="center"/>
        <w:rPr>
          <w:rFonts w:hint="eastAsia" w:hAnsi="宋体"/>
          <w:b/>
          <w:bCs/>
          <w:color w:val="auto"/>
          <w:sz w:val="48"/>
          <w:szCs w:val="48"/>
          <w:highlight w:val="none"/>
        </w:rPr>
      </w:pPr>
    </w:p>
    <w:p w14:paraId="5A1EA5EF">
      <w:pPr>
        <w:spacing w:line="360" w:lineRule="auto"/>
        <w:ind w:firstLine="437"/>
        <w:jc w:val="center"/>
        <w:rPr>
          <w:rFonts w:hint="eastAsia" w:hAnsi="宋体"/>
          <w:b/>
          <w:bCs/>
          <w:color w:val="auto"/>
          <w:sz w:val="48"/>
          <w:szCs w:val="48"/>
          <w:highlight w:val="none"/>
        </w:rPr>
      </w:pPr>
    </w:p>
    <w:p w14:paraId="3CCD700A">
      <w:pPr>
        <w:spacing w:line="360" w:lineRule="auto"/>
        <w:ind w:firstLine="437"/>
        <w:jc w:val="center"/>
        <w:rPr>
          <w:rFonts w:hint="eastAsia" w:hAnsi="宋体"/>
          <w:b/>
          <w:bCs/>
          <w:color w:val="auto"/>
          <w:sz w:val="48"/>
          <w:szCs w:val="48"/>
          <w:highlight w:val="none"/>
        </w:rPr>
      </w:pPr>
      <w:r>
        <w:rPr>
          <w:rFonts w:hint="eastAsia" w:hAnsi="宋体"/>
          <w:b/>
          <w:bCs/>
          <w:color w:val="auto"/>
          <w:sz w:val="48"/>
          <w:szCs w:val="48"/>
          <w:highlight w:val="none"/>
        </w:rPr>
        <w:t>广西壮族自治区</w:t>
      </w:r>
      <w:r>
        <w:rPr>
          <w:rFonts w:hAnsi="宋体"/>
          <w:b/>
          <w:bCs/>
          <w:color w:val="auto"/>
          <w:sz w:val="48"/>
          <w:szCs w:val="48"/>
          <w:highlight w:val="none"/>
        </w:rPr>
        <w:t>房屋建筑和市政工程</w:t>
      </w:r>
    </w:p>
    <w:p w14:paraId="10066738">
      <w:pPr>
        <w:spacing w:line="360" w:lineRule="auto"/>
        <w:ind w:firstLine="437"/>
        <w:jc w:val="center"/>
        <w:rPr>
          <w:rFonts w:hint="eastAsia" w:hAnsi="宋体"/>
          <w:b/>
          <w:color w:val="auto"/>
          <w:sz w:val="48"/>
          <w:szCs w:val="48"/>
          <w:highlight w:val="none"/>
        </w:rPr>
      </w:pPr>
      <w:r>
        <w:rPr>
          <w:rFonts w:hint="eastAsia" w:hAnsi="宋体"/>
          <w:b/>
          <w:color w:val="auto"/>
          <w:sz w:val="48"/>
          <w:szCs w:val="48"/>
          <w:highlight w:val="none"/>
        </w:rPr>
        <w:t>检测合同</w:t>
      </w:r>
      <w:r>
        <w:rPr>
          <w:rFonts w:hAnsi="宋体"/>
          <w:b/>
          <w:color w:val="auto"/>
          <w:sz w:val="48"/>
          <w:szCs w:val="48"/>
          <w:highlight w:val="none"/>
        </w:rPr>
        <w:t>范本</w:t>
      </w:r>
      <w:r>
        <w:rPr>
          <w:rFonts w:hint="eastAsia" w:hAnsi="宋体"/>
          <w:b/>
          <w:color w:val="auto"/>
          <w:sz w:val="48"/>
          <w:szCs w:val="48"/>
          <w:highlight w:val="none"/>
        </w:rPr>
        <w:t>（2020年版）</w:t>
      </w:r>
    </w:p>
    <w:p w14:paraId="7F12DE14">
      <w:pPr>
        <w:spacing w:line="360" w:lineRule="auto"/>
        <w:jc w:val="center"/>
        <w:rPr>
          <w:rFonts w:hint="eastAsia" w:ascii="仿宋_GB2312" w:hAnsi="宋体" w:eastAsia="仿宋_GB2312"/>
          <w:bCs/>
          <w:color w:val="auto"/>
          <w:sz w:val="48"/>
          <w:szCs w:val="48"/>
          <w:highlight w:val="none"/>
        </w:rPr>
      </w:pPr>
    </w:p>
    <w:p w14:paraId="5B2B5116">
      <w:pPr>
        <w:spacing w:line="360" w:lineRule="auto"/>
        <w:jc w:val="center"/>
        <w:rPr>
          <w:rFonts w:hint="eastAsia" w:ascii="仿宋_GB2312" w:hAnsi="宋体" w:eastAsia="仿宋_GB2312"/>
          <w:b/>
          <w:bCs/>
          <w:color w:val="auto"/>
          <w:sz w:val="24"/>
          <w:highlight w:val="none"/>
        </w:rPr>
      </w:pPr>
    </w:p>
    <w:p w14:paraId="3A9A16E6">
      <w:pPr>
        <w:spacing w:line="360" w:lineRule="auto"/>
        <w:jc w:val="center"/>
        <w:rPr>
          <w:rFonts w:hint="eastAsia" w:ascii="仿宋_GB2312" w:hAnsi="宋体" w:eastAsia="仿宋_GB2312"/>
          <w:b/>
          <w:bCs/>
          <w:color w:val="auto"/>
          <w:sz w:val="24"/>
          <w:highlight w:val="none"/>
        </w:rPr>
      </w:pPr>
    </w:p>
    <w:p w14:paraId="2FE35715">
      <w:pPr>
        <w:spacing w:line="360" w:lineRule="auto"/>
        <w:jc w:val="center"/>
        <w:rPr>
          <w:rFonts w:hint="eastAsia" w:ascii="仿宋_GB2312" w:hAnsi="宋体" w:eastAsia="仿宋_GB2312"/>
          <w:b/>
          <w:bCs/>
          <w:color w:val="auto"/>
          <w:sz w:val="24"/>
          <w:highlight w:val="none"/>
        </w:rPr>
      </w:pPr>
    </w:p>
    <w:p w14:paraId="405C746C">
      <w:pPr>
        <w:rPr>
          <w:rFonts w:hint="eastAsia" w:ascii="宋体" w:hAnsi="宋体"/>
          <w:color w:val="auto"/>
          <w:sz w:val="32"/>
          <w:szCs w:val="32"/>
          <w:highlight w:val="none"/>
          <w:u w:val="single"/>
        </w:rPr>
      </w:pPr>
      <w:r>
        <w:rPr>
          <w:rFonts w:hint="eastAsia" w:ascii="宋体" w:hAnsi="宋体"/>
          <w:color w:val="auto"/>
          <w:sz w:val="32"/>
          <w:szCs w:val="32"/>
          <w:highlight w:val="none"/>
        </w:rPr>
        <w:t>委托方合同编号：</w:t>
      </w:r>
      <w:r>
        <w:rPr>
          <w:rFonts w:hint="eastAsia" w:ascii="宋体" w:hAnsi="宋体"/>
          <w:color w:val="auto"/>
          <w:sz w:val="32"/>
          <w:szCs w:val="32"/>
          <w:highlight w:val="none"/>
          <w:u w:val="single"/>
        </w:rPr>
        <w:t xml:space="preserve">                     </w:t>
      </w:r>
    </w:p>
    <w:p w14:paraId="13CD73C4">
      <w:pPr>
        <w:spacing w:line="360" w:lineRule="auto"/>
        <w:rPr>
          <w:rFonts w:hint="eastAsia" w:ascii="仿宋_GB2312" w:hAnsi="宋体" w:eastAsia="仿宋_GB2312"/>
          <w:b/>
          <w:bCs/>
          <w:color w:val="auto"/>
          <w:sz w:val="24"/>
          <w:highlight w:val="none"/>
        </w:rPr>
      </w:pPr>
      <w:r>
        <w:rPr>
          <w:rFonts w:hint="eastAsia" w:ascii="宋体" w:hAnsi="宋体"/>
          <w:color w:val="auto"/>
          <w:sz w:val="32"/>
          <w:szCs w:val="32"/>
          <w:highlight w:val="none"/>
        </w:rPr>
        <w:t>服务方合同编号：</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号</w:t>
      </w:r>
    </w:p>
    <w:p w14:paraId="6978AE39">
      <w:pPr>
        <w:spacing w:line="360" w:lineRule="auto"/>
        <w:jc w:val="center"/>
        <w:rPr>
          <w:rFonts w:hint="eastAsia" w:ascii="仿宋_GB2312" w:hAnsi="宋体" w:eastAsia="仿宋_GB2312"/>
          <w:b/>
          <w:bCs/>
          <w:color w:val="auto"/>
          <w:sz w:val="24"/>
          <w:highlight w:val="none"/>
        </w:rPr>
      </w:pPr>
    </w:p>
    <w:p w14:paraId="3006A57E">
      <w:pPr>
        <w:spacing w:line="360" w:lineRule="auto"/>
        <w:jc w:val="center"/>
        <w:rPr>
          <w:rFonts w:hint="eastAsia" w:ascii="仿宋_GB2312" w:hAnsi="宋体" w:eastAsia="仿宋_GB2312"/>
          <w:b/>
          <w:bCs/>
          <w:color w:val="auto"/>
          <w:sz w:val="24"/>
          <w:highlight w:val="none"/>
        </w:rPr>
      </w:pPr>
    </w:p>
    <w:p w14:paraId="355E9599">
      <w:pPr>
        <w:spacing w:line="360" w:lineRule="auto"/>
        <w:jc w:val="center"/>
        <w:rPr>
          <w:rFonts w:hint="eastAsia" w:ascii="仿宋_GB2312" w:hAnsi="宋体" w:eastAsia="仿宋_GB2312"/>
          <w:b/>
          <w:bCs/>
          <w:color w:val="auto"/>
          <w:sz w:val="24"/>
          <w:highlight w:val="none"/>
        </w:rPr>
      </w:pPr>
    </w:p>
    <w:p w14:paraId="7FC49FFF">
      <w:pPr>
        <w:spacing w:line="360" w:lineRule="auto"/>
        <w:rPr>
          <w:rFonts w:hint="eastAsia" w:ascii="仿宋_GB2312" w:hAnsi="宋体" w:eastAsia="仿宋_GB2312"/>
          <w:b/>
          <w:bCs/>
          <w:color w:val="auto"/>
          <w:sz w:val="24"/>
          <w:highlight w:val="none"/>
        </w:rPr>
      </w:pPr>
    </w:p>
    <w:p w14:paraId="4ACB1B2B">
      <w:pPr>
        <w:spacing w:line="360" w:lineRule="auto"/>
        <w:rPr>
          <w:rFonts w:hint="eastAsia" w:ascii="仿宋_GB2312" w:hAnsi="宋体" w:eastAsia="仿宋_GB2312"/>
          <w:b/>
          <w:bCs/>
          <w:color w:val="auto"/>
          <w:sz w:val="24"/>
          <w:highlight w:val="none"/>
        </w:rPr>
      </w:pPr>
    </w:p>
    <w:p w14:paraId="2C3943EC">
      <w:pPr>
        <w:spacing w:line="360" w:lineRule="auto"/>
        <w:jc w:val="center"/>
        <w:rPr>
          <w:rFonts w:hint="eastAsia" w:ascii="华文中宋" w:hAnsi="华文中宋" w:eastAsia="华文中宋"/>
          <w:b/>
          <w:color w:val="auto"/>
          <w:sz w:val="32"/>
          <w:szCs w:val="32"/>
          <w:highlight w:val="none"/>
        </w:rPr>
      </w:pPr>
      <w:r>
        <w:rPr>
          <w:rFonts w:hint="eastAsia" w:ascii="仿宋_GB2312" w:hAnsi="宋体" w:eastAsia="仿宋_GB2312"/>
          <w:b/>
          <w:bCs/>
          <w:color w:val="auto"/>
          <w:sz w:val="32"/>
          <w:szCs w:val="32"/>
          <w:highlight w:val="none"/>
        </w:rPr>
        <w:t xml:space="preserve">  </w:t>
      </w:r>
      <w:r>
        <w:rPr>
          <w:rFonts w:hint="eastAsia" w:ascii="仿宋_GB2312" w:hAnsi="宋体" w:eastAsia="仿宋_GB2312"/>
          <w:b/>
          <w:bCs/>
          <w:color w:val="auto"/>
          <w:sz w:val="32"/>
          <w:szCs w:val="32"/>
          <w:highlight w:val="none"/>
          <w:lang w:eastAsia="zh-CN"/>
        </w:rPr>
        <w:t>广西壮族自治区住房和城乡建设厅</w:t>
      </w:r>
      <w:r>
        <w:rPr>
          <w:rFonts w:hint="eastAsia" w:ascii="华文中宋" w:hAnsi="华文中宋" w:eastAsia="华文中宋"/>
          <w:b/>
          <w:color w:val="auto"/>
          <w:highlight w:val="none"/>
        </w:rPr>
        <w:t xml:space="preserve">                                                        </w:t>
      </w:r>
      <w:r>
        <w:rPr>
          <w:rFonts w:hint="eastAsia" w:ascii="华文中宋" w:hAnsi="华文中宋" w:eastAsia="华文中宋"/>
          <w:b/>
          <w:color w:val="auto"/>
          <w:sz w:val="32"/>
          <w:szCs w:val="32"/>
          <w:highlight w:val="none"/>
        </w:rPr>
        <w:t>制定</w:t>
      </w:r>
    </w:p>
    <w:p w14:paraId="3089C369">
      <w:pPr>
        <w:spacing w:line="360" w:lineRule="auto"/>
        <w:jc w:val="center"/>
        <w:rPr>
          <w:rFonts w:hint="eastAsia" w:ascii="华文中宋" w:hAnsi="华文中宋" w:eastAsia="华文中宋"/>
          <w:b/>
          <w:color w:val="auto"/>
          <w:highlight w:val="none"/>
        </w:rPr>
      </w:pPr>
      <w:r>
        <w:rPr>
          <w:rFonts w:hint="eastAsia" w:ascii="华文中宋" w:hAnsi="华文中宋" w:eastAsia="华文中宋"/>
          <w:b/>
          <w:bCs/>
          <w:color w:val="auto"/>
          <w:sz w:val="32"/>
          <w:szCs w:val="32"/>
          <w:highlight w:val="none"/>
        </w:rPr>
        <w:t xml:space="preserve">   </w:t>
      </w:r>
    </w:p>
    <w:p w14:paraId="519F5BA4">
      <w:pPr>
        <w:pStyle w:val="6"/>
        <w:spacing w:before="0" w:after="0" w:line="360" w:lineRule="auto"/>
        <w:jc w:val="center"/>
        <w:outlineLvl w:val="2"/>
        <w:rPr>
          <w:rFonts w:hint="eastAsia" w:ascii="华文中宋" w:hAnsi="华文中宋" w:eastAsia="华文中宋"/>
          <w:b/>
          <w:bCs/>
          <w:color w:val="auto"/>
          <w:sz w:val="44"/>
          <w:szCs w:val="44"/>
          <w:highlight w:val="none"/>
        </w:rPr>
      </w:pPr>
      <w:r>
        <w:rPr>
          <w:rFonts w:ascii="华文中宋" w:hAnsi="华文中宋" w:eastAsia="华文中宋"/>
          <w:b/>
          <w:bCs/>
          <w:color w:val="auto"/>
          <w:sz w:val="44"/>
          <w:szCs w:val="44"/>
          <w:highlight w:val="none"/>
        </w:rPr>
        <w:br w:type="page"/>
      </w:r>
      <w:r>
        <w:rPr>
          <w:rFonts w:hint="eastAsia" w:ascii="仿宋" w:hAnsi="仿宋" w:eastAsia="仿宋" w:cs="仿宋"/>
          <w:b/>
          <w:bCs w:val="0"/>
          <w:color w:val="auto"/>
          <w:sz w:val="32"/>
          <w:szCs w:val="32"/>
          <w:highlight w:val="none"/>
        </w:rPr>
        <w:t>第一部分  协议书</w:t>
      </w:r>
    </w:p>
    <w:p w14:paraId="67C63A98">
      <w:pPr>
        <w:adjustRightInd w:val="0"/>
        <w:snapToGrid w:val="0"/>
        <w:spacing w:line="360" w:lineRule="auto"/>
        <w:ind w:firstLine="326" w:firstLineChars="250"/>
        <w:rPr>
          <w:rFonts w:hint="eastAsia" w:ascii="仿宋_GB2312" w:hAnsi="宋体" w:eastAsia="仿宋_GB2312"/>
          <w:b/>
          <w:color w:val="auto"/>
          <w:sz w:val="13"/>
          <w:szCs w:val="13"/>
          <w:highlight w:val="none"/>
        </w:rPr>
      </w:pPr>
    </w:p>
    <w:p w14:paraId="53C57BA5">
      <w:pPr>
        <w:adjustRightInd w:val="0"/>
        <w:snapToGrid w:val="0"/>
        <w:spacing w:line="360" w:lineRule="auto"/>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委托方：</w:t>
      </w:r>
      <w:r>
        <w:rPr>
          <w:rFonts w:hint="eastAsia" w:ascii="仿宋_GB2312" w:hAnsi="宋体" w:eastAsia="仿宋_GB2312"/>
          <w:color w:val="auto"/>
          <w:kern w:val="0"/>
          <w:szCs w:val="21"/>
          <w:highlight w:val="none"/>
          <w:u w:val="single"/>
        </w:rPr>
        <w:t xml:space="preserve">                              </w:t>
      </w:r>
      <w:r>
        <w:rPr>
          <w:rFonts w:hint="eastAsia" w:ascii="仿宋_GB2312" w:hAnsi="宋体" w:eastAsia="仿宋_GB2312"/>
          <w:color w:val="auto"/>
          <w:kern w:val="0"/>
          <w:szCs w:val="21"/>
          <w:highlight w:val="none"/>
        </w:rPr>
        <w:t>（以下简称甲方）</w:t>
      </w:r>
    </w:p>
    <w:p w14:paraId="23CD74A6">
      <w:pPr>
        <w:adjustRightInd w:val="0"/>
        <w:snapToGrid w:val="0"/>
        <w:spacing w:line="360" w:lineRule="auto"/>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服务方：</w:t>
      </w:r>
      <w:r>
        <w:rPr>
          <w:rFonts w:hint="eastAsia" w:ascii="仿宋_GB2312" w:hAnsi="宋体" w:eastAsia="仿宋_GB2312"/>
          <w:color w:val="auto"/>
          <w:kern w:val="0"/>
          <w:szCs w:val="21"/>
          <w:highlight w:val="none"/>
          <w:u w:val="single"/>
        </w:rPr>
        <w:t xml:space="preserve">                              </w:t>
      </w:r>
      <w:r>
        <w:rPr>
          <w:rFonts w:hint="eastAsia" w:ascii="仿宋_GB2312" w:hAnsi="宋体" w:eastAsia="仿宋_GB2312"/>
          <w:color w:val="auto"/>
          <w:kern w:val="0"/>
          <w:szCs w:val="21"/>
          <w:highlight w:val="none"/>
        </w:rPr>
        <w:t>（以下简称乙方）</w:t>
      </w:r>
    </w:p>
    <w:p w14:paraId="7103C727">
      <w:pPr>
        <w:adjustRightInd w:val="0"/>
        <w:snapToGrid w:val="0"/>
        <w:spacing w:line="360" w:lineRule="auto"/>
        <w:ind w:firstLine="415" w:firstLineChars="198"/>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甲方委托乙方对其开发建设（承建）的</w:t>
      </w:r>
      <w:r>
        <w:rPr>
          <w:rFonts w:hint="eastAsia" w:ascii="仿宋_GB2312" w:hAnsi="宋体" w:eastAsia="仿宋_GB2312"/>
          <w:color w:val="auto"/>
          <w:kern w:val="0"/>
          <w:szCs w:val="21"/>
          <w:highlight w:val="none"/>
          <w:u w:val="single"/>
        </w:rPr>
        <w:t xml:space="preserve">               工程</w:t>
      </w:r>
      <w:r>
        <w:rPr>
          <w:rFonts w:hint="eastAsia" w:ascii="仿宋_GB2312" w:hAnsi="宋体" w:eastAsia="仿宋_GB2312"/>
          <w:color w:val="auto"/>
          <w:kern w:val="0"/>
          <w:szCs w:val="21"/>
          <w:highlight w:val="none"/>
        </w:rPr>
        <w:t>进行检测，</w:t>
      </w:r>
      <w:r>
        <w:rPr>
          <w:rFonts w:ascii="仿宋_GB2312" w:hAnsi="宋体" w:eastAsia="仿宋_GB2312"/>
          <w:color w:val="auto"/>
          <w:kern w:val="0"/>
          <w:szCs w:val="21"/>
          <w:highlight w:val="none"/>
        </w:rPr>
        <w:t>按照《中华人民共和国</w:t>
      </w:r>
      <w:r>
        <w:rPr>
          <w:rFonts w:hint="eastAsia" w:ascii="仿宋_GB2312" w:hAnsi="宋体" w:eastAsia="仿宋_GB2312"/>
          <w:color w:val="auto"/>
          <w:kern w:val="0"/>
          <w:szCs w:val="21"/>
          <w:highlight w:val="none"/>
          <w:lang w:val="en-US" w:eastAsia="zh-CN"/>
        </w:rPr>
        <w:t>民法典》《</w:t>
      </w:r>
      <w:r>
        <w:rPr>
          <w:rFonts w:ascii="仿宋_GB2312" w:hAnsi="宋体" w:eastAsia="仿宋_GB2312"/>
          <w:color w:val="auto"/>
          <w:kern w:val="0"/>
          <w:szCs w:val="21"/>
          <w:highlight w:val="none"/>
        </w:rPr>
        <w:t>中华人民共和国建筑法》及其他有关法律、行政法规，遵循平等、自愿、公平和诚实信用的原则，双方就</w:t>
      </w:r>
      <w:r>
        <w:rPr>
          <w:rFonts w:hint="eastAsia" w:ascii="仿宋_GB2312" w:hAnsi="宋体" w:eastAsia="仿宋_GB2312"/>
          <w:color w:val="auto"/>
          <w:kern w:val="0"/>
          <w:szCs w:val="21"/>
          <w:highlight w:val="none"/>
          <w:u w:val="single"/>
        </w:rPr>
        <w:t xml:space="preserve">     </w:t>
      </w:r>
      <w:r>
        <w:rPr>
          <w:rFonts w:ascii="仿宋_GB2312" w:hAnsi="宋体" w:eastAsia="仿宋_GB2312"/>
          <w:color w:val="auto"/>
          <w:kern w:val="0"/>
          <w:szCs w:val="21"/>
          <w:highlight w:val="none"/>
        </w:rPr>
        <w:t>工程</w:t>
      </w:r>
      <w:r>
        <w:rPr>
          <w:rFonts w:hint="eastAsia" w:ascii="仿宋_GB2312" w:hAnsi="宋体" w:eastAsia="仿宋_GB2312"/>
          <w:color w:val="auto"/>
          <w:kern w:val="0"/>
          <w:szCs w:val="21"/>
          <w:highlight w:val="none"/>
        </w:rPr>
        <w:t>质量检测</w:t>
      </w:r>
      <w:r>
        <w:rPr>
          <w:rFonts w:ascii="仿宋_GB2312" w:hAnsi="宋体" w:eastAsia="仿宋_GB2312"/>
          <w:color w:val="auto"/>
          <w:kern w:val="0"/>
          <w:szCs w:val="21"/>
          <w:highlight w:val="none"/>
        </w:rPr>
        <w:t>事项协商一致，订立本合同</w:t>
      </w:r>
      <w:r>
        <w:rPr>
          <w:rFonts w:hint="eastAsia" w:ascii="仿宋_GB2312" w:hAnsi="宋体" w:eastAsia="仿宋_GB2312"/>
          <w:color w:val="auto"/>
          <w:kern w:val="0"/>
          <w:szCs w:val="21"/>
          <w:highlight w:val="none"/>
        </w:rPr>
        <w:t>。</w:t>
      </w:r>
    </w:p>
    <w:p w14:paraId="1A1370F4">
      <w:pPr>
        <w:adjustRightInd w:val="0"/>
        <w:snapToGrid w:val="0"/>
        <w:spacing w:line="360" w:lineRule="auto"/>
        <w:ind w:firstLine="417" w:firstLineChars="198"/>
        <w:outlineLvl w:val="9"/>
        <w:rPr>
          <w:rFonts w:hint="eastAsia" w:ascii="仿宋_GB2312" w:hAnsi="宋体" w:eastAsia="仿宋_GB2312"/>
          <w:b/>
          <w:color w:val="auto"/>
          <w:kern w:val="0"/>
          <w:szCs w:val="21"/>
          <w:highlight w:val="none"/>
        </w:rPr>
      </w:pPr>
      <w:bookmarkStart w:id="288" w:name="_Toc36049298"/>
      <w:r>
        <w:rPr>
          <w:rFonts w:hint="eastAsia" w:ascii="仿宋_GB2312" w:hAnsi="宋体" w:eastAsia="仿宋_GB2312"/>
          <w:b/>
          <w:color w:val="auto"/>
          <w:kern w:val="0"/>
          <w:szCs w:val="21"/>
          <w:highlight w:val="none"/>
        </w:rPr>
        <w:t>一、工程概况</w:t>
      </w:r>
      <w:bookmarkEnd w:id="288"/>
    </w:p>
    <w:p w14:paraId="54C9571C">
      <w:pPr>
        <w:adjustRightInd w:val="0"/>
        <w:snapToGrid w:val="0"/>
        <w:spacing w:line="360" w:lineRule="auto"/>
        <w:ind w:firstLine="415" w:firstLineChars="198"/>
        <w:outlineLvl w:val="9"/>
        <w:rPr>
          <w:rFonts w:hint="eastAsia" w:ascii="仿宋_GB2312" w:hAnsi="宋体" w:eastAsia="仿宋_GB2312"/>
          <w:color w:val="auto"/>
          <w:kern w:val="0"/>
          <w:szCs w:val="21"/>
          <w:highlight w:val="none"/>
          <w:u w:val="single"/>
        </w:rPr>
      </w:pPr>
      <w:r>
        <w:rPr>
          <w:rFonts w:hint="eastAsia" w:ascii="仿宋_GB2312" w:hAnsi="宋体" w:eastAsia="仿宋_GB2312"/>
          <w:color w:val="auto"/>
          <w:kern w:val="0"/>
          <w:szCs w:val="21"/>
          <w:highlight w:val="none"/>
        </w:rPr>
        <w:t>工程名称：</w:t>
      </w:r>
      <w:r>
        <w:rPr>
          <w:rFonts w:hint="eastAsia" w:ascii="仿宋_GB2312" w:hAnsi="宋体" w:eastAsia="仿宋_GB2312"/>
          <w:color w:val="auto"/>
          <w:kern w:val="0"/>
          <w:szCs w:val="21"/>
          <w:highlight w:val="none"/>
          <w:u w:val="single"/>
        </w:rPr>
        <w:t xml:space="preserve">                      </w:t>
      </w:r>
    </w:p>
    <w:p w14:paraId="5314E43C">
      <w:pPr>
        <w:adjustRightInd w:val="0"/>
        <w:snapToGrid w:val="0"/>
        <w:spacing w:line="360" w:lineRule="auto"/>
        <w:ind w:firstLine="415" w:firstLineChars="198"/>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工程地址：</w:t>
      </w:r>
      <w:r>
        <w:rPr>
          <w:rFonts w:hint="eastAsia" w:ascii="仿宋_GB2312" w:hAnsi="宋体" w:eastAsia="仿宋_GB2312"/>
          <w:color w:val="auto"/>
          <w:kern w:val="0"/>
          <w:szCs w:val="21"/>
          <w:highlight w:val="none"/>
          <w:u w:val="single"/>
        </w:rPr>
        <w:t xml:space="preserve">                      </w:t>
      </w:r>
    </w:p>
    <w:p w14:paraId="215DE2D4">
      <w:pPr>
        <w:adjustRightInd w:val="0"/>
        <w:snapToGrid w:val="0"/>
        <w:spacing w:line="360" w:lineRule="auto"/>
        <w:ind w:firstLine="415" w:firstLineChars="198"/>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建筑面积：</w:t>
      </w:r>
      <w:r>
        <w:rPr>
          <w:rFonts w:hint="eastAsia" w:ascii="仿宋_GB2312" w:hAnsi="宋体" w:eastAsia="仿宋_GB2312"/>
          <w:color w:val="auto"/>
          <w:kern w:val="0"/>
          <w:szCs w:val="21"/>
          <w:highlight w:val="none"/>
          <w:u w:val="single"/>
        </w:rPr>
        <w:t xml:space="preserve">                       </w:t>
      </w:r>
      <w:r>
        <w:rPr>
          <w:rFonts w:hint="eastAsia" w:ascii="仿宋_GB2312" w:hAnsi="宋体" w:eastAsia="仿宋_GB2312"/>
          <w:color w:val="auto"/>
          <w:kern w:val="0"/>
          <w:szCs w:val="21"/>
          <w:highlight w:val="none"/>
        </w:rPr>
        <w:t>平方米</w:t>
      </w:r>
    </w:p>
    <w:p w14:paraId="4079AA79">
      <w:pPr>
        <w:adjustRightInd w:val="0"/>
        <w:snapToGrid w:val="0"/>
        <w:spacing w:line="360" w:lineRule="auto"/>
        <w:ind w:firstLine="415" w:firstLineChars="198"/>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结构类型：</w:t>
      </w:r>
      <w:r>
        <w:rPr>
          <w:rFonts w:hint="eastAsia" w:ascii="仿宋_GB2312" w:hAnsi="宋体" w:eastAsia="仿宋_GB2312"/>
          <w:color w:val="auto"/>
          <w:kern w:val="0"/>
          <w:szCs w:val="21"/>
          <w:highlight w:val="none"/>
          <w:u w:val="single"/>
        </w:rPr>
        <w:t xml:space="preserve">                       </w:t>
      </w:r>
    </w:p>
    <w:p w14:paraId="1197B48E">
      <w:pPr>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工程</w:t>
      </w:r>
      <w:r>
        <w:rPr>
          <w:rFonts w:hint="eastAsia" w:ascii="仿宋_GB2312" w:hAnsi="宋体" w:eastAsia="仿宋_GB2312"/>
          <w:color w:val="auto"/>
          <w:kern w:val="0"/>
          <w:szCs w:val="21"/>
          <w:highlight w:val="none"/>
        </w:rPr>
        <w:t>概算投资</w:t>
      </w:r>
      <w:r>
        <w:rPr>
          <w:rFonts w:hint="eastAsia" w:ascii="仿宋_GB2312" w:hAnsi="宋体" w:eastAsia="仿宋_GB2312" w:cs="宋体"/>
          <w:color w:val="auto"/>
          <w:kern w:val="0"/>
          <w:szCs w:val="21"/>
          <w:highlight w:val="none"/>
        </w:rPr>
        <w:t>额或建筑安装工程费</w:t>
      </w:r>
      <w:r>
        <w:rPr>
          <w:rFonts w:hint="eastAsia" w:ascii="仿宋_GB2312" w:hAnsi="宋体" w:eastAsia="仿宋_GB2312"/>
          <w:color w:val="auto"/>
          <w:szCs w:val="21"/>
          <w:highlight w:val="none"/>
        </w:rPr>
        <w:t>：</w:t>
      </w:r>
      <w:r>
        <w:rPr>
          <w:rFonts w:hint="eastAsia" w:ascii="仿宋_GB2312" w:hAnsi="宋体" w:eastAsia="仿宋_GB2312"/>
          <w:color w:val="auto"/>
          <w:szCs w:val="21"/>
          <w:highlight w:val="none"/>
          <w:u w:val="single"/>
        </w:rPr>
        <w:t xml:space="preserve">           </w:t>
      </w:r>
    </w:p>
    <w:p w14:paraId="53B16890">
      <w:pPr>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kern w:val="0"/>
          <w:szCs w:val="21"/>
          <w:highlight w:val="none"/>
        </w:rPr>
        <w:t>工程检测范围：</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69729089">
      <w:pPr>
        <w:spacing w:line="360" w:lineRule="auto"/>
        <w:ind w:firstLine="417" w:firstLineChars="198"/>
        <w:outlineLvl w:val="9"/>
        <w:rPr>
          <w:rFonts w:hint="eastAsia" w:ascii="仿宋_GB2312" w:hAnsi="宋体" w:eastAsia="仿宋_GB2312"/>
          <w:b/>
          <w:color w:val="auto"/>
          <w:szCs w:val="21"/>
          <w:highlight w:val="none"/>
        </w:rPr>
      </w:pPr>
      <w:bookmarkStart w:id="289" w:name="_Toc36049299"/>
      <w:r>
        <w:rPr>
          <w:rFonts w:hint="eastAsia" w:ascii="仿宋_GB2312" w:hAnsi="宋体" w:eastAsia="仿宋_GB2312"/>
          <w:b/>
          <w:color w:val="auto"/>
          <w:szCs w:val="21"/>
          <w:highlight w:val="none"/>
        </w:rPr>
        <w:t>二、词语限定</w:t>
      </w:r>
      <w:bookmarkEnd w:id="289"/>
    </w:p>
    <w:p w14:paraId="1A88D19B">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协议书中相关词语的含义与通用条件中的定义与解释相同。</w:t>
      </w:r>
    </w:p>
    <w:p w14:paraId="618CC832">
      <w:pPr>
        <w:spacing w:line="360" w:lineRule="auto"/>
        <w:ind w:firstLine="417" w:firstLineChars="198"/>
        <w:outlineLvl w:val="9"/>
        <w:rPr>
          <w:rFonts w:hint="eastAsia" w:ascii="仿宋_GB2312" w:hAnsi="宋体" w:eastAsia="仿宋_GB2312"/>
          <w:b/>
          <w:color w:val="auto"/>
          <w:szCs w:val="21"/>
          <w:highlight w:val="none"/>
        </w:rPr>
      </w:pPr>
      <w:bookmarkStart w:id="290" w:name="_Toc36049300"/>
      <w:r>
        <w:rPr>
          <w:rFonts w:hint="eastAsia" w:ascii="仿宋_GB2312" w:hAnsi="宋体" w:eastAsia="仿宋_GB2312"/>
          <w:b/>
          <w:color w:val="auto"/>
          <w:szCs w:val="21"/>
          <w:highlight w:val="none"/>
        </w:rPr>
        <w:t>三、组成本合同的文件</w:t>
      </w:r>
      <w:bookmarkEnd w:id="290"/>
    </w:p>
    <w:p w14:paraId="36C67D9F">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 </w:t>
      </w:r>
      <w:r>
        <w:rPr>
          <w:rFonts w:hint="eastAsia" w:ascii="仿宋_GB2312" w:hAnsi="宋体" w:eastAsia="仿宋_GB2312"/>
          <w:color w:val="auto"/>
          <w:szCs w:val="21"/>
          <w:highlight w:val="none"/>
          <w:lang w:eastAsia="zh-CN"/>
        </w:rPr>
        <w:t>成交通知书</w:t>
      </w:r>
      <w:r>
        <w:rPr>
          <w:rFonts w:hint="eastAsia" w:ascii="仿宋_GB2312" w:hAnsi="宋体" w:eastAsia="仿宋_GB2312"/>
          <w:color w:val="auto"/>
          <w:szCs w:val="21"/>
          <w:highlight w:val="none"/>
        </w:rPr>
        <w:t>（如有）；</w:t>
      </w:r>
    </w:p>
    <w:p w14:paraId="3371DE46">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lang w:eastAsia="zh-CN"/>
        </w:rPr>
        <w:t>2.</w:t>
      </w:r>
      <w:r>
        <w:rPr>
          <w:rFonts w:hint="eastAsia" w:ascii="仿宋_GB2312" w:hAnsi="宋体" w:eastAsia="仿宋_GB2312"/>
          <w:color w:val="auto"/>
          <w:szCs w:val="21"/>
          <w:highlight w:val="none"/>
        </w:rPr>
        <w:t>投标函及其附录</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如有</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w:t>
      </w:r>
    </w:p>
    <w:p w14:paraId="63579E27">
      <w:pPr>
        <w:adjustRightInd w:val="0"/>
        <w:snapToGrid w:val="0"/>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    3.</w:t>
      </w:r>
      <w:r>
        <w:rPr>
          <w:rFonts w:hint="eastAsia" w:ascii="仿宋_GB2312" w:hAnsi="宋体" w:eastAsia="仿宋_GB2312"/>
          <w:color w:val="auto"/>
          <w:szCs w:val="21"/>
          <w:highlight w:val="none"/>
        </w:rPr>
        <w:t xml:space="preserve"> 专用合同条款及其附件；</w:t>
      </w:r>
    </w:p>
    <w:p w14:paraId="146D218B">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4.</w:t>
      </w:r>
      <w:r>
        <w:rPr>
          <w:rFonts w:hint="eastAsia" w:ascii="仿宋_GB2312" w:hAnsi="宋体" w:eastAsia="仿宋_GB2312"/>
          <w:color w:val="auto"/>
          <w:szCs w:val="21"/>
          <w:highlight w:val="none"/>
        </w:rPr>
        <w:t xml:space="preserve"> 通用合同条款；</w:t>
      </w:r>
    </w:p>
    <w:p w14:paraId="2A7CB608">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lang w:eastAsia="zh-CN"/>
        </w:rPr>
        <w:t>5.</w:t>
      </w:r>
      <w:r>
        <w:rPr>
          <w:rFonts w:hint="eastAsia" w:ascii="仿宋_GB2312" w:hAnsi="宋体" w:eastAsia="仿宋_GB2312"/>
          <w:color w:val="auto"/>
          <w:szCs w:val="21"/>
          <w:highlight w:val="none"/>
        </w:rPr>
        <w:t>工程检测与相关服务规范</w:t>
      </w:r>
    </w:p>
    <w:p w14:paraId="18901E83">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lang w:eastAsia="zh-CN"/>
        </w:rPr>
        <w:t>6.</w:t>
      </w:r>
      <w:r>
        <w:rPr>
          <w:rFonts w:hint="eastAsia" w:ascii="仿宋_GB2312" w:hAnsi="宋体" w:eastAsia="仿宋_GB2312"/>
          <w:color w:val="auto"/>
          <w:szCs w:val="21"/>
          <w:highlight w:val="none"/>
        </w:rPr>
        <w:t>已标价工程量清单（如有）</w:t>
      </w:r>
    </w:p>
    <w:p w14:paraId="2D6AF880">
      <w:pPr>
        <w:adjustRightInd w:val="0"/>
        <w:snapToGrid w:val="0"/>
        <w:spacing w:line="360" w:lineRule="auto"/>
        <w:ind w:firstLine="415" w:firstLineChars="198"/>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lang w:eastAsia="zh-CN"/>
        </w:rPr>
        <w:t>7.</w:t>
      </w:r>
      <w:r>
        <w:rPr>
          <w:rFonts w:hint="eastAsia" w:ascii="仿宋_GB2312" w:hAnsi="宋体" w:eastAsia="仿宋_GB2312"/>
          <w:color w:val="auto"/>
          <w:szCs w:val="21"/>
          <w:highlight w:val="none"/>
        </w:rPr>
        <w:t>图纸</w:t>
      </w:r>
    </w:p>
    <w:p w14:paraId="12B00736">
      <w:pPr>
        <w:adjustRightInd w:val="0"/>
        <w:snapToGrid w:val="0"/>
        <w:spacing w:line="360" w:lineRule="auto"/>
        <w:ind w:firstLine="415" w:firstLineChars="198"/>
        <w:outlineLvl w:val="9"/>
        <w:rPr>
          <w:rFonts w:hint="eastAsia" w:ascii="仿宋_GB2312" w:eastAsia="仿宋_GB2312"/>
          <w:color w:val="auto"/>
          <w:szCs w:val="21"/>
          <w:highlight w:val="none"/>
        </w:rPr>
      </w:pPr>
      <w:r>
        <w:rPr>
          <w:rFonts w:hint="eastAsia" w:ascii="仿宋_GB2312" w:eastAsia="仿宋_GB2312"/>
          <w:color w:val="auto"/>
          <w:szCs w:val="21"/>
          <w:highlight w:val="none"/>
        </w:rPr>
        <w:t>8.</w:t>
      </w:r>
      <w:r>
        <w:rPr>
          <w:rFonts w:hint="eastAsia" w:ascii="仿宋_GB2312" w:hAnsi="宋体" w:eastAsia="仿宋_GB2312"/>
          <w:color w:val="auto"/>
          <w:szCs w:val="21"/>
          <w:highlight w:val="none"/>
        </w:rPr>
        <w:t xml:space="preserve"> 附录，即：</w:t>
      </w:r>
    </w:p>
    <w:p w14:paraId="3EBE6C70">
      <w:pPr>
        <w:adjustRightInd w:val="0"/>
        <w:snapToGrid w:val="0"/>
        <w:spacing w:line="360" w:lineRule="auto"/>
        <w:ind w:firstLine="415" w:firstLineChars="198"/>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附录</w:t>
      </w:r>
      <w:r>
        <w:rPr>
          <w:rFonts w:hint="eastAsia" w:ascii="仿宋_GB2312" w:eastAsia="仿宋_GB2312"/>
          <w:color w:val="auto"/>
          <w:szCs w:val="21"/>
          <w:highlight w:val="none"/>
        </w:rPr>
        <w:t xml:space="preserve">A  </w:t>
      </w:r>
      <w:r>
        <w:rPr>
          <w:rFonts w:hint="eastAsia" w:ascii="仿宋_GB2312" w:hAnsi="宋体" w:eastAsia="仿宋_GB2312"/>
          <w:color w:val="auto"/>
          <w:szCs w:val="21"/>
          <w:highlight w:val="none"/>
        </w:rPr>
        <w:t>相关服务的范围和内容</w:t>
      </w:r>
    </w:p>
    <w:p w14:paraId="2A7862CF">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附录B  甲方派遣的人员和设备</w:t>
      </w:r>
    </w:p>
    <w:p w14:paraId="0FA95DB9">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本合同签订后，双方依法签订的补充协议也是本合同文件的组成部分。</w:t>
      </w:r>
    </w:p>
    <w:p w14:paraId="54D0114E">
      <w:pPr>
        <w:spacing w:line="360" w:lineRule="auto"/>
        <w:ind w:firstLine="417" w:firstLineChars="198"/>
        <w:outlineLvl w:val="9"/>
        <w:rPr>
          <w:rFonts w:hint="eastAsia" w:ascii="仿宋_GB2312" w:hAnsi="宋体" w:eastAsia="仿宋_GB2312"/>
          <w:b/>
          <w:color w:val="auto"/>
          <w:szCs w:val="21"/>
          <w:highlight w:val="none"/>
        </w:rPr>
      </w:pPr>
      <w:bookmarkStart w:id="291" w:name="_Toc36049301"/>
      <w:r>
        <w:rPr>
          <w:rFonts w:hint="eastAsia" w:ascii="仿宋_GB2312" w:hAnsi="宋体" w:eastAsia="仿宋_GB2312"/>
          <w:b/>
          <w:color w:val="auto"/>
          <w:szCs w:val="21"/>
          <w:highlight w:val="none"/>
        </w:rPr>
        <w:t>四、服务质量要求</w:t>
      </w:r>
      <w:bookmarkEnd w:id="291"/>
    </w:p>
    <w:p w14:paraId="2213C5EF">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工程检测质量符合</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标准。</w:t>
      </w:r>
    </w:p>
    <w:p w14:paraId="213F6377">
      <w:pPr>
        <w:spacing w:line="360" w:lineRule="auto"/>
        <w:ind w:firstLine="417" w:firstLineChars="198"/>
        <w:outlineLvl w:val="9"/>
        <w:rPr>
          <w:rFonts w:hint="eastAsia" w:ascii="仿宋_GB2312" w:hAnsi="宋体" w:eastAsia="仿宋_GB2312"/>
          <w:b/>
          <w:color w:val="auto"/>
          <w:szCs w:val="21"/>
          <w:highlight w:val="none"/>
        </w:rPr>
      </w:pPr>
      <w:bookmarkStart w:id="292" w:name="_Toc36049302"/>
      <w:r>
        <w:rPr>
          <w:rFonts w:hint="eastAsia" w:ascii="仿宋_GB2312" w:hAnsi="宋体" w:eastAsia="仿宋_GB2312"/>
          <w:b/>
          <w:color w:val="auto"/>
          <w:szCs w:val="21"/>
          <w:highlight w:val="none"/>
        </w:rPr>
        <w:t>五、检测项目负责人</w:t>
      </w:r>
      <w:bookmarkEnd w:id="292"/>
    </w:p>
    <w:p w14:paraId="7456F0D1">
      <w:pPr>
        <w:adjustRightInd w:val="0"/>
        <w:snapToGrid w:val="0"/>
        <w:spacing w:line="360" w:lineRule="auto"/>
        <w:ind w:firstLine="415" w:firstLineChars="198"/>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检测项目负责人：</w:t>
      </w:r>
      <w:r>
        <w:rPr>
          <w:rFonts w:hint="eastAsia" w:ascii="仿宋_GB2312" w:hAnsi="宋体" w:eastAsia="仿宋_GB2312"/>
          <w:color w:val="auto"/>
          <w:kern w:val="0"/>
          <w:szCs w:val="21"/>
          <w:highlight w:val="none"/>
          <w:u w:val="single"/>
        </w:rPr>
        <w:t xml:space="preserve">                 </w:t>
      </w:r>
    </w:p>
    <w:p w14:paraId="5CA19C5A">
      <w:pPr>
        <w:adjustRightInd w:val="0"/>
        <w:snapToGrid w:val="0"/>
        <w:spacing w:line="360" w:lineRule="auto"/>
        <w:ind w:firstLine="415" w:firstLineChars="198"/>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身份证号码：</w:t>
      </w:r>
      <w:r>
        <w:rPr>
          <w:rFonts w:hint="eastAsia" w:ascii="仿宋_GB2312" w:hAnsi="宋体" w:eastAsia="仿宋_GB2312"/>
          <w:color w:val="auto"/>
          <w:kern w:val="0"/>
          <w:szCs w:val="21"/>
          <w:highlight w:val="none"/>
          <w:u w:val="single"/>
        </w:rPr>
        <w:t xml:space="preserve">                        </w:t>
      </w:r>
      <w:r>
        <w:rPr>
          <w:rFonts w:hint="eastAsia" w:ascii="仿宋_GB2312" w:hAnsi="宋体" w:eastAsia="仿宋_GB2312"/>
          <w:color w:val="auto"/>
          <w:kern w:val="0"/>
          <w:szCs w:val="21"/>
          <w:highlight w:val="none"/>
        </w:rPr>
        <w:t>。</w:t>
      </w:r>
    </w:p>
    <w:p w14:paraId="101AF009">
      <w:pPr>
        <w:spacing w:line="360" w:lineRule="auto"/>
        <w:ind w:firstLine="417" w:firstLineChars="198"/>
        <w:outlineLvl w:val="9"/>
        <w:rPr>
          <w:rFonts w:hint="eastAsia" w:ascii="仿宋_GB2312" w:hAnsi="宋体" w:eastAsia="仿宋_GB2312"/>
          <w:b/>
          <w:color w:val="auto"/>
          <w:szCs w:val="21"/>
          <w:highlight w:val="none"/>
        </w:rPr>
      </w:pPr>
      <w:bookmarkStart w:id="293" w:name="_Toc36049303"/>
      <w:r>
        <w:rPr>
          <w:rFonts w:hint="eastAsia" w:ascii="仿宋_GB2312" w:hAnsi="宋体" w:eastAsia="仿宋_GB2312"/>
          <w:b/>
          <w:color w:val="auto"/>
          <w:szCs w:val="21"/>
          <w:highlight w:val="none"/>
        </w:rPr>
        <w:t>六、签约合同价与合同价格形式</w:t>
      </w:r>
      <w:bookmarkEnd w:id="293"/>
    </w:p>
    <w:p w14:paraId="6286F91D">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签约合同总价为（大写）：</w:t>
      </w:r>
      <w:r>
        <w:rPr>
          <w:rFonts w:hint="eastAsia" w:ascii="仿宋_GB2312" w:hAnsi="宋体" w:eastAsia="仿宋_GB2312"/>
          <w:color w:val="auto"/>
          <w:szCs w:val="21"/>
          <w:highlight w:val="none"/>
          <w:u w:val="single"/>
        </w:rPr>
        <w:t xml:space="preserve">                       （¥        ）</w:t>
      </w:r>
      <w:r>
        <w:rPr>
          <w:rFonts w:hint="eastAsia" w:ascii="仿宋_GB2312" w:hAnsi="宋体" w:eastAsia="仿宋_GB2312"/>
          <w:color w:val="auto"/>
          <w:szCs w:val="21"/>
          <w:highlight w:val="none"/>
        </w:rPr>
        <w:t>或下浮系数为</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%【注：填报下浮系数时，不需在下浮系数前加负号</w:t>
      </w:r>
      <w:r>
        <w:rPr>
          <w:rFonts w:hint="eastAsia" w:ascii="仿宋_GB2312" w:hAnsi="宋体" w:eastAsia="仿宋_GB2312"/>
          <w:color w:val="auto"/>
          <w:szCs w:val="21"/>
          <w:highlight w:val="none"/>
          <w:lang w:eastAsia="zh-CN"/>
        </w:rPr>
        <w:t>】</w:t>
      </w:r>
    </w:p>
    <w:p w14:paraId="1D78B5BA">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lang w:eastAsia="zh-CN"/>
        </w:rPr>
        <w:t>1.</w:t>
      </w:r>
      <w:r>
        <w:rPr>
          <w:rFonts w:hint="eastAsia" w:ascii="仿宋_GB2312" w:hAnsi="宋体" w:eastAsia="仿宋_GB2312"/>
          <w:color w:val="auto"/>
          <w:szCs w:val="21"/>
          <w:highlight w:val="none"/>
        </w:rPr>
        <w:t>具体检测内容及抽检数量，详见合同附件；</w:t>
      </w:r>
    </w:p>
    <w:p w14:paraId="3AF7889D">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lang w:eastAsia="zh-CN"/>
        </w:rPr>
        <w:t>2.</w:t>
      </w:r>
      <w:r>
        <w:rPr>
          <w:rFonts w:hint="eastAsia" w:ascii="仿宋_GB2312" w:hAnsi="宋体" w:eastAsia="仿宋_GB2312"/>
          <w:color w:val="auto"/>
          <w:szCs w:val="21"/>
          <w:highlight w:val="none"/>
        </w:rPr>
        <w:t>合同价格形式为</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5A896717">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lang w:eastAsia="zh-CN"/>
        </w:rPr>
        <w:t>3.</w:t>
      </w:r>
      <w:r>
        <w:rPr>
          <w:rFonts w:hint="eastAsia" w:ascii="仿宋_GB2312" w:hAnsi="宋体" w:eastAsia="仿宋_GB2312"/>
          <w:color w:val="auto"/>
          <w:szCs w:val="21"/>
          <w:highlight w:val="none"/>
        </w:rPr>
        <w:t>按《广西建设工程质量检测和建筑材料试验收费项目及标准指导性意见》（20</w:t>
      </w:r>
      <w:r>
        <w:rPr>
          <w:rFonts w:hint="eastAsia" w:ascii="仿宋_GB2312" w:hAnsi="宋体" w:eastAsia="仿宋_GB2312"/>
          <w:color w:val="auto"/>
          <w:szCs w:val="21"/>
          <w:highlight w:val="none"/>
          <w:lang w:val="en-US" w:eastAsia="zh-CN"/>
        </w:rPr>
        <w:t>22</w:t>
      </w:r>
      <w:r>
        <w:rPr>
          <w:rFonts w:hint="eastAsia" w:ascii="仿宋_GB2312" w:hAnsi="宋体" w:eastAsia="仿宋_GB2312"/>
          <w:color w:val="auto"/>
          <w:szCs w:val="21"/>
          <w:highlight w:val="none"/>
        </w:rPr>
        <w:t>年版）（桂建检协</w:t>
      </w:r>
      <w:r>
        <w:rPr>
          <w:rFonts w:hint="eastAsia" w:ascii="仿宋_GB2312" w:hAnsi="宋体" w:eastAsia="仿宋_GB2312"/>
          <w:color w:val="auto"/>
          <w:szCs w:val="21"/>
          <w:highlight w:val="none"/>
          <w:lang w:eastAsia="zh-CN"/>
        </w:rPr>
        <w:t>〔2022〕13号</w:t>
      </w:r>
      <w:r>
        <w:rPr>
          <w:rFonts w:hint="eastAsia" w:ascii="仿宋_GB2312" w:hAnsi="宋体" w:eastAsia="仿宋_GB2312"/>
          <w:color w:val="auto"/>
          <w:szCs w:val="21"/>
          <w:highlight w:val="none"/>
        </w:rPr>
        <w:t>文）的收费标准或关于颁布2018年《广西壮族自治区工程建设其他费用定额》的通知（桂建标</w:t>
      </w:r>
      <w:r>
        <w:rPr>
          <w:rFonts w:hint="eastAsia" w:ascii="仿宋_GB2312" w:hAnsi="宋体" w:eastAsia="仿宋_GB2312"/>
          <w:color w:val="auto"/>
          <w:szCs w:val="21"/>
          <w:highlight w:val="none"/>
          <w:lang w:eastAsia="zh-CN"/>
        </w:rPr>
        <w:t>〔2018〕37号）</w:t>
      </w:r>
      <w:r>
        <w:rPr>
          <w:rFonts w:hint="eastAsia" w:ascii="仿宋_GB2312" w:hAnsi="宋体" w:eastAsia="仿宋_GB2312"/>
          <w:color w:val="auto"/>
          <w:szCs w:val="21"/>
          <w:highlight w:val="none"/>
        </w:rPr>
        <w:t>进行收费，若收费标准缺项的，则依据现行有效的国家或地方相关行业收费标准。</w:t>
      </w:r>
    </w:p>
    <w:p w14:paraId="5D463AAA">
      <w:pPr>
        <w:spacing w:line="360" w:lineRule="auto"/>
        <w:ind w:firstLine="417" w:firstLineChars="198"/>
        <w:outlineLvl w:val="9"/>
        <w:rPr>
          <w:rFonts w:hint="eastAsia" w:ascii="仿宋_GB2312" w:hAnsi="宋体" w:eastAsia="仿宋_GB2312"/>
          <w:b/>
          <w:color w:val="auto"/>
          <w:szCs w:val="21"/>
          <w:highlight w:val="none"/>
        </w:rPr>
      </w:pPr>
      <w:bookmarkStart w:id="294" w:name="_Toc36049304"/>
      <w:r>
        <w:rPr>
          <w:rFonts w:hint="eastAsia" w:ascii="仿宋_GB2312" w:hAnsi="宋体" w:eastAsia="仿宋_GB2312"/>
          <w:b/>
          <w:color w:val="auto"/>
          <w:szCs w:val="21"/>
          <w:highlight w:val="none"/>
        </w:rPr>
        <w:t>七、双方承诺</w:t>
      </w:r>
      <w:bookmarkEnd w:id="294"/>
    </w:p>
    <w:p w14:paraId="0D5841CE">
      <w:pPr>
        <w:spacing w:line="360" w:lineRule="auto"/>
        <w:ind w:firstLine="415" w:firstLineChars="198"/>
        <w:outlineLvl w:val="9"/>
        <w:rPr>
          <w:rFonts w:hint="eastAsia" w:ascii="仿宋_GB2312" w:eastAsia="仿宋_GB2312"/>
          <w:color w:val="auto"/>
          <w:szCs w:val="21"/>
          <w:highlight w:val="none"/>
        </w:rPr>
      </w:pPr>
      <w:r>
        <w:rPr>
          <w:rFonts w:hint="eastAsia" w:ascii="仿宋_GB2312" w:eastAsia="仿宋_GB2312"/>
          <w:color w:val="auto"/>
          <w:szCs w:val="21"/>
          <w:highlight w:val="none"/>
        </w:rPr>
        <w:t>1.</w:t>
      </w:r>
      <w:r>
        <w:rPr>
          <w:rFonts w:hint="eastAsia" w:ascii="仿宋_GB2312" w:hAnsi="宋体" w:eastAsia="仿宋_GB2312"/>
          <w:color w:val="auto"/>
          <w:szCs w:val="21"/>
          <w:highlight w:val="none"/>
        </w:rPr>
        <w:t xml:space="preserve"> 甲方向乙方承诺，按照本合同约定为乙方开展工程质量检测提供条件，并按本合同约定支付合同价款。</w:t>
      </w:r>
      <w:r>
        <w:rPr>
          <w:rFonts w:hint="eastAsia" w:ascii="仿宋_GB2312" w:eastAsia="仿宋_GB2312"/>
          <w:color w:val="auto"/>
          <w:szCs w:val="21"/>
          <w:highlight w:val="none"/>
        </w:rPr>
        <w:t xml:space="preserve"> </w:t>
      </w:r>
    </w:p>
    <w:p w14:paraId="438B9317">
      <w:pPr>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2. </w:t>
      </w:r>
      <w:r>
        <w:rPr>
          <w:rFonts w:hint="eastAsia" w:ascii="仿宋_GB2312" w:hAnsi="宋体" w:eastAsia="仿宋_GB2312"/>
          <w:color w:val="auto"/>
          <w:szCs w:val="21"/>
          <w:highlight w:val="none"/>
        </w:rPr>
        <w:t>乙方向甲方承诺：</w:t>
      </w:r>
    </w:p>
    <w:p w14:paraId="11F6E6FA">
      <w:pPr>
        <w:spacing w:line="360" w:lineRule="auto"/>
        <w:ind w:firstLine="415" w:firstLineChars="198"/>
        <w:outlineLvl w:val="9"/>
        <w:rPr>
          <w:rFonts w:hint="eastAsia" w:ascii="仿宋_GB2312" w:hAnsi="宋体" w:eastAsia="仿宋_GB2312"/>
          <w:b/>
          <w:color w:val="auto"/>
          <w:szCs w:val="21"/>
          <w:highlight w:val="none"/>
        </w:rPr>
      </w:pPr>
      <w:r>
        <w:rPr>
          <w:rFonts w:hint="eastAsia" w:ascii="仿宋_GB2312" w:hAnsi="宋体" w:eastAsia="仿宋_GB2312"/>
          <w:color w:val="auto"/>
          <w:szCs w:val="21"/>
          <w:highlight w:val="none"/>
        </w:rPr>
        <w:t>（1）按照本合同约定</w:t>
      </w:r>
      <w:r>
        <w:rPr>
          <w:rFonts w:hint="eastAsia" w:ascii="仿宋_GB2312" w:hAnsi="宋体" w:eastAsia="仿宋_GB2312"/>
          <w:color w:val="auto"/>
          <w:kern w:val="0"/>
          <w:szCs w:val="21"/>
          <w:highlight w:val="none"/>
        </w:rPr>
        <w:t>提供</w:t>
      </w:r>
      <w:r>
        <w:rPr>
          <w:rFonts w:hint="eastAsia" w:ascii="仿宋_GB2312" w:hAnsi="宋体" w:eastAsia="仿宋_GB2312"/>
          <w:color w:val="auto"/>
          <w:szCs w:val="21"/>
          <w:highlight w:val="none"/>
        </w:rPr>
        <w:t>工程质量检测报告与相关服务。</w:t>
      </w:r>
    </w:p>
    <w:p w14:paraId="21AE44F2">
      <w:pPr>
        <w:spacing w:line="360" w:lineRule="auto"/>
        <w:ind w:firstLine="415" w:firstLineChars="198"/>
        <w:outlineLvl w:val="9"/>
        <w:rPr>
          <w:rFonts w:hint="eastAsia" w:ascii="仿宋_GB2312" w:eastAsia="仿宋_GB2312"/>
          <w:color w:val="auto"/>
          <w:szCs w:val="21"/>
          <w:highlight w:val="none"/>
        </w:rPr>
      </w:pPr>
      <w:r>
        <w:rPr>
          <w:rFonts w:hint="eastAsia" w:ascii="仿宋_GB2312" w:eastAsia="仿宋_GB2312"/>
          <w:color w:val="auto"/>
          <w:szCs w:val="21"/>
          <w:highlight w:val="none"/>
        </w:rPr>
        <w:t>（2）按照法律规定及合同约定组织完成工程检测工作，不转包或违法分包。</w:t>
      </w:r>
    </w:p>
    <w:p w14:paraId="3A07AC5C">
      <w:pPr>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3.甲方和乙方承诺不再就同一工程另行签订与合同实质性内容相背离的协议。</w:t>
      </w:r>
    </w:p>
    <w:p w14:paraId="3083E4B7">
      <w:pPr>
        <w:spacing w:line="360" w:lineRule="auto"/>
        <w:ind w:firstLine="417" w:firstLineChars="198"/>
        <w:outlineLvl w:val="9"/>
        <w:rPr>
          <w:rFonts w:hint="eastAsia" w:ascii="仿宋_GB2312" w:hAnsi="宋体" w:eastAsia="仿宋_GB2312"/>
          <w:b/>
          <w:color w:val="auto"/>
          <w:szCs w:val="21"/>
          <w:highlight w:val="none"/>
        </w:rPr>
      </w:pPr>
      <w:bookmarkStart w:id="295" w:name="_Toc36049305"/>
      <w:r>
        <w:rPr>
          <w:rFonts w:hint="eastAsia" w:ascii="仿宋_GB2312" w:hAnsi="宋体" w:eastAsia="仿宋_GB2312"/>
          <w:b/>
          <w:color w:val="auto"/>
          <w:szCs w:val="21"/>
          <w:highlight w:val="none"/>
        </w:rPr>
        <w:t>八、合同订立</w:t>
      </w:r>
      <w:bookmarkEnd w:id="295"/>
    </w:p>
    <w:p w14:paraId="19236822">
      <w:pPr>
        <w:adjustRightInd w:val="0"/>
        <w:snapToGrid w:val="0"/>
        <w:spacing w:line="360" w:lineRule="auto"/>
        <w:ind w:firstLine="415" w:firstLineChars="198"/>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1. </w:t>
      </w:r>
      <w:r>
        <w:rPr>
          <w:rFonts w:hint="eastAsia" w:ascii="仿宋_GB2312" w:hAnsi="宋体" w:eastAsia="仿宋_GB2312"/>
          <w:color w:val="auto"/>
          <w:szCs w:val="21"/>
          <w:highlight w:val="none"/>
        </w:rPr>
        <w:t>订立时间：</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年</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月</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日。</w:t>
      </w:r>
    </w:p>
    <w:p w14:paraId="0958219E">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2. </w:t>
      </w:r>
      <w:r>
        <w:rPr>
          <w:rFonts w:hint="eastAsia" w:ascii="仿宋_GB2312" w:hAnsi="宋体" w:eastAsia="仿宋_GB2312"/>
          <w:color w:val="auto"/>
          <w:szCs w:val="21"/>
          <w:highlight w:val="none"/>
        </w:rPr>
        <w:t>订立地点：</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760436F3">
      <w:pPr>
        <w:spacing w:line="360" w:lineRule="auto"/>
        <w:ind w:firstLine="420" w:firstLineChars="200"/>
        <w:outlineLvl w:val="9"/>
        <w:rPr>
          <w:rFonts w:ascii="仿宋_GB2312" w:hAnsi="宋体" w:eastAsia="仿宋_GB2312"/>
          <w:color w:val="auto"/>
          <w:szCs w:val="21"/>
          <w:highlight w:val="none"/>
        </w:rPr>
      </w:pPr>
      <w:r>
        <w:rPr>
          <w:rFonts w:hint="eastAsia" w:ascii="仿宋_GB2312" w:hAnsi="宋体" w:eastAsia="仿宋_GB2312"/>
          <w:color w:val="auto"/>
          <w:szCs w:val="21"/>
          <w:highlight w:val="none"/>
          <w:lang w:eastAsia="zh-CN"/>
        </w:rPr>
        <w:t>3.</w:t>
      </w:r>
      <w:r>
        <w:rPr>
          <w:rFonts w:ascii="仿宋_GB2312" w:hAnsi="宋体" w:eastAsia="仿宋_GB2312"/>
          <w:color w:val="auto"/>
          <w:szCs w:val="21"/>
          <w:highlight w:val="none"/>
        </w:rPr>
        <w:t>补充协议</w:t>
      </w:r>
      <w:r>
        <w:rPr>
          <w:rFonts w:hint="eastAsia" w:ascii="仿宋_GB2312" w:hAnsi="宋体" w:eastAsia="仿宋_GB2312"/>
          <w:color w:val="auto"/>
          <w:szCs w:val="21"/>
          <w:highlight w:val="none"/>
        </w:rPr>
        <w:t>：</w:t>
      </w:r>
      <w:r>
        <w:rPr>
          <w:rFonts w:ascii="仿宋_GB2312" w:hAnsi="宋体" w:eastAsia="仿宋_GB2312"/>
          <w:color w:val="auto"/>
          <w:szCs w:val="21"/>
          <w:highlight w:val="none"/>
        </w:rPr>
        <w:t>合同未尽事宜，合同当事人另行签订补充协议，补充协议是合同的组成部分。</w:t>
      </w:r>
    </w:p>
    <w:p w14:paraId="0FF54338">
      <w:pPr>
        <w:adjustRightInd w:val="0"/>
        <w:snapToGrid w:val="0"/>
        <w:spacing w:line="360" w:lineRule="auto"/>
        <w:ind w:firstLine="415" w:firstLineChars="198"/>
        <w:outlineLvl w:val="9"/>
        <w:rPr>
          <w:rFonts w:hint="eastAsia" w:ascii="仿宋_GB2312" w:eastAsia="仿宋_GB2312"/>
          <w:color w:val="auto"/>
          <w:szCs w:val="21"/>
          <w:highlight w:val="none"/>
        </w:rPr>
      </w:pPr>
      <w:r>
        <w:rPr>
          <w:rFonts w:hint="eastAsia" w:ascii="仿宋_GB2312" w:eastAsia="仿宋_GB2312"/>
          <w:color w:val="auto"/>
          <w:szCs w:val="21"/>
          <w:highlight w:val="none"/>
          <w:lang w:eastAsia="zh-CN"/>
        </w:rPr>
        <w:t>4.</w:t>
      </w:r>
      <w:r>
        <w:rPr>
          <w:rFonts w:hint="eastAsia" w:ascii="仿宋_GB2312" w:eastAsia="仿宋_GB2312"/>
          <w:color w:val="auto"/>
          <w:szCs w:val="21"/>
          <w:highlight w:val="none"/>
        </w:rPr>
        <w:t>合同生效：本合同自</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生效。</w:t>
      </w:r>
    </w:p>
    <w:p w14:paraId="4668E620">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lang w:eastAsia="zh-CN"/>
        </w:rPr>
        <w:t>5.</w:t>
      </w:r>
      <w:r>
        <w:rPr>
          <w:rFonts w:hint="eastAsia" w:ascii="仿宋_GB2312" w:hAnsi="宋体" w:eastAsia="仿宋_GB2312"/>
          <w:color w:val="auto"/>
          <w:szCs w:val="21"/>
          <w:highlight w:val="none"/>
        </w:rPr>
        <w:t>本合同一式</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份，均具有同等法律效力，双方各执</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份。</w:t>
      </w:r>
    </w:p>
    <w:p w14:paraId="2977713E">
      <w:pPr>
        <w:adjustRightInd w:val="0"/>
        <w:snapToGrid w:val="0"/>
        <w:spacing w:line="360" w:lineRule="auto"/>
        <w:ind w:firstLine="415" w:firstLineChars="198"/>
        <w:outlineLvl w:val="9"/>
        <w:rPr>
          <w:rFonts w:hint="eastAsia" w:ascii="仿宋_GB2312" w:hAnsi="宋体" w:eastAsia="仿宋_GB2312"/>
          <w:color w:val="auto"/>
          <w:szCs w:val="21"/>
          <w:highlight w:val="none"/>
        </w:rPr>
      </w:pPr>
    </w:p>
    <w:p w14:paraId="6D63906E">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甲方：</w:t>
      </w:r>
      <w:r>
        <w:rPr>
          <w:rFonts w:hint="eastAsia" w:ascii="仿宋_GB2312" w:hAnsi="宋体" w:eastAsia="仿宋_GB2312"/>
          <w:color w:val="auto"/>
          <w:szCs w:val="21"/>
          <w:highlight w:val="none"/>
          <w:u w:val="single"/>
        </w:rPr>
        <w:t xml:space="preserve">   （盖章）      </w:t>
      </w:r>
      <w:r>
        <w:rPr>
          <w:rFonts w:hint="eastAsia" w:ascii="仿宋_GB2312" w:hAnsi="宋体" w:eastAsia="仿宋_GB2312"/>
          <w:color w:val="auto"/>
          <w:szCs w:val="21"/>
          <w:highlight w:val="none"/>
        </w:rPr>
        <w:t xml:space="preserve">                   乙方：</w:t>
      </w:r>
      <w:r>
        <w:rPr>
          <w:rFonts w:hint="eastAsia" w:ascii="仿宋_GB2312" w:hAnsi="宋体" w:eastAsia="仿宋_GB2312"/>
          <w:color w:val="auto"/>
          <w:szCs w:val="21"/>
          <w:highlight w:val="none"/>
          <w:u w:val="single"/>
        </w:rPr>
        <w:t xml:space="preserve">   （盖章）    </w:t>
      </w:r>
    </w:p>
    <w:p w14:paraId="3D5C6A3B">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 xml:space="preserve">住所： </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住所： </w:t>
      </w:r>
      <w:r>
        <w:rPr>
          <w:rFonts w:hint="eastAsia" w:ascii="仿宋_GB2312" w:hAnsi="宋体" w:eastAsia="仿宋_GB2312"/>
          <w:color w:val="auto"/>
          <w:szCs w:val="21"/>
          <w:highlight w:val="none"/>
          <w:u w:val="single"/>
        </w:rPr>
        <w:t xml:space="preserve">                      </w:t>
      </w:r>
    </w:p>
    <w:p w14:paraId="18AF533A">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邮政编码：</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邮政编码：</w:t>
      </w:r>
      <w:r>
        <w:rPr>
          <w:rFonts w:hint="eastAsia" w:ascii="仿宋_GB2312" w:hAnsi="宋体" w:eastAsia="仿宋_GB2312"/>
          <w:color w:val="auto"/>
          <w:szCs w:val="21"/>
          <w:highlight w:val="none"/>
          <w:u w:val="single"/>
        </w:rPr>
        <w:t xml:space="preserve">                  </w:t>
      </w:r>
    </w:p>
    <w:p w14:paraId="577BD108">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法定代表人或其授权                        法定代表人或其授权</w:t>
      </w:r>
    </w:p>
    <w:p w14:paraId="4974E437">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的代理人：</w:t>
      </w:r>
      <w:r>
        <w:rPr>
          <w:rFonts w:hint="eastAsia" w:ascii="仿宋_GB2312" w:hAnsi="宋体" w:eastAsia="仿宋_GB2312"/>
          <w:color w:val="auto"/>
          <w:szCs w:val="21"/>
          <w:highlight w:val="none"/>
          <w:u w:val="single"/>
        </w:rPr>
        <w:t xml:space="preserve">（签字）      </w:t>
      </w:r>
      <w:r>
        <w:rPr>
          <w:rFonts w:hint="eastAsia" w:ascii="仿宋_GB2312" w:hAnsi="宋体" w:eastAsia="仿宋_GB2312"/>
          <w:color w:val="auto"/>
          <w:szCs w:val="21"/>
          <w:highlight w:val="none"/>
        </w:rPr>
        <w:t xml:space="preserve">                   的代理人：</w:t>
      </w:r>
      <w:r>
        <w:rPr>
          <w:rFonts w:hint="eastAsia" w:ascii="仿宋_GB2312" w:hAnsi="宋体" w:eastAsia="仿宋_GB2312"/>
          <w:color w:val="auto"/>
          <w:szCs w:val="21"/>
          <w:highlight w:val="none"/>
          <w:u w:val="single"/>
        </w:rPr>
        <w:t xml:space="preserve">（签字）          </w:t>
      </w:r>
    </w:p>
    <w:p w14:paraId="6797545A">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开户银行：</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开户银行：</w:t>
      </w:r>
      <w:r>
        <w:rPr>
          <w:rFonts w:hint="eastAsia" w:ascii="仿宋_GB2312" w:hAnsi="宋体" w:eastAsia="仿宋_GB2312"/>
          <w:color w:val="auto"/>
          <w:szCs w:val="21"/>
          <w:highlight w:val="none"/>
          <w:u w:val="single"/>
        </w:rPr>
        <w:t xml:space="preserve">                  </w:t>
      </w:r>
    </w:p>
    <w:p w14:paraId="02D28797">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账号：</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账号：</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w:t>
      </w:r>
      <w:r>
        <w:rPr>
          <w:rFonts w:hint="eastAsia" w:ascii="仿宋_GB2312" w:hAnsi="宋体" w:eastAsia="仿宋_GB2312"/>
          <w:color w:val="auto"/>
          <w:szCs w:val="21"/>
          <w:highlight w:val="none"/>
          <w:u w:val="single"/>
        </w:rPr>
        <w:t xml:space="preserve"> </w:t>
      </w:r>
    </w:p>
    <w:p w14:paraId="239AB29E">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联系人：</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联系人：</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w:t>
      </w:r>
    </w:p>
    <w:p w14:paraId="2BE589FC">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电话：</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电话：</w:t>
      </w:r>
      <w:r>
        <w:rPr>
          <w:rFonts w:hint="eastAsia" w:ascii="仿宋_GB2312" w:hAnsi="宋体" w:eastAsia="仿宋_GB2312"/>
          <w:color w:val="auto"/>
          <w:szCs w:val="21"/>
          <w:highlight w:val="none"/>
          <w:u w:val="single"/>
        </w:rPr>
        <w:t xml:space="preserve">                       </w:t>
      </w:r>
    </w:p>
    <w:p w14:paraId="1AEA1603">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传真：</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传真：</w:t>
      </w:r>
      <w:r>
        <w:rPr>
          <w:rFonts w:hint="eastAsia" w:ascii="仿宋_GB2312" w:hAnsi="宋体" w:eastAsia="仿宋_GB2312"/>
          <w:color w:val="auto"/>
          <w:szCs w:val="21"/>
          <w:highlight w:val="none"/>
          <w:u w:val="single"/>
        </w:rPr>
        <w:t xml:space="preserve">                       </w:t>
      </w:r>
    </w:p>
    <w:p w14:paraId="455CAF8F">
      <w:pPr>
        <w:adjustRightInd w:val="0"/>
        <w:snapToGrid w:val="0"/>
        <w:spacing w:line="360" w:lineRule="auto"/>
        <w:ind w:firstLine="415" w:firstLineChars="198"/>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rPr>
        <w:t>电子邮箱：</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 xml:space="preserve">               电子邮箱：</w:t>
      </w:r>
      <w:r>
        <w:rPr>
          <w:rFonts w:hint="eastAsia" w:ascii="仿宋_GB2312" w:hAnsi="宋体" w:eastAsia="仿宋_GB2312"/>
          <w:color w:val="auto"/>
          <w:szCs w:val="21"/>
          <w:highlight w:val="none"/>
          <w:u w:val="single"/>
        </w:rPr>
        <w:t xml:space="preserve">                  </w:t>
      </w:r>
    </w:p>
    <w:p w14:paraId="5F8987A0">
      <w:pPr>
        <w:pStyle w:val="6"/>
        <w:spacing w:before="0" w:after="0" w:line="360" w:lineRule="auto"/>
        <w:jc w:val="center"/>
        <w:rPr>
          <w:rFonts w:hint="eastAsia" w:ascii="华文中宋" w:hAnsi="华文中宋" w:eastAsia="华文中宋"/>
          <w:b/>
          <w:color w:val="auto"/>
          <w:szCs w:val="21"/>
          <w:highlight w:val="none"/>
        </w:rPr>
      </w:pPr>
      <w:r>
        <w:rPr>
          <w:rFonts w:hint="eastAsia" w:ascii="仿宋" w:hAnsi="仿宋" w:eastAsia="仿宋" w:cs="仿宋"/>
          <w:b/>
          <w:bCs w:val="0"/>
          <w:color w:val="auto"/>
          <w:sz w:val="32"/>
          <w:szCs w:val="32"/>
          <w:highlight w:val="none"/>
        </w:rPr>
        <w:t>第二部分  通用条件</w:t>
      </w:r>
    </w:p>
    <w:p w14:paraId="7C827F57">
      <w:pPr>
        <w:spacing w:line="360" w:lineRule="auto"/>
        <w:jc w:val="center"/>
        <w:rPr>
          <w:rFonts w:hint="eastAsia" w:ascii="仿宋_GB2312" w:hAnsi="宋体" w:eastAsia="仿宋_GB2312"/>
          <w:b/>
          <w:color w:val="auto"/>
          <w:szCs w:val="21"/>
          <w:highlight w:val="none"/>
        </w:rPr>
      </w:pPr>
    </w:p>
    <w:p w14:paraId="64CA3DF6">
      <w:pPr>
        <w:spacing w:line="360" w:lineRule="auto"/>
        <w:outlineLvl w:val="9"/>
        <w:rPr>
          <w:rFonts w:hint="eastAsia" w:ascii="仿宋_GB2312" w:hAnsi="黑体" w:eastAsia="仿宋_GB2312"/>
          <w:b/>
          <w:color w:val="auto"/>
          <w:szCs w:val="21"/>
          <w:highlight w:val="none"/>
        </w:rPr>
      </w:pPr>
      <w:bookmarkStart w:id="296" w:name="_Toc36049306"/>
      <w:r>
        <w:rPr>
          <w:rFonts w:hint="eastAsia" w:ascii="仿宋_GB2312" w:hAnsi="黑体" w:eastAsia="仿宋_GB2312"/>
          <w:b/>
          <w:color w:val="auto"/>
          <w:szCs w:val="21"/>
          <w:highlight w:val="none"/>
        </w:rPr>
        <w:t>1. 定义与解释</w:t>
      </w:r>
      <w:bookmarkEnd w:id="296"/>
    </w:p>
    <w:p w14:paraId="40F8D892">
      <w:pPr>
        <w:spacing w:line="360" w:lineRule="auto"/>
        <w:ind w:left="210" w:left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1.1 </w:t>
      </w:r>
      <w:r>
        <w:rPr>
          <w:rFonts w:hint="eastAsia" w:ascii="仿宋_GB2312" w:hAnsi="宋体" w:eastAsia="仿宋_GB2312"/>
          <w:bCs/>
          <w:color w:val="auto"/>
          <w:szCs w:val="21"/>
          <w:highlight w:val="none"/>
        </w:rPr>
        <w:t>定义</w:t>
      </w:r>
    </w:p>
    <w:p w14:paraId="145EE992">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除根据上下文另有其意义外</w:t>
      </w:r>
      <w:r>
        <w:rPr>
          <w:rFonts w:hint="eastAsia" w:ascii="仿宋_GB2312" w:eastAsia="仿宋_GB2312"/>
          <w:color w:val="auto"/>
          <w:szCs w:val="21"/>
          <w:highlight w:val="none"/>
        </w:rPr>
        <w:t>，组成</w:t>
      </w:r>
      <w:r>
        <w:rPr>
          <w:rFonts w:hint="eastAsia" w:ascii="仿宋_GB2312" w:hAnsi="宋体" w:eastAsia="仿宋_GB2312"/>
          <w:color w:val="auto"/>
          <w:szCs w:val="21"/>
          <w:highlight w:val="none"/>
        </w:rPr>
        <w:t>本合同</w:t>
      </w:r>
      <w:r>
        <w:rPr>
          <w:rFonts w:hint="eastAsia" w:ascii="仿宋_GB2312" w:eastAsia="仿宋_GB2312"/>
          <w:color w:val="auto"/>
          <w:szCs w:val="21"/>
          <w:highlight w:val="none"/>
        </w:rPr>
        <w:t>的全部文件中的</w:t>
      </w:r>
      <w:r>
        <w:rPr>
          <w:rFonts w:hint="eastAsia" w:ascii="仿宋_GB2312" w:hAnsi="宋体" w:eastAsia="仿宋_GB2312"/>
          <w:color w:val="auto"/>
          <w:szCs w:val="21"/>
          <w:highlight w:val="none"/>
        </w:rPr>
        <w:t>下列名词和用语应具有本款所赋予的含义</w:t>
      </w:r>
      <w:r>
        <w:rPr>
          <w:rFonts w:hint="eastAsia" w:ascii="仿宋_GB2312" w:eastAsia="仿宋_GB2312"/>
          <w:color w:val="auto"/>
          <w:szCs w:val="21"/>
          <w:highlight w:val="none"/>
        </w:rPr>
        <w:t>：</w:t>
      </w:r>
    </w:p>
    <w:p w14:paraId="03AD88F9">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1.1.1 </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rPr>
        <w:t>工程</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rPr>
        <w:t>是指按照本合同约定实施工程质量检测与相关服务的建设</w:t>
      </w:r>
      <w:r>
        <w:rPr>
          <w:rFonts w:hint="eastAsia" w:ascii="仿宋_GB2312" w:hAnsi="ˎ̥" w:eastAsia="仿宋_GB2312"/>
          <w:color w:val="auto"/>
          <w:szCs w:val="21"/>
          <w:highlight w:val="none"/>
        </w:rPr>
        <w:t>工程</w:t>
      </w:r>
      <w:r>
        <w:rPr>
          <w:rFonts w:hint="eastAsia" w:ascii="仿宋_GB2312" w:eastAsia="仿宋_GB2312"/>
          <w:color w:val="auto"/>
          <w:szCs w:val="21"/>
          <w:highlight w:val="none"/>
        </w:rPr>
        <w:t>。</w:t>
      </w:r>
    </w:p>
    <w:p w14:paraId="1A8ACBA9">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1.1.2  </w:t>
      </w:r>
      <w:r>
        <w:rPr>
          <w:rFonts w:hint="eastAsia" w:ascii="仿宋_GB2312" w:eastAsia="仿宋_GB2312"/>
          <w:color w:val="auto"/>
          <w:szCs w:val="21"/>
          <w:highlight w:val="none"/>
          <w:lang w:eastAsia="zh-CN"/>
        </w:rPr>
        <w:t>“</w:t>
      </w:r>
      <w:r>
        <w:rPr>
          <w:rFonts w:hint="eastAsia" w:ascii="仿宋_GB2312" w:eastAsia="仿宋_GB2312"/>
          <w:color w:val="auto"/>
          <w:szCs w:val="21"/>
          <w:highlight w:val="none"/>
        </w:rPr>
        <w:t>工程质量检测</w:t>
      </w:r>
      <w:r>
        <w:rPr>
          <w:rFonts w:hint="eastAsia" w:ascii="仿宋_GB2312" w:eastAsia="仿宋_GB2312"/>
          <w:color w:val="auto"/>
          <w:szCs w:val="21"/>
          <w:highlight w:val="none"/>
          <w:lang w:eastAsia="zh-CN"/>
        </w:rPr>
        <w:t>”</w:t>
      </w:r>
      <w:r>
        <w:rPr>
          <w:rFonts w:hint="eastAsia" w:ascii="仿宋_GB2312" w:eastAsia="仿宋_GB2312"/>
          <w:color w:val="auto"/>
          <w:szCs w:val="21"/>
          <w:highlight w:val="none"/>
        </w:rPr>
        <w:t>是指建设工程质量检测机构</w:t>
      </w:r>
      <w:r>
        <w:rPr>
          <w:rFonts w:hint="eastAsia" w:eastAsia="仿宋_GB2312"/>
          <w:color w:val="auto"/>
          <w:szCs w:val="21"/>
          <w:highlight w:val="none"/>
        </w:rPr>
        <w:t>接受委托，依照国家有关</w:t>
      </w:r>
      <w:r>
        <w:rPr>
          <w:rFonts w:hint="eastAsia" w:eastAsia="仿宋_GB2312"/>
          <w:color w:val="auto"/>
          <w:szCs w:val="21"/>
          <w:highlight w:val="none"/>
          <w:lang w:eastAsia="zh-CN"/>
        </w:rPr>
        <w:t>法律法规</w:t>
      </w:r>
      <w:r>
        <w:rPr>
          <w:rFonts w:hint="eastAsia" w:eastAsia="仿宋_GB2312"/>
          <w:color w:val="auto"/>
          <w:szCs w:val="21"/>
          <w:highlight w:val="none"/>
        </w:rPr>
        <w:t>、规章和技术标准，对建设工程及其所使用的建筑材料、中间产品、设备、构配件的质量安全、使用功能等进行测试的活动。</w:t>
      </w:r>
    </w:p>
    <w:p w14:paraId="5FD8A07A">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1.1.3</w:t>
      </w:r>
      <w:r>
        <w:rPr>
          <w:rFonts w:hint="eastAsia" w:ascii="仿宋_GB2312" w:hAnsi="宋体" w:eastAsia="仿宋_GB2312"/>
          <w:color w:val="auto"/>
          <w:szCs w:val="21"/>
          <w:highlight w:val="none"/>
        </w:rPr>
        <w:t xml:space="preserve">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相关服务</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是指工程质量检测机构受</w:t>
      </w:r>
      <w:r>
        <w:rPr>
          <w:rFonts w:hint="eastAsia" w:ascii="仿宋_GB2312" w:eastAsia="仿宋_GB2312"/>
          <w:color w:val="auto"/>
          <w:szCs w:val="21"/>
          <w:highlight w:val="none"/>
        </w:rPr>
        <w:t xml:space="preserve">委托方的委托 </w:t>
      </w:r>
      <w:r>
        <w:rPr>
          <w:rFonts w:hint="eastAsia" w:ascii="仿宋_GB2312" w:hAnsi="宋体" w:eastAsia="仿宋_GB2312"/>
          <w:color w:val="auto"/>
          <w:szCs w:val="21"/>
          <w:highlight w:val="none"/>
        </w:rPr>
        <w:t>，</w:t>
      </w:r>
      <w:r>
        <w:rPr>
          <w:rFonts w:hint="eastAsia" w:ascii="仿宋_GB2312" w:eastAsia="仿宋_GB2312"/>
          <w:color w:val="auto"/>
          <w:szCs w:val="21"/>
          <w:highlight w:val="none"/>
        </w:rPr>
        <w:t>按照本合同约定，在勘察、设计、建造、保修、使用等阶段提供的服务活动</w:t>
      </w:r>
      <w:r>
        <w:rPr>
          <w:rFonts w:hint="eastAsia" w:ascii="仿宋_GB2312" w:hAnsi="宋体" w:eastAsia="仿宋_GB2312"/>
          <w:color w:val="auto"/>
          <w:szCs w:val="21"/>
          <w:highlight w:val="none"/>
        </w:rPr>
        <w:t>。</w:t>
      </w:r>
    </w:p>
    <w:p w14:paraId="2474AB9D">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1.1.4</w:t>
      </w:r>
      <w:r>
        <w:rPr>
          <w:rFonts w:hint="eastAsia" w:ascii="仿宋_GB2312" w:hAnsi="宋体" w:eastAsia="仿宋_GB2312"/>
          <w:color w:val="auto"/>
          <w:szCs w:val="21"/>
          <w:highlight w:val="none"/>
        </w:rPr>
        <w:t xml:space="preserve">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正常工作</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指本合同订立时通用条件和专用条件中约定的乙方的工作。</w:t>
      </w:r>
    </w:p>
    <w:p w14:paraId="773EAF49">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1.1.5</w:t>
      </w:r>
      <w:r>
        <w:rPr>
          <w:rFonts w:hint="eastAsia" w:ascii="仿宋_GB2312" w:hAnsi="宋体" w:eastAsia="仿宋_GB2312"/>
          <w:color w:val="auto"/>
          <w:szCs w:val="21"/>
          <w:highlight w:val="none"/>
        </w:rPr>
        <w:t xml:space="preserve">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附加工作</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是指本合同约定的正常工作以外乙方的工作。</w:t>
      </w:r>
    </w:p>
    <w:p w14:paraId="6272E9CD">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1.1.6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项目负责人</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是指代表工程质量检测机构，全面负责履行本合同、主持项目工程质量检测工作的检测人员。</w:t>
      </w:r>
    </w:p>
    <w:p w14:paraId="785A72CF">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1.1.7</w:t>
      </w:r>
      <w:r>
        <w:rPr>
          <w:rFonts w:hint="eastAsia" w:ascii="仿宋_GB2312" w:hAnsi="宋体" w:eastAsia="仿宋_GB2312"/>
          <w:color w:val="auto"/>
          <w:szCs w:val="21"/>
          <w:highlight w:val="none"/>
        </w:rPr>
        <w:t xml:space="preserve">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酬金</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是指乙方履行本合同义务，甲方按照本合同约定给付乙方的金额。</w:t>
      </w:r>
    </w:p>
    <w:p w14:paraId="2943FF2E">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1.1.8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正常工作</w:t>
      </w:r>
      <w:r>
        <w:rPr>
          <w:rFonts w:hint="eastAsia" w:ascii="仿宋_GB2312" w:hAnsi="ˎ̥" w:eastAsia="仿宋_GB2312" w:cs="宋体"/>
          <w:color w:val="auto"/>
          <w:kern w:val="0"/>
          <w:szCs w:val="21"/>
          <w:highlight w:val="none"/>
        </w:rPr>
        <w:t>酬金</w:t>
      </w:r>
      <w:r>
        <w:rPr>
          <w:rFonts w:hint="eastAsia" w:ascii="仿宋_GB2312" w:hAnsi="ˎ̥" w:eastAsia="仿宋_GB2312" w:cs="宋体"/>
          <w:color w:val="auto"/>
          <w:kern w:val="0"/>
          <w:szCs w:val="21"/>
          <w:highlight w:val="none"/>
          <w:lang w:eastAsia="zh-CN"/>
        </w:rPr>
        <w:t>”</w:t>
      </w:r>
      <w:r>
        <w:rPr>
          <w:rFonts w:hint="eastAsia" w:ascii="仿宋_GB2312" w:hAnsi="宋体" w:eastAsia="仿宋_GB2312"/>
          <w:color w:val="auto"/>
          <w:szCs w:val="21"/>
          <w:highlight w:val="none"/>
        </w:rPr>
        <w:t>是指乙方完成正常工作，甲方应给付乙方并在协议书中载明的签约</w:t>
      </w:r>
      <w:r>
        <w:rPr>
          <w:rFonts w:hint="eastAsia" w:ascii="仿宋_GB2312" w:hAnsi="ˎ̥" w:eastAsia="仿宋_GB2312" w:cs="宋体"/>
          <w:color w:val="auto"/>
          <w:kern w:val="0"/>
          <w:szCs w:val="21"/>
          <w:highlight w:val="none"/>
        </w:rPr>
        <w:t>酬金额</w:t>
      </w:r>
      <w:r>
        <w:rPr>
          <w:rFonts w:hint="eastAsia" w:ascii="仿宋_GB2312" w:hAnsi="宋体" w:eastAsia="仿宋_GB2312"/>
          <w:color w:val="auto"/>
          <w:szCs w:val="21"/>
          <w:highlight w:val="none"/>
        </w:rPr>
        <w:t>。</w:t>
      </w:r>
    </w:p>
    <w:p w14:paraId="774CA331">
      <w:pPr>
        <w:adjustRightInd w:val="0"/>
        <w:snapToGrid w:val="0"/>
        <w:spacing w:line="360" w:lineRule="auto"/>
        <w:ind w:firstLine="415" w:firstLineChars="1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1.1.9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附加工作酬金</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是指乙方完成附加工作，甲方应给付乙方的金额。</w:t>
      </w:r>
    </w:p>
    <w:p w14:paraId="3B969F40">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1.1.10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一方</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是指甲方或乙方</w:t>
      </w:r>
      <w:r>
        <w:rPr>
          <w:rFonts w:hint="eastAsia" w:ascii="仿宋_GB2312" w:eastAsia="仿宋_GB2312"/>
          <w:color w:val="auto"/>
          <w:szCs w:val="21"/>
          <w:highlight w:val="none"/>
        </w:rPr>
        <w:t>；</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双方</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是指甲方和乙方</w:t>
      </w:r>
      <w:r>
        <w:rPr>
          <w:rFonts w:hint="eastAsia" w:ascii="仿宋_GB2312" w:eastAsia="仿宋_GB2312"/>
          <w:color w:val="auto"/>
          <w:szCs w:val="21"/>
          <w:highlight w:val="none"/>
        </w:rPr>
        <w:t>；</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第三方</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是指除甲方和乙方以外的有关方。</w:t>
      </w:r>
    </w:p>
    <w:p w14:paraId="7FA2E715">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 xml:space="preserve">1.1.11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书面形式</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是指合同书、信件和数据电文（包括电报、电传、传真、电子数据交换和电子邮件）等可以有形地表现所载内容的形式。</w:t>
      </w:r>
    </w:p>
    <w:p w14:paraId="16331ECB">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1.1.12 </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天</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是指第一天零时至第二天零时的时间。</w:t>
      </w:r>
    </w:p>
    <w:p w14:paraId="69B74862">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1.1.13</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月</w:t>
      </w:r>
      <w:r>
        <w:rPr>
          <w:rFonts w:hint="eastAsia" w:ascii="仿宋_GB2312" w:hAnsi="宋体" w:eastAsia="仿宋_GB2312"/>
          <w:color w:val="auto"/>
          <w:szCs w:val="21"/>
          <w:highlight w:val="none"/>
          <w:lang w:eastAsia="zh-CN"/>
        </w:rPr>
        <w:t>”</w:t>
      </w:r>
      <w:r>
        <w:rPr>
          <w:rFonts w:hint="eastAsia" w:ascii="仿宋_GB2312" w:hAnsi="宋体" w:eastAsia="仿宋_GB2312"/>
          <w:color w:val="auto"/>
          <w:szCs w:val="21"/>
          <w:highlight w:val="none"/>
        </w:rPr>
        <w:t>是指按公历从一个月中任何一天开始的一个公历月时间。</w:t>
      </w:r>
    </w:p>
    <w:p w14:paraId="06ADA473">
      <w:pPr>
        <w:adjustRightInd w:val="0"/>
        <w:snapToGrid w:val="0"/>
        <w:spacing w:line="360" w:lineRule="auto"/>
        <w:ind w:firstLine="420" w:firstLineChars="200"/>
        <w:outlineLvl w:val="9"/>
        <w:rPr>
          <w:rFonts w:hint="eastAsia"/>
          <w:color w:val="auto"/>
          <w:szCs w:val="21"/>
          <w:highlight w:val="none"/>
        </w:rPr>
      </w:pPr>
      <w:r>
        <w:rPr>
          <w:rFonts w:hint="eastAsia" w:ascii="仿宋_GB2312" w:eastAsia="仿宋_GB2312"/>
          <w:color w:val="auto"/>
          <w:szCs w:val="21"/>
          <w:highlight w:val="none"/>
        </w:rPr>
        <w:t xml:space="preserve">1.1.14 </w:t>
      </w:r>
      <w:r>
        <w:rPr>
          <w:rFonts w:hint="eastAsia" w:ascii="仿宋_GB2312" w:eastAsia="仿宋_GB2312"/>
          <w:color w:val="auto"/>
          <w:szCs w:val="21"/>
          <w:highlight w:val="none"/>
          <w:lang w:eastAsia="zh-CN"/>
        </w:rPr>
        <w:t>“</w:t>
      </w:r>
      <w:r>
        <w:rPr>
          <w:rFonts w:hint="eastAsia" w:ascii="仿宋_GB2312" w:eastAsia="仿宋_GB2312"/>
          <w:color w:val="auto"/>
          <w:szCs w:val="21"/>
          <w:highlight w:val="none"/>
        </w:rPr>
        <w:t>不可抗力</w:t>
      </w:r>
      <w:r>
        <w:rPr>
          <w:rFonts w:hint="eastAsia" w:ascii="仿宋_GB2312" w:eastAsia="仿宋_GB2312"/>
          <w:color w:val="auto"/>
          <w:szCs w:val="21"/>
          <w:highlight w:val="none"/>
          <w:lang w:eastAsia="zh-CN"/>
        </w:rPr>
        <w:t>”</w:t>
      </w:r>
      <w:r>
        <w:rPr>
          <w:rFonts w:hint="eastAsia" w:ascii="仿宋_GB2312" w:eastAsia="仿宋_GB2312"/>
          <w:color w:val="auto"/>
          <w:szCs w:val="21"/>
          <w:highlight w:val="none"/>
        </w:rPr>
        <w:t>是指甲方和乙方在订立本合同时不可预见，在工程检测过程中不可避免发生并不能克服的自然灾害和社会性突发事件，如地震、海啸、瘟疫、水灾、骚乱、暴动、战争和专用条件约定的其他情形。</w:t>
      </w:r>
    </w:p>
    <w:p w14:paraId="0C05B3CA">
      <w:pPr>
        <w:adjustRightInd w:val="0"/>
        <w:snapToGrid w:val="0"/>
        <w:spacing w:line="360" w:lineRule="auto"/>
        <w:ind w:left="210" w:leftChars="100"/>
        <w:outlineLvl w:val="9"/>
        <w:rPr>
          <w:rFonts w:hint="eastAsia" w:ascii="仿宋_GB2312" w:eastAsia="仿宋_GB2312"/>
          <w:color w:val="auto"/>
          <w:szCs w:val="21"/>
          <w:highlight w:val="none"/>
        </w:rPr>
      </w:pPr>
      <w:r>
        <w:rPr>
          <w:rFonts w:hint="eastAsia" w:ascii="仿宋_GB2312" w:eastAsia="仿宋_GB2312"/>
          <w:bCs/>
          <w:color w:val="auto"/>
          <w:szCs w:val="21"/>
          <w:highlight w:val="none"/>
        </w:rPr>
        <w:t xml:space="preserve">1.2 </w:t>
      </w:r>
      <w:r>
        <w:rPr>
          <w:rFonts w:hint="eastAsia" w:ascii="仿宋_GB2312" w:hAnsi="宋体" w:eastAsia="仿宋_GB2312"/>
          <w:color w:val="auto"/>
          <w:szCs w:val="21"/>
          <w:highlight w:val="none"/>
        </w:rPr>
        <w:t>解释</w:t>
      </w:r>
    </w:p>
    <w:p w14:paraId="6858EC7F">
      <w:pPr>
        <w:tabs>
          <w:tab w:val="left" w:pos="6140"/>
        </w:tabs>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1.2.1</w:t>
      </w:r>
      <w:r>
        <w:rPr>
          <w:rFonts w:hint="eastAsia" w:ascii="仿宋_GB2312" w:hAnsi="宋体" w:eastAsia="仿宋_GB2312"/>
          <w:color w:val="auto"/>
          <w:szCs w:val="21"/>
          <w:highlight w:val="none"/>
        </w:rPr>
        <w:t>本合同使用中文书写、解释和说明。如专用条件约定使用两种及以上语言文字时，应以中文为准。</w:t>
      </w:r>
    </w:p>
    <w:p w14:paraId="334D575F">
      <w:pPr>
        <w:tabs>
          <w:tab w:val="left" w:pos="6140"/>
        </w:tabs>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1.2.2 </w:t>
      </w:r>
      <w:r>
        <w:rPr>
          <w:rFonts w:hint="eastAsia" w:ascii="仿宋_GB2312" w:hAnsi="宋体" w:eastAsia="仿宋_GB2312"/>
          <w:color w:val="auto"/>
          <w:szCs w:val="21"/>
          <w:highlight w:val="none"/>
        </w:rPr>
        <w:t>组成本合同的下列文件彼此应能相互解释、互为说明。除专用条件另有约定外，本合同文件的解释顺序如下：</w:t>
      </w:r>
    </w:p>
    <w:p w14:paraId="7AA69E1B">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1</w:t>
      </w:r>
      <w:r>
        <w:rPr>
          <w:rFonts w:hint="eastAsia" w:ascii="仿宋_GB2312" w:hAnsi="宋体" w:eastAsia="仿宋_GB2312"/>
          <w:color w:val="auto"/>
          <w:szCs w:val="21"/>
          <w:highlight w:val="none"/>
        </w:rPr>
        <w:t>）协议书；</w:t>
      </w:r>
    </w:p>
    <w:p w14:paraId="7FF17B81">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2</w:t>
      </w:r>
      <w:r>
        <w:rPr>
          <w:rFonts w:hint="eastAsia" w:ascii="仿宋_GB2312" w:hAnsi="宋体" w:eastAsia="仿宋_GB2312"/>
          <w:color w:val="auto"/>
          <w:szCs w:val="21"/>
          <w:highlight w:val="none"/>
        </w:rPr>
        <w:t>）</w:t>
      </w:r>
      <w:r>
        <w:rPr>
          <w:rFonts w:hint="eastAsia" w:ascii="仿宋_GB2312" w:hAnsi="宋体" w:eastAsia="仿宋_GB2312"/>
          <w:color w:val="auto"/>
          <w:szCs w:val="21"/>
          <w:highlight w:val="none"/>
          <w:lang w:eastAsia="zh-CN"/>
        </w:rPr>
        <w:t>成交通知书</w:t>
      </w:r>
      <w:r>
        <w:rPr>
          <w:rFonts w:hint="eastAsia" w:ascii="仿宋_GB2312" w:hAnsi="宋体" w:eastAsia="仿宋_GB2312"/>
          <w:color w:val="auto"/>
          <w:szCs w:val="21"/>
          <w:highlight w:val="none"/>
        </w:rPr>
        <w:t>；</w:t>
      </w:r>
    </w:p>
    <w:p w14:paraId="7108433A">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（3）专用条件及附录</w:t>
      </w:r>
      <w:r>
        <w:rPr>
          <w:rFonts w:hint="eastAsia" w:ascii="仿宋_GB2312" w:eastAsia="仿宋_GB2312"/>
          <w:color w:val="auto"/>
          <w:szCs w:val="21"/>
          <w:highlight w:val="none"/>
        </w:rPr>
        <w:t>A</w:t>
      </w:r>
      <w:r>
        <w:rPr>
          <w:rFonts w:hint="eastAsia" w:ascii="仿宋_GB2312" w:hAnsi="宋体" w:eastAsia="仿宋_GB2312"/>
          <w:color w:val="auto"/>
          <w:szCs w:val="21"/>
          <w:highlight w:val="none"/>
        </w:rPr>
        <w:t>、附录</w:t>
      </w:r>
      <w:r>
        <w:rPr>
          <w:rFonts w:hint="eastAsia" w:ascii="仿宋_GB2312" w:eastAsia="仿宋_GB2312"/>
          <w:color w:val="auto"/>
          <w:szCs w:val="21"/>
          <w:highlight w:val="none"/>
        </w:rPr>
        <w:t>B</w:t>
      </w:r>
      <w:r>
        <w:rPr>
          <w:rFonts w:hint="eastAsia" w:ascii="仿宋_GB2312" w:hAnsi="宋体" w:eastAsia="仿宋_GB2312"/>
          <w:color w:val="auto"/>
          <w:szCs w:val="21"/>
          <w:highlight w:val="none"/>
        </w:rPr>
        <w:t>；</w:t>
      </w:r>
    </w:p>
    <w:p w14:paraId="64035CBC">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4</w:t>
      </w:r>
      <w:r>
        <w:rPr>
          <w:rFonts w:hint="eastAsia" w:ascii="仿宋_GB2312" w:hAnsi="宋体" w:eastAsia="仿宋_GB2312"/>
          <w:color w:val="auto"/>
          <w:szCs w:val="21"/>
          <w:highlight w:val="none"/>
        </w:rPr>
        <w:t>）通用条件；</w:t>
      </w:r>
    </w:p>
    <w:p w14:paraId="54085C28">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（5）</w:t>
      </w:r>
      <w:r>
        <w:rPr>
          <w:rFonts w:hint="eastAsia" w:ascii="仿宋_GB2312" w:hAnsi="宋体" w:eastAsia="仿宋_GB2312"/>
          <w:color w:val="auto"/>
          <w:szCs w:val="21"/>
          <w:highlight w:val="none"/>
          <w:lang w:eastAsia="zh-CN"/>
        </w:rPr>
        <w:t>响应文件</w:t>
      </w:r>
      <w:r>
        <w:rPr>
          <w:rFonts w:hint="eastAsia" w:ascii="仿宋_GB2312" w:hAnsi="宋体" w:eastAsia="仿宋_GB2312"/>
          <w:color w:val="auto"/>
          <w:szCs w:val="21"/>
          <w:highlight w:val="none"/>
        </w:rPr>
        <w:t>。</w:t>
      </w:r>
    </w:p>
    <w:p w14:paraId="73FCBAEA">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双方签订的补充协议与其他文件发生矛盾或歧义时，属于同一类内容的文件，应以最新签署的为准（违反</w:t>
      </w:r>
      <w:r>
        <w:rPr>
          <w:rFonts w:hint="eastAsia" w:ascii="仿宋_GB2312" w:hAnsi="宋体" w:eastAsia="仿宋_GB2312"/>
          <w:color w:val="auto"/>
          <w:szCs w:val="21"/>
          <w:highlight w:val="none"/>
          <w:lang w:eastAsia="zh-CN"/>
        </w:rPr>
        <w:t>采购文件</w:t>
      </w:r>
      <w:r>
        <w:rPr>
          <w:rFonts w:hint="eastAsia" w:ascii="仿宋_GB2312" w:hAnsi="宋体" w:eastAsia="仿宋_GB2312"/>
          <w:color w:val="auto"/>
          <w:szCs w:val="21"/>
          <w:highlight w:val="none"/>
        </w:rPr>
        <w:t>实质性内容的约定除外）。</w:t>
      </w:r>
    </w:p>
    <w:p w14:paraId="2F841A56">
      <w:pPr>
        <w:spacing w:line="360" w:lineRule="auto"/>
        <w:outlineLvl w:val="9"/>
        <w:rPr>
          <w:rFonts w:hint="eastAsia" w:ascii="仿宋_GB2312" w:hAnsi="黑体" w:eastAsia="仿宋_GB2312"/>
          <w:b/>
          <w:color w:val="auto"/>
          <w:szCs w:val="21"/>
          <w:highlight w:val="none"/>
        </w:rPr>
      </w:pPr>
      <w:bookmarkStart w:id="297" w:name="_Toc36049307"/>
      <w:r>
        <w:rPr>
          <w:rFonts w:hint="eastAsia" w:ascii="仿宋_GB2312" w:hAnsi="黑体" w:eastAsia="仿宋_GB2312"/>
          <w:b/>
          <w:color w:val="auto"/>
          <w:szCs w:val="21"/>
          <w:highlight w:val="none"/>
        </w:rPr>
        <w:t>2. 乙方义务</w:t>
      </w:r>
      <w:bookmarkEnd w:id="297"/>
    </w:p>
    <w:p w14:paraId="0234E154">
      <w:pPr>
        <w:adjustRightInd w:val="0"/>
        <w:snapToGrid w:val="0"/>
        <w:spacing w:line="360" w:lineRule="auto"/>
        <w:ind w:left="210" w:left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2.1 </w:t>
      </w:r>
      <w:r>
        <w:rPr>
          <w:rFonts w:hint="eastAsia" w:ascii="仿宋_GB2312" w:hAnsi="宋体" w:eastAsia="仿宋_GB2312"/>
          <w:color w:val="auto"/>
          <w:szCs w:val="21"/>
          <w:highlight w:val="none"/>
        </w:rPr>
        <w:t>乙方的工作范围和内容</w:t>
      </w:r>
    </w:p>
    <w:p w14:paraId="7C584780">
      <w:pPr>
        <w:adjustRightInd w:val="0"/>
        <w:snapToGrid w:val="0"/>
        <w:spacing w:line="360" w:lineRule="auto"/>
        <w:ind w:left="420" w:left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2.1.1 乙方工作范围和内容在专用条件中约定。</w:t>
      </w:r>
    </w:p>
    <w:p w14:paraId="6DEBA7ED">
      <w:pPr>
        <w:adjustRightInd w:val="0"/>
        <w:snapToGrid w:val="0"/>
        <w:spacing w:line="360" w:lineRule="auto"/>
        <w:ind w:left="420" w:left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2.1.2相关服务的范围和内容在附录</w:t>
      </w:r>
      <w:r>
        <w:rPr>
          <w:rFonts w:hint="eastAsia" w:ascii="仿宋_GB2312" w:eastAsia="仿宋_GB2312"/>
          <w:color w:val="auto"/>
          <w:szCs w:val="21"/>
          <w:highlight w:val="none"/>
        </w:rPr>
        <w:t>A</w:t>
      </w:r>
      <w:r>
        <w:rPr>
          <w:rFonts w:hint="eastAsia" w:ascii="仿宋_GB2312" w:hAnsi="宋体" w:eastAsia="仿宋_GB2312"/>
          <w:color w:val="auto"/>
          <w:szCs w:val="21"/>
          <w:highlight w:val="none"/>
        </w:rPr>
        <w:t>中约定。</w:t>
      </w:r>
    </w:p>
    <w:p w14:paraId="42DA34EA">
      <w:pPr>
        <w:spacing w:line="360" w:lineRule="auto"/>
        <w:ind w:firstLine="105" w:firstLineChars="50"/>
        <w:outlineLvl w:val="9"/>
        <w:rPr>
          <w:rFonts w:hint="eastAsia" w:ascii="仿宋_GB2312" w:hAnsi="宋体" w:eastAsia="仿宋_GB2312"/>
          <w:bCs/>
          <w:color w:val="auto"/>
          <w:szCs w:val="21"/>
          <w:highlight w:val="none"/>
        </w:rPr>
      </w:pPr>
      <w:bookmarkStart w:id="298" w:name="_Toc36049308"/>
      <w:r>
        <w:rPr>
          <w:rFonts w:hint="eastAsia" w:ascii="仿宋_GB2312" w:eastAsia="仿宋_GB2312"/>
          <w:color w:val="auto"/>
          <w:szCs w:val="21"/>
          <w:highlight w:val="none"/>
        </w:rPr>
        <w:t xml:space="preserve">2.2 </w:t>
      </w:r>
      <w:r>
        <w:rPr>
          <w:rFonts w:hint="eastAsia" w:ascii="仿宋_GB2312" w:hAnsi="宋体" w:eastAsia="仿宋_GB2312"/>
          <w:bCs/>
          <w:color w:val="auto"/>
          <w:szCs w:val="21"/>
          <w:highlight w:val="none"/>
        </w:rPr>
        <w:t>工程质量检测与相关服务依据</w:t>
      </w:r>
      <w:bookmarkEnd w:id="298"/>
    </w:p>
    <w:p w14:paraId="3AD8CBF8">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2.2.1</w:t>
      </w:r>
      <w:r>
        <w:rPr>
          <w:rFonts w:hint="eastAsia" w:ascii="仿宋_GB2312" w:hAnsi="宋体" w:eastAsia="仿宋_GB2312"/>
          <w:bCs/>
          <w:color w:val="auto"/>
          <w:szCs w:val="21"/>
          <w:highlight w:val="none"/>
        </w:rPr>
        <w:t>工程质量检测</w:t>
      </w:r>
      <w:r>
        <w:rPr>
          <w:rFonts w:hint="eastAsia" w:ascii="仿宋_GB2312" w:hAnsi="宋体" w:eastAsia="仿宋_GB2312"/>
          <w:color w:val="auto"/>
          <w:szCs w:val="21"/>
          <w:highlight w:val="none"/>
        </w:rPr>
        <w:t>依据包括：</w:t>
      </w:r>
    </w:p>
    <w:p w14:paraId="15A7C196">
      <w:pPr>
        <w:adjustRightInd w:val="0"/>
        <w:snapToGrid w:val="0"/>
        <w:spacing w:line="360" w:lineRule="auto"/>
        <w:ind w:firstLine="525" w:firstLineChars="25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1</w:t>
      </w:r>
      <w:r>
        <w:rPr>
          <w:rFonts w:hint="eastAsia" w:ascii="仿宋_GB2312" w:hAnsi="宋体" w:eastAsia="仿宋_GB2312"/>
          <w:color w:val="auto"/>
          <w:szCs w:val="21"/>
          <w:highlight w:val="none"/>
        </w:rPr>
        <w:t>）适用的法律、行政法规及部门规章；</w:t>
      </w:r>
    </w:p>
    <w:p w14:paraId="73972588">
      <w:pPr>
        <w:adjustRightInd w:val="0"/>
        <w:snapToGrid w:val="0"/>
        <w:spacing w:line="360" w:lineRule="auto"/>
        <w:ind w:firstLine="525" w:firstLineChars="25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2</w:t>
      </w:r>
      <w:r>
        <w:rPr>
          <w:rFonts w:hint="eastAsia" w:ascii="仿宋_GB2312" w:hAnsi="宋体" w:eastAsia="仿宋_GB2312"/>
          <w:color w:val="auto"/>
          <w:szCs w:val="21"/>
          <w:highlight w:val="none"/>
        </w:rPr>
        <w:t>）与工程有关的标准；</w:t>
      </w:r>
    </w:p>
    <w:p w14:paraId="5C4C1A66">
      <w:pPr>
        <w:adjustRightInd w:val="0"/>
        <w:snapToGrid w:val="0"/>
        <w:spacing w:line="360" w:lineRule="auto"/>
        <w:ind w:firstLine="525" w:firstLineChars="25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（3）工程设计及有关文件；</w:t>
      </w:r>
    </w:p>
    <w:p w14:paraId="1BF3A9A3">
      <w:pPr>
        <w:adjustRightInd w:val="0"/>
        <w:snapToGrid w:val="0"/>
        <w:spacing w:line="360" w:lineRule="auto"/>
        <w:ind w:firstLine="525" w:firstLineChars="25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4</w:t>
      </w:r>
      <w:r>
        <w:rPr>
          <w:rFonts w:hint="eastAsia" w:ascii="仿宋_GB2312" w:hAnsi="宋体" w:eastAsia="仿宋_GB2312"/>
          <w:color w:val="auto"/>
          <w:szCs w:val="21"/>
          <w:highlight w:val="none"/>
        </w:rPr>
        <w:t>）本合同及委托方与第三方签订的与实施工程有关的其他合同。</w:t>
      </w:r>
    </w:p>
    <w:p w14:paraId="4BAFFECF">
      <w:pPr>
        <w:spacing w:line="360" w:lineRule="auto"/>
        <w:ind w:left="210" w:leftChars="100"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bCs/>
          <w:color w:val="auto"/>
          <w:szCs w:val="21"/>
          <w:highlight w:val="none"/>
        </w:rPr>
        <w:t>双方根据工程的行业和地域特点，在专用条件中具体约定工程质量检测依据。</w:t>
      </w:r>
    </w:p>
    <w:p w14:paraId="6FA58C76">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2.2.2 相关服务依据在专用条件中约定。</w:t>
      </w:r>
    </w:p>
    <w:p w14:paraId="3488920C">
      <w:pPr>
        <w:spacing w:line="360" w:lineRule="auto"/>
        <w:ind w:firstLine="210" w:firstLineChars="10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2.3 </w:t>
      </w:r>
      <w:r>
        <w:rPr>
          <w:rFonts w:hint="eastAsia" w:ascii="仿宋_GB2312" w:hAnsi="宋体" w:eastAsia="仿宋_GB2312" w:cs="宋体"/>
          <w:color w:val="auto"/>
          <w:kern w:val="0"/>
          <w:szCs w:val="21"/>
          <w:highlight w:val="none"/>
        </w:rPr>
        <w:t>项目组成员</w:t>
      </w:r>
    </w:p>
    <w:p w14:paraId="37CA50E9">
      <w:pPr>
        <w:adjustRightInd w:val="0"/>
        <w:snapToGrid w:val="0"/>
        <w:spacing w:line="360" w:lineRule="auto"/>
        <w:ind w:firstLine="645"/>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 xml:space="preserve">2.3.1 </w:t>
      </w:r>
      <w:r>
        <w:rPr>
          <w:rFonts w:hint="eastAsia" w:ascii="仿宋_GB2312" w:hAnsi="宋体" w:eastAsia="仿宋_GB2312"/>
          <w:color w:val="auto"/>
          <w:kern w:val="0"/>
          <w:szCs w:val="21"/>
          <w:highlight w:val="none"/>
        </w:rPr>
        <w:t>乙方应组建满足工作需要的项目组，配备必要的检测设备。项目组的主要人员应具有相应的资格条件。</w:t>
      </w:r>
    </w:p>
    <w:p w14:paraId="1E97358F">
      <w:pPr>
        <w:adjustRightInd w:val="0"/>
        <w:snapToGrid w:val="0"/>
        <w:spacing w:line="360" w:lineRule="auto"/>
        <w:ind w:firstLine="645"/>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2.3.2</w:t>
      </w:r>
      <w:r>
        <w:rPr>
          <w:rFonts w:hint="eastAsia" w:ascii="仿宋_GB2312" w:hAnsi="宋体" w:eastAsia="仿宋_GB2312"/>
          <w:color w:val="auto"/>
          <w:kern w:val="0"/>
          <w:szCs w:val="21"/>
          <w:highlight w:val="none"/>
        </w:rPr>
        <w:t>本合同履行过程中，项目负责人及重要岗位检测人员应保持相对稳定，以保证工程质量检测工作正常进行。</w:t>
      </w:r>
    </w:p>
    <w:p w14:paraId="416F99FC">
      <w:pPr>
        <w:adjustRightInd w:val="0"/>
        <w:snapToGrid w:val="0"/>
        <w:spacing w:line="360" w:lineRule="auto"/>
        <w:ind w:firstLine="645"/>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2.3.3</w:t>
      </w:r>
      <w:r>
        <w:rPr>
          <w:rFonts w:hint="eastAsia" w:ascii="仿宋_GB2312" w:hAnsi="宋体" w:eastAsia="仿宋_GB2312"/>
          <w:color w:val="auto"/>
          <w:kern w:val="0"/>
          <w:szCs w:val="21"/>
          <w:highlight w:val="none"/>
        </w:rPr>
        <w:t>乙方可根据工程进展和工作需要调整项目组人员。乙方更换项目组人员时，应以相当资格与能力的人员替换，乙方更换项目组其他检测人员，并通知委托方。</w:t>
      </w:r>
    </w:p>
    <w:p w14:paraId="3547E2A1">
      <w:pPr>
        <w:adjustRightInd w:val="0"/>
        <w:snapToGrid w:val="0"/>
        <w:spacing w:line="360" w:lineRule="auto"/>
        <w:ind w:firstLine="645"/>
        <w:outlineLvl w:val="9"/>
        <w:rPr>
          <w:rFonts w:hint="eastAsia" w:ascii="仿宋_GB2312" w:eastAsia="仿宋_GB2312"/>
          <w:color w:val="auto"/>
          <w:kern w:val="0"/>
          <w:szCs w:val="21"/>
          <w:highlight w:val="none"/>
        </w:rPr>
      </w:pPr>
      <w:r>
        <w:rPr>
          <w:rFonts w:hint="eastAsia" w:ascii="仿宋_GB2312" w:eastAsia="仿宋_GB2312"/>
          <w:color w:val="auto"/>
          <w:kern w:val="0"/>
          <w:szCs w:val="21"/>
          <w:highlight w:val="none"/>
        </w:rPr>
        <w:t xml:space="preserve">2.3.4 </w:t>
      </w:r>
      <w:r>
        <w:rPr>
          <w:rFonts w:hint="eastAsia" w:ascii="仿宋_GB2312" w:hAnsi="宋体" w:eastAsia="仿宋_GB2312"/>
          <w:color w:val="auto"/>
          <w:kern w:val="0"/>
          <w:szCs w:val="21"/>
          <w:highlight w:val="none"/>
        </w:rPr>
        <w:t>乙方应及时更换有下列情形之一的检测人员：</w:t>
      </w:r>
    </w:p>
    <w:p w14:paraId="1848938B">
      <w:pPr>
        <w:adjustRightInd w:val="0"/>
        <w:snapToGrid w:val="0"/>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1</w:t>
      </w:r>
      <w:r>
        <w:rPr>
          <w:rFonts w:hint="eastAsia" w:ascii="仿宋_GB2312" w:hAnsi="宋体" w:eastAsia="仿宋_GB2312"/>
          <w:color w:val="auto"/>
          <w:kern w:val="0"/>
          <w:szCs w:val="21"/>
          <w:highlight w:val="none"/>
        </w:rPr>
        <w:t>）严重过失行为的；</w:t>
      </w:r>
    </w:p>
    <w:p w14:paraId="1EB90FEE">
      <w:pPr>
        <w:adjustRightInd w:val="0"/>
        <w:snapToGrid w:val="0"/>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2</w:t>
      </w:r>
      <w:r>
        <w:rPr>
          <w:rFonts w:hint="eastAsia" w:ascii="仿宋_GB2312" w:hAnsi="宋体" w:eastAsia="仿宋_GB2312"/>
          <w:color w:val="auto"/>
          <w:kern w:val="0"/>
          <w:szCs w:val="21"/>
          <w:highlight w:val="none"/>
        </w:rPr>
        <w:t>）有违法行为不能履行职责的；</w:t>
      </w:r>
    </w:p>
    <w:p w14:paraId="3B7F476E">
      <w:pPr>
        <w:adjustRightInd w:val="0"/>
        <w:snapToGrid w:val="0"/>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3</w:t>
      </w:r>
      <w:r>
        <w:rPr>
          <w:rFonts w:hint="eastAsia" w:ascii="仿宋_GB2312" w:hAnsi="宋体" w:eastAsia="仿宋_GB2312"/>
          <w:color w:val="auto"/>
          <w:kern w:val="0"/>
          <w:szCs w:val="21"/>
          <w:highlight w:val="none"/>
        </w:rPr>
        <w:t>）涉嫌犯罪的；</w:t>
      </w:r>
    </w:p>
    <w:p w14:paraId="39A77E76">
      <w:pPr>
        <w:adjustRightInd w:val="0"/>
        <w:snapToGrid w:val="0"/>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4</w:t>
      </w:r>
      <w:r>
        <w:rPr>
          <w:rFonts w:hint="eastAsia" w:ascii="仿宋_GB2312" w:hAnsi="宋体" w:eastAsia="仿宋_GB2312"/>
          <w:color w:val="auto"/>
          <w:kern w:val="0"/>
          <w:szCs w:val="21"/>
          <w:highlight w:val="none"/>
        </w:rPr>
        <w:t>）不能胜任岗位职责的；</w:t>
      </w:r>
    </w:p>
    <w:p w14:paraId="73F3D0D4">
      <w:pPr>
        <w:adjustRightInd w:val="0"/>
        <w:snapToGrid w:val="0"/>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5</w:t>
      </w:r>
      <w:r>
        <w:rPr>
          <w:rFonts w:hint="eastAsia" w:ascii="仿宋_GB2312" w:hAnsi="宋体" w:eastAsia="仿宋_GB2312"/>
          <w:color w:val="auto"/>
          <w:kern w:val="0"/>
          <w:szCs w:val="21"/>
          <w:highlight w:val="none"/>
        </w:rPr>
        <w:t>）严重违反职业道德的；</w:t>
      </w:r>
    </w:p>
    <w:p w14:paraId="647D7627">
      <w:pPr>
        <w:tabs>
          <w:tab w:val="left" w:pos="420"/>
        </w:tabs>
        <w:adjustRightInd w:val="0"/>
        <w:snapToGrid w:val="0"/>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6</w:t>
      </w:r>
      <w:r>
        <w:rPr>
          <w:rFonts w:hint="eastAsia" w:ascii="仿宋_GB2312" w:hAnsi="宋体" w:eastAsia="仿宋_GB2312"/>
          <w:color w:val="auto"/>
          <w:kern w:val="0"/>
          <w:szCs w:val="21"/>
          <w:highlight w:val="none"/>
        </w:rPr>
        <w:t>）专用条件约定的其他情形。</w:t>
      </w:r>
    </w:p>
    <w:p w14:paraId="2CFB58D1">
      <w:pPr>
        <w:tabs>
          <w:tab w:val="left" w:pos="420"/>
        </w:tabs>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eastAsia="仿宋_GB2312"/>
          <w:color w:val="auto"/>
          <w:kern w:val="0"/>
          <w:szCs w:val="21"/>
          <w:highlight w:val="none"/>
        </w:rPr>
        <w:t xml:space="preserve">  2.3.5 甲方可要求乙方更换不能</w:t>
      </w:r>
      <w:r>
        <w:rPr>
          <w:rFonts w:hint="eastAsia" w:ascii="仿宋_GB2312" w:hAnsi="宋体" w:eastAsia="仿宋_GB2312"/>
          <w:color w:val="auto"/>
          <w:kern w:val="0"/>
          <w:szCs w:val="21"/>
          <w:highlight w:val="none"/>
        </w:rPr>
        <w:t>胜任本职工作</w:t>
      </w:r>
      <w:r>
        <w:rPr>
          <w:rFonts w:hint="eastAsia" w:ascii="仿宋_GB2312" w:eastAsia="仿宋_GB2312"/>
          <w:color w:val="auto"/>
          <w:kern w:val="0"/>
          <w:szCs w:val="21"/>
          <w:highlight w:val="none"/>
        </w:rPr>
        <w:t>的</w:t>
      </w:r>
      <w:r>
        <w:rPr>
          <w:rFonts w:hint="eastAsia" w:ascii="仿宋_GB2312" w:hAnsi="宋体" w:eastAsia="仿宋_GB2312"/>
          <w:color w:val="auto"/>
          <w:kern w:val="0"/>
          <w:szCs w:val="21"/>
          <w:highlight w:val="none"/>
        </w:rPr>
        <w:t>项目组工程质量检测</w:t>
      </w:r>
      <w:r>
        <w:rPr>
          <w:rFonts w:hint="eastAsia" w:ascii="仿宋_GB2312" w:eastAsia="仿宋_GB2312"/>
          <w:color w:val="auto"/>
          <w:kern w:val="0"/>
          <w:szCs w:val="21"/>
          <w:highlight w:val="none"/>
        </w:rPr>
        <w:t>人员。</w:t>
      </w:r>
    </w:p>
    <w:p w14:paraId="1FD8FCF7">
      <w:pPr>
        <w:spacing w:line="360" w:lineRule="auto"/>
        <w:ind w:left="210" w:leftChars="10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2.4 </w:t>
      </w:r>
      <w:r>
        <w:rPr>
          <w:rFonts w:hint="eastAsia" w:ascii="仿宋_GB2312" w:hAnsi="宋体" w:eastAsia="仿宋_GB2312" w:cs="宋体"/>
          <w:color w:val="auto"/>
          <w:kern w:val="0"/>
          <w:szCs w:val="21"/>
          <w:highlight w:val="none"/>
        </w:rPr>
        <w:t>履行职责</w:t>
      </w:r>
    </w:p>
    <w:p w14:paraId="4EF4C769">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kern w:val="0"/>
          <w:szCs w:val="21"/>
          <w:highlight w:val="none"/>
        </w:rPr>
        <w:t>乙方应遵循职业道德准则和行为规范，严格按照法律法规、工程建设有关标准及本合同履行职责。</w:t>
      </w:r>
    </w:p>
    <w:p w14:paraId="5C1E8F8A">
      <w:pPr>
        <w:adjustRightInd w:val="0"/>
        <w:snapToGrid w:val="0"/>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 xml:space="preserve"> 2.4.1 </w:t>
      </w:r>
      <w:r>
        <w:rPr>
          <w:rFonts w:hint="eastAsia" w:ascii="仿宋_GB2312" w:hAnsi="宋体" w:eastAsia="仿宋_GB2312"/>
          <w:color w:val="auto"/>
          <w:kern w:val="0"/>
          <w:szCs w:val="21"/>
          <w:highlight w:val="none"/>
        </w:rPr>
        <w:t>在工程质量检测与相关服务范围内，甲方提出的意见和要求，乙方应及时提出处置意见。</w:t>
      </w:r>
    </w:p>
    <w:p w14:paraId="64AA0A09">
      <w:pPr>
        <w:spacing w:line="360" w:lineRule="auto"/>
        <w:ind w:left="210" w:leftChars="10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2.5 提交</w:t>
      </w:r>
      <w:r>
        <w:rPr>
          <w:rFonts w:hint="eastAsia" w:ascii="仿宋_GB2312" w:hAnsi="宋体" w:eastAsia="仿宋_GB2312" w:cs="宋体"/>
          <w:color w:val="auto"/>
          <w:kern w:val="0"/>
          <w:szCs w:val="21"/>
          <w:highlight w:val="none"/>
        </w:rPr>
        <w:t>报告</w:t>
      </w:r>
    </w:p>
    <w:p w14:paraId="6D334C2A">
      <w:pPr>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乙方应按专用条件约定的种类、时间和份数向甲方提交工程质量检测与相关服务的报告。</w:t>
      </w:r>
    </w:p>
    <w:p w14:paraId="3A65E469">
      <w:pPr>
        <w:spacing w:line="360" w:lineRule="auto"/>
        <w:ind w:left="210" w:leftChars="100"/>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 xml:space="preserve">2.6 </w:t>
      </w:r>
      <w:r>
        <w:rPr>
          <w:rFonts w:hint="eastAsia" w:ascii="仿宋_GB2312" w:hAnsi="宋体" w:eastAsia="仿宋_GB2312"/>
          <w:color w:val="auto"/>
          <w:kern w:val="0"/>
          <w:szCs w:val="21"/>
          <w:highlight w:val="none"/>
        </w:rPr>
        <w:t>文件资料</w:t>
      </w:r>
    </w:p>
    <w:p w14:paraId="070C8F34">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kern w:val="0"/>
          <w:szCs w:val="21"/>
          <w:highlight w:val="none"/>
        </w:rPr>
        <w:t>在本合同履行期内，甲方应在现场保留工作所用的图纸、报告及记录等</w:t>
      </w:r>
      <w:r>
        <w:rPr>
          <w:rFonts w:hint="eastAsia" w:ascii="仿宋_GB2312" w:hAnsi="宋体" w:eastAsia="仿宋_GB2312"/>
          <w:color w:val="auto"/>
          <w:szCs w:val="21"/>
          <w:highlight w:val="none"/>
        </w:rPr>
        <w:t>相关文件。工程竣工后，应当按照档案管理规定将工程质量检测有关文件归档。</w:t>
      </w:r>
    </w:p>
    <w:p w14:paraId="7460C3E7">
      <w:pPr>
        <w:spacing w:line="360" w:lineRule="auto"/>
        <w:ind w:left="210" w:leftChars="10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2.7 </w:t>
      </w:r>
      <w:r>
        <w:rPr>
          <w:rFonts w:hint="eastAsia" w:ascii="仿宋_GB2312" w:hAnsi="宋体" w:eastAsia="仿宋_GB2312" w:cs="宋体"/>
          <w:color w:val="auto"/>
          <w:kern w:val="0"/>
          <w:szCs w:val="21"/>
          <w:highlight w:val="none"/>
        </w:rPr>
        <w:t>使用委托人的财产</w:t>
      </w:r>
    </w:p>
    <w:p w14:paraId="0378D5D8">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乙方无偿使用附录</w:t>
      </w:r>
      <w:r>
        <w:rPr>
          <w:rFonts w:hint="eastAsia" w:ascii="仿宋_GB2312" w:eastAsia="仿宋_GB2312"/>
          <w:color w:val="auto"/>
          <w:szCs w:val="21"/>
          <w:highlight w:val="none"/>
        </w:rPr>
        <w:t>B</w:t>
      </w:r>
      <w:r>
        <w:rPr>
          <w:rFonts w:hint="eastAsia" w:ascii="仿宋_GB2312" w:hAnsi="宋体" w:eastAsia="仿宋_GB2312"/>
          <w:color w:val="auto"/>
          <w:szCs w:val="21"/>
          <w:highlight w:val="none"/>
        </w:rPr>
        <w:t>中由甲方派遣的人员和提供的房屋、场地、资料、设备。除专用条件另有约定外，甲方提供的房屋、设备属于甲方的财产，乙方应妥善使用和保管，在本合同终止时将这些房屋、设备的清单提交甲方，并按专用条件约定的时间和方式移交。</w:t>
      </w:r>
    </w:p>
    <w:p w14:paraId="60407F43">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2.8 履约保证金</w:t>
      </w:r>
    </w:p>
    <w:p w14:paraId="0A2E5453">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在收到</w:t>
      </w:r>
      <w:r>
        <w:rPr>
          <w:rFonts w:hint="eastAsia" w:ascii="仿宋_GB2312" w:hAnsi="宋体" w:eastAsia="仿宋_GB2312"/>
          <w:color w:val="auto"/>
          <w:szCs w:val="21"/>
          <w:highlight w:val="none"/>
          <w:lang w:eastAsia="zh-CN"/>
        </w:rPr>
        <w:t>成交通知书</w:t>
      </w:r>
      <w:r>
        <w:rPr>
          <w:rFonts w:hint="eastAsia" w:ascii="仿宋_GB2312" w:hAnsi="宋体" w:eastAsia="仿宋_GB2312"/>
          <w:color w:val="auto"/>
          <w:szCs w:val="21"/>
          <w:highlight w:val="none"/>
        </w:rPr>
        <w:t>后，中标单位需按照专用条件约定的时间和金额向招标人提交履约保证金。</w:t>
      </w:r>
    </w:p>
    <w:p w14:paraId="0E092E99">
      <w:pPr>
        <w:spacing w:line="360" w:lineRule="auto"/>
        <w:outlineLvl w:val="9"/>
        <w:rPr>
          <w:rFonts w:hint="eastAsia" w:ascii="仿宋_GB2312" w:hAnsi="黑体" w:eastAsia="仿宋_GB2312"/>
          <w:b/>
          <w:color w:val="auto"/>
          <w:kern w:val="0"/>
          <w:szCs w:val="21"/>
          <w:highlight w:val="none"/>
        </w:rPr>
      </w:pPr>
      <w:bookmarkStart w:id="299" w:name="_Toc36049309"/>
      <w:r>
        <w:rPr>
          <w:rFonts w:hint="eastAsia" w:ascii="仿宋_GB2312" w:hAnsi="黑体" w:eastAsia="仿宋_GB2312"/>
          <w:b/>
          <w:color w:val="auto"/>
          <w:kern w:val="0"/>
          <w:szCs w:val="21"/>
          <w:highlight w:val="none"/>
          <w:lang w:eastAsia="zh-CN"/>
        </w:rPr>
        <w:t>3.</w:t>
      </w:r>
      <w:r>
        <w:rPr>
          <w:rFonts w:hint="eastAsia" w:ascii="仿宋_GB2312" w:hAnsi="黑体" w:eastAsia="仿宋_GB2312"/>
          <w:b/>
          <w:color w:val="auto"/>
          <w:kern w:val="0"/>
          <w:szCs w:val="21"/>
          <w:highlight w:val="none"/>
        </w:rPr>
        <w:t>甲方的义务</w:t>
      </w:r>
      <w:bookmarkEnd w:id="299"/>
    </w:p>
    <w:p w14:paraId="1E7B4EEE">
      <w:pPr>
        <w:spacing w:line="360" w:lineRule="auto"/>
        <w:ind w:firstLine="420" w:firstLineChars="20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3.1 </w:t>
      </w:r>
      <w:r>
        <w:rPr>
          <w:rFonts w:hint="eastAsia" w:ascii="仿宋_GB2312" w:hAnsi="宋体" w:eastAsia="仿宋_GB2312" w:cs="宋体"/>
          <w:color w:val="auto"/>
          <w:kern w:val="0"/>
          <w:szCs w:val="21"/>
          <w:highlight w:val="none"/>
        </w:rPr>
        <w:t>提供资料</w:t>
      </w:r>
    </w:p>
    <w:p w14:paraId="7A257039">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kern w:val="0"/>
          <w:szCs w:val="21"/>
          <w:highlight w:val="none"/>
        </w:rPr>
        <w:t>甲方应按照附录B约定，无偿向乙方提供工程有关的资料。</w:t>
      </w:r>
      <w:r>
        <w:rPr>
          <w:rFonts w:hint="eastAsia" w:ascii="仿宋_GB2312" w:hAnsi="宋体" w:eastAsia="仿宋_GB2312"/>
          <w:color w:val="auto"/>
          <w:szCs w:val="21"/>
          <w:highlight w:val="none"/>
        </w:rPr>
        <w:t>在本合同履行过程中，甲方应及时向乙方提供最新的与工程有关的资料。</w:t>
      </w:r>
    </w:p>
    <w:p w14:paraId="25AD5E06">
      <w:pPr>
        <w:spacing w:line="360" w:lineRule="auto"/>
        <w:ind w:left="210" w:leftChars="100" w:firstLine="315" w:firstLineChars="15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3.2 </w:t>
      </w:r>
      <w:r>
        <w:rPr>
          <w:rFonts w:hint="eastAsia" w:ascii="仿宋_GB2312" w:hAnsi="宋体" w:eastAsia="仿宋_GB2312" w:cs="宋体"/>
          <w:color w:val="auto"/>
          <w:kern w:val="0"/>
          <w:szCs w:val="21"/>
          <w:highlight w:val="none"/>
        </w:rPr>
        <w:t>提供工作条件</w:t>
      </w:r>
    </w:p>
    <w:p w14:paraId="180FE22A">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 xml:space="preserve"> 甲方应为乙方完成工程质量检测与相关服务提供必要的条件。</w:t>
      </w:r>
    </w:p>
    <w:p w14:paraId="35B8BFB0">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kern w:val="0"/>
          <w:szCs w:val="21"/>
          <w:highlight w:val="none"/>
        </w:rPr>
        <w:t xml:space="preserve"> 3.2.1 </w:t>
      </w:r>
      <w:r>
        <w:rPr>
          <w:rFonts w:hint="eastAsia" w:ascii="仿宋_GB2312" w:hAnsi="宋体" w:eastAsia="仿宋_GB2312"/>
          <w:color w:val="auto"/>
          <w:szCs w:val="21"/>
          <w:highlight w:val="none"/>
        </w:rPr>
        <w:t>甲方应按照附录</w:t>
      </w:r>
      <w:r>
        <w:rPr>
          <w:rFonts w:hint="eastAsia" w:ascii="仿宋_GB2312" w:eastAsia="仿宋_GB2312"/>
          <w:color w:val="auto"/>
          <w:szCs w:val="21"/>
          <w:highlight w:val="none"/>
        </w:rPr>
        <w:t>B</w:t>
      </w:r>
      <w:r>
        <w:rPr>
          <w:rFonts w:hint="eastAsia" w:ascii="仿宋_GB2312" w:hAnsi="宋体" w:eastAsia="仿宋_GB2312"/>
          <w:color w:val="auto"/>
          <w:szCs w:val="21"/>
          <w:highlight w:val="none"/>
        </w:rPr>
        <w:t>约定，派遣相应的人员，提供房屋、场地、设备，供乙方</w:t>
      </w:r>
      <w:r>
        <w:rPr>
          <w:rFonts w:hint="eastAsia" w:ascii="仿宋_GB2312" w:hAnsi="宋体" w:eastAsia="仿宋_GB2312"/>
          <w:color w:val="auto"/>
          <w:kern w:val="0"/>
          <w:szCs w:val="21"/>
          <w:highlight w:val="none"/>
        </w:rPr>
        <w:t>无偿</w:t>
      </w:r>
      <w:r>
        <w:rPr>
          <w:rFonts w:hint="eastAsia" w:ascii="仿宋_GB2312" w:hAnsi="宋体" w:eastAsia="仿宋_GB2312"/>
          <w:color w:val="auto"/>
          <w:szCs w:val="21"/>
          <w:highlight w:val="none"/>
        </w:rPr>
        <w:t>使用。</w:t>
      </w:r>
    </w:p>
    <w:p w14:paraId="180F6971">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kern w:val="0"/>
          <w:szCs w:val="21"/>
          <w:highlight w:val="none"/>
        </w:rPr>
        <w:t xml:space="preserve"> 3.2.2 </w:t>
      </w:r>
      <w:r>
        <w:rPr>
          <w:rFonts w:hint="eastAsia" w:ascii="仿宋_GB2312" w:hAnsi="宋体" w:eastAsia="仿宋_GB2312"/>
          <w:color w:val="auto"/>
          <w:szCs w:val="21"/>
          <w:highlight w:val="none"/>
        </w:rPr>
        <w:t>甲方应负责协调工程建设中所有外部关系，为乙方履行本合同提供必要的外部条件。</w:t>
      </w:r>
    </w:p>
    <w:p w14:paraId="69014804">
      <w:pPr>
        <w:snapToGrid w:val="0"/>
        <w:spacing w:line="360" w:lineRule="auto"/>
        <w:ind w:left="210" w:leftChars="100" w:firstLine="315" w:firstLineChars="15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3.3 </w:t>
      </w:r>
      <w:r>
        <w:rPr>
          <w:rFonts w:hint="eastAsia" w:ascii="仿宋_GB2312" w:hAnsi="宋体" w:eastAsia="仿宋_GB2312" w:cs="宋体"/>
          <w:color w:val="auto"/>
          <w:kern w:val="0"/>
          <w:szCs w:val="21"/>
          <w:highlight w:val="none"/>
        </w:rPr>
        <w:t>委托方代表</w:t>
      </w:r>
    </w:p>
    <w:p w14:paraId="1E515C68">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甲方应授权一名熟悉工程情况的代表，负责与乙方联系。甲方应在双方签订本合同后7天内，将甲方代表的姓名和职责书面告知乙方。当甲方更换甲方代表时，应及时通知（含书面）乙方。</w:t>
      </w:r>
    </w:p>
    <w:p w14:paraId="11DED33B">
      <w:pPr>
        <w:snapToGrid w:val="0"/>
        <w:spacing w:line="360" w:lineRule="auto"/>
        <w:ind w:left="210" w:leftChars="100" w:firstLine="315" w:firstLineChars="15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3.4</w:t>
      </w:r>
      <w:r>
        <w:rPr>
          <w:rFonts w:hint="eastAsia" w:ascii="仿宋_GB2312" w:hAnsi="宋体" w:eastAsia="仿宋_GB2312" w:cs="宋体"/>
          <w:color w:val="auto"/>
          <w:kern w:val="0"/>
          <w:szCs w:val="21"/>
          <w:highlight w:val="none"/>
        </w:rPr>
        <w:t>答复</w:t>
      </w:r>
    </w:p>
    <w:p w14:paraId="651BA04D">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甲方应在专用条件约定的时间内，对乙方以书面形式提交并要求作出决定的事宜，给予书面答复。逾期未答复的，视为委托人认可。</w:t>
      </w:r>
    </w:p>
    <w:p w14:paraId="7E32BF2E">
      <w:pPr>
        <w:snapToGrid w:val="0"/>
        <w:spacing w:line="360" w:lineRule="auto"/>
        <w:ind w:left="210" w:leftChars="100" w:firstLine="315" w:firstLineChars="15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3.5 </w:t>
      </w:r>
      <w:r>
        <w:rPr>
          <w:rFonts w:hint="eastAsia" w:ascii="仿宋_GB2312" w:hAnsi="宋体" w:eastAsia="仿宋_GB2312" w:cs="宋体"/>
          <w:color w:val="auto"/>
          <w:kern w:val="0"/>
          <w:szCs w:val="21"/>
          <w:highlight w:val="none"/>
        </w:rPr>
        <w:t>支付</w:t>
      </w:r>
    </w:p>
    <w:p w14:paraId="14597C87">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甲方应按本合同约定，向乙方支付酬金。</w:t>
      </w:r>
    </w:p>
    <w:p w14:paraId="3270977B">
      <w:pPr>
        <w:snapToGrid w:val="0"/>
        <w:spacing w:line="360" w:lineRule="auto"/>
        <w:ind w:firstLine="207" w:firstLineChars="98"/>
        <w:outlineLvl w:val="9"/>
        <w:rPr>
          <w:rFonts w:hint="eastAsia" w:ascii="仿宋_GB2312" w:hAnsi="黑体" w:eastAsia="仿宋_GB2312"/>
          <w:b/>
          <w:bCs/>
          <w:color w:val="auto"/>
          <w:szCs w:val="21"/>
          <w:highlight w:val="none"/>
        </w:rPr>
      </w:pPr>
      <w:r>
        <w:rPr>
          <w:rFonts w:hint="eastAsia" w:ascii="仿宋_GB2312" w:hAnsi="黑体" w:eastAsia="仿宋_GB2312"/>
          <w:b/>
          <w:bCs/>
          <w:color w:val="auto"/>
          <w:szCs w:val="21"/>
          <w:highlight w:val="none"/>
        </w:rPr>
        <w:t>4. 违约责任</w:t>
      </w:r>
    </w:p>
    <w:p w14:paraId="4C2C3ED7">
      <w:pPr>
        <w:spacing w:line="360" w:lineRule="auto"/>
        <w:ind w:left="210" w:leftChars="100" w:firstLine="315" w:firstLineChars="150"/>
        <w:outlineLvl w:val="9"/>
        <w:rPr>
          <w:rFonts w:hint="eastAsia" w:ascii="仿宋_GB2312" w:hAnsi="宋体" w:eastAsia="仿宋_GB2312" w:cs="宋体"/>
          <w:color w:val="auto"/>
          <w:kern w:val="0"/>
          <w:szCs w:val="21"/>
          <w:highlight w:val="none"/>
        </w:rPr>
      </w:pPr>
      <w:bookmarkStart w:id="300" w:name="_Toc36049310"/>
      <w:r>
        <w:rPr>
          <w:rFonts w:hint="eastAsia" w:ascii="仿宋_GB2312" w:eastAsia="仿宋_GB2312"/>
          <w:color w:val="auto"/>
          <w:kern w:val="0"/>
          <w:szCs w:val="21"/>
          <w:highlight w:val="none"/>
        </w:rPr>
        <w:t xml:space="preserve">4.1 </w:t>
      </w:r>
      <w:r>
        <w:rPr>
          <w:rFonts w:hint="eastAsia" w:ascii="仿宋_GB2312" w:hAnsi="宋体" w:eastAsia="仿宋_GB2312" w:cs="宋体"/>
          <w:color w:val="auto"/>
          <w:kern w:val="0"/>
          <w:szCs w:val="21"/>
          <w:highlight w:val="none"/>
        </w:rPr>
        <w:t>乙方的违约责任</w:t>
      </w:r>
      <w:bookmarkEnd w:id="300"/>
    </w:p>
    <w:p w14:paraId="2E98C31C">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kern w:val="0"/>
          <w:szCs w:val="21"/>
          <w:highlight w:val="none"/>
        </w:rPr>
        <w:t>乙方未履行本合同义务的，应承担相应的责任。</w:t>
      </w:r>
    </w:p>
    <w:p w14:paraId="481357D4">
      <w:pPr>
        <w:adjustRightInd w:val="0"/>
        <w:snapToGrid w:val="0"/>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eastAsia="仿宋_GB2312"/>
          <w:color w:val="auto"/>
          <w:kern w:val="0"/>
          <w:szCs w:val="21"/>
          <w:highlight w:val="none"/>
        </w:rPr>
        <w:t xml:space="preserve">4.1.1 </w:t>
      </w:r>
      <w:r>
        <w:rPr>
          <w:rFonts w:hint="eastAsia" w:ascii="仿宋_GB2312" w:hAnsi="宋体" w:eastAsia="仿宋_GB2312"/>
          <w:color w:val="auto"/>
          <w:kern w:val="0"/>
          <w:szCs w:val="21"/>
          <w:highlight w:val="none"/>
        </w:rPr>
        <w:t>因乙方</w:t>
      </w:r>
      <w:r>
        <w:rPr>
          <w:rFonts w:hint="eastAsia" w:ascii="仿宋_GB2312" w:hAnsi="宋体" w:eastAsia="仿宋_GB2312" w:cs="宋体"/>
          <w:color w:val="auto"/>
          <w:kern w:val="0"/>
          <w:szCs w:val="21"/>
          <w:highlight w:val="none"/>
        </w:rPr>
        <w:t>违反本合同约定</w:t>
      </w:r>
      <w:r>
        <w:rPr>
          <w:rFonts w:hint="eastAsia" w:ascii="仿宋_GB2312" w:hAnsi="宋体" w:eastAsia="仿宋_GB2312"/>
          <w:color w:val="auto"/>
          <w:szCs w:val="21"/>
          <w:highlight w:val="none"/>
        </w:rPr>
        <w:t>给委托方造成损失的，乙方应当赔偿委托方损失</w:t>
      </w:r>
      <w:r>
        <w:rPr>
          <w:rFonts w:hint="eastAsia" w:ascii="仿宋_GB2312" w:hAnsi="宋体" w:eastAsia="仿宋_GB2312"/>
          <w:color w:val="auto"/>
          <w:kern w:val="0"/>
          <w:szCs w:val="21"/>
          <w:highlight w:val="none"/>
        </w:rPr>
        <w:t>。赔偿金额的确定方法在专用条件中约定。</w:t>
      </w:r>
      <w:r>
        <w:rPr>
          <w:rFonts w:hint="eastAsia" w:ascii="仿宋_GB2312" w:eastAsia="仿宋_GB2312"/>
          <w:color w:val="auto"/>
          <w:kern w:val="0"/>
          <w:szCs w:val="21"/>
          <w:highlight w:val="none"/>
        </w:rPr>
        <w:t>乙方承担部分赔偿责任的，其承担赔偿金额由双方协商确定。</w:t>
      </w:r>
    </w:p>
    <w:p w14:paraId="0ADB1A99">
      <w:pPr>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 xml:space="preserve">4.1.2 </w:t>
      </w:r>
      <w:r>
        <w:rPr>
          <w:rFonts w:hint="eastAsia" w:ascii="仿宋_GB2312" w:hAnsi="宋体" w:eastAsia="仿宋_GB2312"/>
          <w:color w:val="auto"/>
          <w:kern w:val="0"/>
          <w:szCs w:val="21"/>
          <w:highlight w:val="none"/>
        </w:rPr>
        <w:t>乙方向甲方的索赔不成立时，乙方应赔偿委托方由此发生的费用。</w:t>
      </w:r>
    </w:p>
    <w:p w14:paraId="2E69A688">
      <w:pPr>
        <w:snapToGrid w:val="0"/>
        <w:spacing w:line="360" w:lineRule="auto"/>
        <w:ind w:firstLine="420" w:firstLineChars="200"/>
        <w:outlineLvl w:val="9"/>
        <w:rPr>
          <w:rFonts w:hint="eastAsia" w:ascii="仿宋_GB2312" w:hAnsi="宋体" w:eastAsia="仿宋_GB2312" w:cs="宋体"/>
          <w:color w:val="auto"/>
          <w:kern w:val="0"/>
          <w:szCs w:val="21"/>
          <w:highlight w:val="none"/>
        </w:rPr>
      </w:pPr>
      <w:bookmarkStart w:id="301" w:name="_Toc36049311"/>
      <w:r>
        <w:rPr>
          <w:rFonts w:hint="eastAsia" w:ascii="仿宋_GB2312" w:eastAsia="仿宋_GB2312"/>
          <w:color w:val="auto"/>
          <w:kern w:val="0"/>
          <w:szCs w:val="21"/>
          <w:highlight w:val="none"/>
        </w:rPr>
        <w:t>4.2 甲方</w:t>
      </w:r>
      <w:r>
        <w:rPr>
          <w:rFonts w:hint="eastAsia" w:ascii="仿宋_GB2312" w:hAnsi="宋体" w:eastAsia="仿宋_GB2312" w:cs="宋体"/>
          <w:color w:val="auto"/>
          <w:kern w:val="0"/>
          <w:szCs w:val="21"/>
          <w:highlight w:val="none"/>
        </w:rPr>
        <w:t>的违约责任</w:t>
      </w:r>
      <w:bookmarkEnd w:id="301"/>
    </w:p>
    <w:p w14:paraId="2F88D732">
      <w:pPr>
        <w:adjustRightInd w:val="0"/>
        <w:snapToGrid w:val="0"/>
        <w:spacing w:line="360" w:lineRule="auto"/>
        <w:ind w:firstLine="420" w:firstLineChars="200"/>
        <w:outlineLvl w:val="9"/>
        <w:rPr>
          <w:rFonts w:hint="eastAsia" w:ascii="仿宋_GB2312" w:hAnsi="宋体" w:eastAsia="仿宋_GB2312" w:cs="宋体"/>
          <w:color w:val="auto"/>
          <w:kern w:val="0"/>
          <w:szCs w:val="21"/>
          <w:highlight w:val="none"/>
        </w:rPr>
      </w:pPr>
      <w:r>
        <w:rPr>
          <w:rFonts w:hint="eastAsia" w:ascii="仿宋_GB2312" w:hAnsi="宋体" w:eastAsia="仿宋_GB2312"/>
          <w:color w:val="auto"/>
          <w:kern w:val="0"/>
          <w:szCs w:val="21"/>
          <w:highlight w:val="none"/>
        </w:rPr>
        <w:t>甲方未履行本合同义务的，应承担相应的责任。</w:t>
      </w:r>
    </w:p>
    <w:p w14:paraId="72EA5922">
      <w:pPr>
        <w:adjustRightInd w:val="0"/>
        <w:snapToGrid w:val="0"/>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 xml:space="preserve">4.2.1 </w:t>
      </w:r>
      <w:r>
        <w:rPr>
          <w:rFonts w:hint="eastAsia" w:ascii="仿宋_GB2312" w:hAnsi="宋体" w:eastAsia="仿宋_GB2312"/>
          <w:color w:val="auto"/>
          <w:kern w:val="0"/>
          <w:szCs w:val="21"/>
          <w:highlight w:val="none"/>
        </w:rPr>
        <w:t>甲方违反本合同约定造成乙方损失的，甲方应予以赔偿。</w:t>
      </w:r>
    </w:p>
    <w:p w14:paraId="77A984F2">
      <w:pPr>
        <w:adjustRightInd w:val="0"/>
        <w:snapToGrid w:val="0"/>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eastAsia="仿宋_GB2312"/>
          <w:color w:val="auto"/>
          <w:kern w:val="0"/>
          <w:szCs w:val="21"/>
          <w:highlight w:val="none"/>
        </w:rPr>
        <w:t xml:space="preserve">4.2.2 </w:t>
      </w:r>
      <w:r>
        <w:rPr>
          <w:rFonts w:hint="eastAsia" w:ascii="仿宋_GB2312" w:hAnsi="宋体" w:eastAsia="仿宋_GB2312"/>
          <w:color w:val="auto"/>
          <w:kern w:val="0"/>
          <w:szCs w:val="21"/>
          <w:highlight w:val="none"/>
        </w:rPr>
        <w:t>甲方向乙方的索赔不成立时，甲方应赔偿乙方由此引起的费用。</w:t>
      </w:r>
    </w:p>
    <w:p w14:paraId="47BB7F1C">
      <w:pPr>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eastAsia="仿宋_GB2312"/>
          <w:color w:val="auto"/>
          <w:szCs w:val="21"/>
          <w:highlight w:val="none"/>
        </w:rPr>
        <w:t xml:space="preserve">4.2.3 </w:t>
      </w:r>
      <w:r>
        <w:rPr>
          <w:rFonts w:hint="eastAsia" w:ascii="仿宋_GB2312" w:hAnsi="宋体" w:eastAsia="仿宋_GB2312"/>
          <w:color w:val="auto"/>
          <w:kern w:val="0"/>
          <w:szCs w:val="21"/>
          <w:highlight w:val="none"/>
        </w:rPr>
        <w:t>甲方未能按期支付</w:t>
      </w:r>
      <w:r>
        <w:rPr>
          <w:rFonts w:hint="eastAsia" w:ascii="仿宋_GB2312" w:hAnsi="宋体" w:eastAsia="仿宋_GB2312"/>
          <w:color w:val="auto"/>
          <w:szCs w:val="21"/>
          <w:highlight w:val="none"/>
        </w:rPr>
        <w:t>酬金</w:t>
      </w:r>
      <w:r>
        <w:rPr>
          <w:rFonts w:hint="eastAsia" w:ascii="仿宋_GB2312" w:hAnsi="宋体" w:eastAsia="仿宋_GB2312"/>
          <w:color w:val="auto"/>
          <w:kern w:val="0"/>
          <w:szCs w:val="21"/>
          <w:highlight w:val="none"/>
        </w:rPr>
        <w:t>超过</w:t>
      </w:r>
      <w:r>
        <w:rPr>
          <w:rFonts w:hint="eastAsia" w:ascii="仿宋_GB2312" w:eastAsia="仿宋_GB2312"/>
          <w:color w:val="auto"/>
          <w:kern w:val="0"/>
          <w:szCs w:val="21"/>
          <w:highlight w:val="none"/>
        </w:rPr>
        <w:t>28</w:t>
      </w:r>
      <w:r>
        <w:rPr>
          <w:rFonts w:hint="eastAsia" w:ascii="仿宋_GB2312" w:hAnsi="宋体" w:eastAsia="仿宋_GB2312"/>
          <w:color w:val="auto"/>
          <w:kern w:val="0"/>
          <w:szCs w:val="21"/>
          <w:highlight w:val="none"/>
        </w:rPr>
        <w:t>天，</w:t>
      </w:r>
      <w:r>
        <w:rPr>
          <w:rFonts w:hint="eastAsia" w:ascii="仿宋_GB2312" w:hAnsi="宋体" w:eastAsia="仿宋_GB2312" w:cs="宋体"/>
          <w:color w:val="auto"/>
          <w:kern w:val="0"/>
          <w:szCs w:val="21"/>
          <w:highlight w:val="none"/>
        </w:rPr>
        <w:t>应按专用条件约定支付逾期付款利息</w:t>
      </w:r>
      <w:r>
        <w:rPr>
          <w:rFonts w:hint="eastAsia" w:ascii="仿宋_GB2312" w:hAnsi="宋体" w:eastAsia="仿宋_GB2312"/>
          <w:color w:val="auto"/>
          <w:kern w:val="0"/>
          <w:szCs w:val="21"/>
          <w:highlight w:val="none"/>
        </w:rPr>
        <w:t>。</w:t>
      </w:r>
    </w:p>
    <w:p w14:paraId="3C196EA6">
      <w:pPr>
        <w:spacing w:line="360" w:lineRule="auto"/>
        <w:ind w:firstLine="420" w:firstLineChars="200"/>
        <w:outlineLvl w:val="9"/>
        <w:rPr>
          <w:rFonts w:hint="eastAsia" w:ascii="仿宋_GB2312" w:hAnsi="宋体" w:eastAsia="仿宋_GB2312"/>
          <w:color w:val="auto"/>
          <w:kern w:val="0"/>
          <w:szCs w:val="21"/>
          <w:highlight w:val="none"/>
        </w:rPr>
      </w:pPr>
      <w:bookmarkStart w:id="302" w:name="_Toc36049312"/>
      <w:r>
        <w:rPr>
          <w:rFonts w:hint="eastAsia" w:ascii="仿宋_GB2312" w:eastAsia="仿宋_GB2312"/>
          <w:color w:val="auto"/>
          <w:kern w:val="0"/>
          <w:szCs w:val="21"/>
          <w:highlight w:val="none"/>
        </w:rPr>
        <w:t xml:space="preserve">4.3 </w:t>
      </w:r>
      <w:r>
        <w:rPr>
          <w:rFonts w:hint="eastAsia" w:ascii="仿宋_GB2312" w:hAnsi="宋体" w:eastAsia="仿宋_GB2312"/>
          <w:color w:val="auto"/>
          <w:kern w:val="0"/>
          <w:szCs w:val="21"/>
          <w:highlight w:val="none"/>
        </w:rPr>
        <w:t>除外责任</w:t>
      </w:r>
      <w:bookmarkEnd w:id="302"/>
    </w:p>
    <w:p w14:paraId="6F55BC3C">
      <w:pPr>
        <w:adjustRightInd w:val="0"/>
        <w:snapToGrid w:val="0"/>
        <w:spacing w:line="360" w:lineRule="auto"/>
        <w:ind w:firstLine="420" w:firstLineChars="200"/>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因非乙方的原因，且乙方无过错，发生工程质量事故、安全事故、工期延误等造成的损失，乙方不承担赔偿责任。</w:t>
      </w:r>
    </w:p>
    <w:p w14:paraId="61A7B658">
      <w:pPr>
        <w:snapToGrid w:val="0"/>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hAnsi="宋体" w:eastAsia="仿宋_GB2312"/>
          <w:color w:val="auto"/>
          <w:kern w:val="0"/>
          <w:szCs w:val="21"/>
          <w:highlight w:val="none"/>
        </w:rPr>
        <w:t>因不可抗力导致本合同全部或部分不能履行时，双方各自承担其因此而造成的损失、损害。</w:t>
      </w:r>
    </w:p>
    <w:p w14:paraId="2CD38991">
      <w:pPr>
        <w:snapToGrid w:val="0"/>
        <w:spacing w:line="360" w:lineRule="auto"/>
        <w:outlineLvl w:val="9"/>
        <w:rPr>
          <w:rFonts w:hint="eastAsia" w:ascii="仿宋_GB2312" w:hAnsi="宋体" w:eastAsia="仿宋_GB2312"/>
          <w:b/>
          <w:bCs/>
          <w:color w:val="auto"/>
          <w:szCs w:val="21"/>
          <w:highlight w:val="none"/>
        </w:rPr>
      </w:pPr>
      <w:bookmarkStart w:id="303" w:name="_Toc36049313"/>
      <w:r>
        <w:rPr>
          <w:rFonts w:hint="eastAsia" w:ascii="仿宋_GB2312" w:hAnsi="黑体" w:eastAsia="仿宋_GB2312"/>
          <w:b/>
          <w:bCs/>
          <w:color w:val="auto"/>
          <w:szCs w:val="21"/>
          <w:highlight w:val="none"/>
        </w:rPr>
        <w:t>5. 支付</w:t>
      </w:r>
      <w:bookmarkEnd w:id="303"/>
    </w:p>
    <w:p w14:paraId="078180B4">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5.1 </w:t>
      </w:r>
      <w:r>
        <w:rPr>
          <w:rFonts w:hint="eastAsia" w:ascii="仿宋_GB2312" w:hAnsi="宋体" w:eastAsia="仿宋_GB2312"/>
          <w:bCs/>
          <w:color w:val="auto"/>
          <w:szCs w:val="21"/>
          <w:highlight w:val="none"/>
        </w:rPr>
        <w:t>支付货币</w:t>
      </w:r>
    </w:p>
    <w:p w14:paraId="0A0ECD95">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除专用条件另有约定外，酬金均以人民币支付。涉及外币支付的，</w:t>
      </w:r>
      <w:r>
        <w:rPr>
          <w:rFonts w:hint="eastAsia" w:ascii="仿宋_GB2312" w:hAnsi="宋体" w:eastAsia="仿宋_GB2312"/>
          <w:color w:val="auto"/>
          <w:szCs w:val="21"/>
          <w:highlight w:val="none"/>
        </w:rPr>
        <w:t>所采用的货币种类、比例和汇率在专用条件中约定。</w:t>
      </w:r>
    </w:p>
    <w:p w14:paraId="08007252">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5.2 </w:t>
      </w:r>
      <w:r>
        <w:rPr>
          <w:rFonts w:hint="eastAsia" w:ascii="仿宋_GB2312" w:hAnsi="宋体" w:eastAsia="仿宋_GB2312"/>
          <w:color w:val="auto"/>
          <w:szCs w:val="21"/>
          <w:highlight w:val="none"/>
        </w:rPr>
        <w:t>支付申请</w:t>
      </w:r>
    </w:p>
    <w:p w14:paraId="5391084D">
      <w:pPr>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乙方应在本合同约定的每次应付款时间的7天前，向甲方提交支付申请书。支付申请书应当说明当期应付款总额，并列出当期应支付的款项及其金额。</w:t>
      </w:r>
    </w:p>
    <w:p w14:paraId="6B120276">
      <w:pPr>
        <w:snapToGrid w:val="0"/>
        <w:spacing w:line="360" w:lineRule="auto"/>
        <w:ind w:firstLine="210" w:firstLineChars="100"/>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bookmarkStart w:id="304" w:name="_Toc36049314"/>
      <w:r>
        <w:rPr>
          <w:rFonts w:hint="eastAsia" w:ascii="仿宋_GB2312" w:eastAsia="仿宋_GB2312"/>
          <w:color w:val="auto"/>
          <w:szCs w:val="21"/>
          <w:highlight w:val="none"/>
        </w:rPr>
        <w:t>5.3 支付酬金</w:t>
      </w:r>
      <w:bookmarkEnd w:id="304"/>
    </w:p>
    <w:p w14:paraId="4286A434">
      <w:pPr>
        <w:snapToGrid w:val="0"/>
        <w:spacing w:line="360" w:lineRule="auto"/>
        <w:ind w:firstLine="480"/>
        <w:outlineLvl w:val="9"/>
        <w:rPr>
          <w:rFonts w:hint="eastAsia" w:ascii="仿宋_GB2312" w:eastAsia="仿宋_GB2312"/>
          <w:color w:val="auto"/>
          <w:szCs w:val="21"/>
          <w:highlight w:val="none"/>
        </w:rPr>
      </w:pPr>
      <w:r>
        <w:rPr>
          <w:rFonts w:hint="eastAsia" w:ascii="仿宋_GB2312" w:eastAsia="仿宋_GB2312"/>
          <w:color w:val="auto"/>
          <w:szCs w:val="21"/>
          <w:highlight w:val="none"/>
        </w:rPr>
        <w:t>支付的</w:t>
      </w:r>
      <w:r>
        <w:rPr>
          <w:rFonts w:hint="eastAsia" w:ascii="仿宋_GB2312" w:hAnsi="宋体" w:eastAsia="仿宋_GB2312"/>
          <w:color w:val="auto"/>
          <w:szCs w:val="21"/>
          <w:highlight w:val="none"/>
        </w:rPr>
        <w:t>酬金</w:t>
      </w:r>
      <w:r>
        <w:rPr>
          <w:rFonts w:hint="eastAsia" w:ascii="仿宋_GB2312" w:eastAsia="仿宋_GB2312"/>
          <w:color w:val="auto"/>
          <w:szCs w:val="21"/>
          <w:highlight w:val="none"/>
        </w:rPr>
        <w:t>包括正常工作酬金、附加工作酬金。</w:t>
      </w:r>
    </w:p>
    <w:p w14:paraId="1FC03526">
      <w:pPr>
        <w:snapToGrid w:val="0"/>
        <w:spacing w:line="360" w:lineRule="auto"/>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   5.4 </w:t>
      </w:r>
      <w:r>
        <w:rPr>
          <w:rFonts w:hint="eastAsia" w:ascii="仿宋_GB2312" w:hAnsi="宋体" w:eastAsia="仿宋_GB2312"/>
          <w:bCs/>
          <w:color w:val="auto"/>
          <w:szCs w:val="21"/>
          <w:highlight w:val="none"/>
        </w:rPr>
        <w:t>有争议部分的付款</w:t>
      </w:r>
    </w:p>
    <w:p w14:paraId="3D0F327C">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甲方对乙方提交的支付申请书有异议时，应当在收到甲方提交的支付申请书后</w:t>
      </w:r>
      <w:r>
        <w:rPr>
          <w:rFonts w:hint="eastAsia" w:ascii="仿宋_GB2312" w:eastAsia="仿宋_GB2312"/>
          <w:color w:val="auto"/>
          <w:szCs w:val="21"/>
          <w:highlight w:val="none"/>
        </w:rPr>
        <w:t>7</w:t>
      </w:r>
      <w:r>
        <w:rPr>
          <w:rFonts w:hint="eastAsia" w:ascii="仿宋_GB2312" w:hAnsi="宋体" w:eastAsia="仿宋_GB2312"/>
          <w:color w:val="auto"/>
          <w:szCs w:val="21"/>
          <w:highlight w:val="none"/>
        </w:rPr>
        <w:t>天内，以书面形式向乙方发出异议通知。无异议部分的款项应按期支付，有异议部分的款项按第7条约定办理。</w:t>
      </w:r>
    </w:p>
    <w:p w14:paraId="43F3C369">
      <w:pPr>
        <w:snapToGrid w:val="0"/>
        <w:spacing w:line="360" w:lineRule="auto"/>
        <w:outlineLvl w:val="9"/>
        <w:rPr>
          <w:rFonts w:hint="eastAsia" w:ascii="仿宋_GB2312" w:hAnsi="黑体" w:eastAsia="仿宋_GB2312"/>
          <w:b/>
          <w:bCs/>
          <w:color w:val="auto"/>
          <w:szCs w:val="21"/>
          <w:highlight w:val="none"/>
        </w:rPr>
      </w:pPr>
      <w:bookmarkStart w:id="305" w:name="_Toc36049315"/>
      <w:r>
        <w:rPr>
          <w:rFonts w:hint="eastAsia" w:ascii="仿宋_GB2312" w:hAnsi="黑体" w:eastAsia="仿宋_GB2312"/>
          <w:b/>
          <w:bCs/>
          <w:color w:val="auto"/>
          <w:szCs w:val="21"/>
          <w:highlight w:val="none"/>
        </w:rPr>
        <w:t>6. 合同生效、变更、暂停、解除与终止</w:t>
      </w:r>
      <w:bookmarkEnd w:id="305"/>
    </w:p>
    <w:p w14:paraId="6BE500AD">
      <w:pPr>
        <w:spacing w:line="360" w:lineRule="auto"/>
        <w:ind w:left="210" w:leftChars="100" w:firstLine="210" w:firstLineChars="1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6.1</w:t>
      </w:r>
      <w:r>
        <w:rPr>
          <w:rFonts w:hint="eastAsia" w:ascii="仿宋_GB2312" w:hAnsi="宋体" w:eastAsia="仿宋_GB2312"/>
          <w:color w:val="auto"/>
          <w:szCs w:val="21"/>
          <w:highlight w:val="none"/>
        </w:rPr>
        <w:t>生效</w:t>
      </w:r>
    </w:p>
    <w:p w14:paraId="16201009">
      <w:pPr>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除法律另有规定或者专用条件另有约定外，甲方和乙方的法定代表人或其授权代理人在协议书上签字并盖单位章后本合同生效。</w:t>
      </w:r>
    </w:p>
    <w:p w14:paraId="63755B4F">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6.2</w:t>
      </w:r>
      <w:r>
        <w:rPr>
          <w:rFonts w:hint="eastAsia" w:ascii="仿宋_GB2312" w:hAnsi="宋体" w:eastAsia="仿宋_GB2312"/>
          <w:bCs/>
          <w:color w:val="auto"/>
          <w:szCs w:val="21"/>
          <w:highlight w:val="none"/>
        </w:rPr>
        <w:t>变更</w:t>
      </w:r>
    </w:p>
    <w:p w14:paraId="117DB863">
      <w:pPr>
        <w:snapToGrid w:val="0"/>
        <w:spacing w:line="360" w:lineRule="auto"/>
        <w:ind w:firstLine="420" w:firstLineChars="200"/>
        <w:outlineLvl w:val="9"/>
        <w:rPr>
          <w:rFonts w:hint="eastAsia" w:ascii="仿宋_GB2312" w:hAnsi="宋体" w:eastAsia="仿宋_GB2312"/>
          <w:color w:val="auto"/>
          <w:szCs w:val="21"/>
          <w:highlight w:val="none"/>
        </w:rPr>
      </w:pPr>
      <w:bookmarkStart w:id="306" w:name="_Toc36049316"/>
      <w:r>
        <w:rPr>
          <w:rFonts w:hint="eastAsia" w:ascii="仿宋_GB2312" w:hAnsi="宋体" w:eastAsia="仿宋_GB2312"/>
          <w:color w:val="auto"/>
          <w:szCs w:val="21"/>
          <w:highlight w:val="none"/>
        </w:rPr>
        <w:t>6.2.1 任何一方提出变更请求时，双方经协商一致后可进行变更。</w:t>
      </w:r>
      <w:bookmarkEnd w:id="306"/>
    </w:p>
    <w:p w14:paraId="573F3041">
      <w:pPr>
        <w:autoSpaceDE w:val="0"/>
        <w:autoSpaceDN w:val="0"/>
        <w:adjustRightInd w:val="0"/>
        <w:spacing w:line="360" w:lineRule="auto"/>
        <w:ind w:firstLine="420" w:firstLineChars="200"/>
        <w:jc w:val="left"/>
        <w:outlineLvl w:val="9"/>
        <w:rPr>
          <w:rFonts w:hint="eastAsia" w:eastAsia="仿宋_GB2312"/>
          <w:color w:val="auto"/>
          <w:kern w:val="0"/>
          <w:szCs w:val="21"/>
          <w:highlight w:val="none"/>
        </w:rPr>
      </w:pPr>
      <w:r>
        <w:rPr>
          <w:rFonts w:hint="eastAsia" w:ascii="仿宋_GB2312" w:eastAsia="仿宋_GB2312"/>
          <w:color w:val="auto"/>
          <w:szCs w:val="21"/>
          <w:highlight w:val="none"/>
        </w:rPr>
        <w:t>6.2.2</w:t>
      </w:r>
      <w:r>
        <w:rPr>
          <w:rFonts w:hint="eastAsia" w:eastAsia="仿宋_GB2312"/>
          <w:color w:val="auto"/>
          <w:kern w:val="0"/>
          <w:szCs w:val="21"/>
          <w:highlight w:val="none"/>
        </w:rPr>
        <w:t>变更估价原则</w:t>
      </w:r>
    </w:p>
    <w:p w14:paraId="6A857C1C">
      <w:pPr>
        <w:autoSpaceDE w:val="0"/>
        <w:autoSpaceDN w:val="0"/>
        <w:adjustRightInd w:val="0"/>
        <w:spacing w:line="360" w:lineRule="auto"/>
        <w:ind w:firstLine="420" w:firstLineChars="200"/>
        <w:jc w:val="left"/>
        <w:outlineLvl w:val="9"/>
        <w:rPr>
          <w:rFonts w:eastAsia="仿宋_GB2312"/>
          <w:color w:val="auto"/>
          <w:kern w:val="0"/>
          <w:szCs w:val="21"/>
          <w:highlight w:val="none"/>
        </w:rPr>
      </w:pPr>
      <w:r>
        <w:rPr>
          <w:rFonts w:eastAsia="仿宋_GB2312"/>
          <w:color w:val="auto"/>
          <w:kern w:val="0"/>
          <w:szCs w:val="21"/>
          <w:highlight w:val="none"/>
        </w:rPr>
        <w:t>除专用合同条款另有约定外，变更估价按照本款约定处理：</w:t>
      </w:r>
    </w:p>
    <w:p w14:paraId="5918F90A">
      <w:pPr>
        <w:autoSpaceDE w:val="0"/>
        <w:autoSpaceDN w:val="0"/>
        <w:adjustRightInd w:val="0"/>
        <w:spacing w:line="360" w:lineRule="auto"/>
        <w:ind w:firstLine="420" w:firstLineChars="200"/>
        <w:jc w:val="left"/>
        <w:outlineLvl w:val="9"/>
        <w:rPr>
          <w:rFonts w:eastAsia="仿宋_GB2312"/>
          <w:color w:val="auto"/>
          <w:kern w:val="0"/>
          <w:szCs w:val="21"/>
          <w:highlight w:val="none"/>
        </w:rPr>
      </w:pPr>
      <w:r>
        <w:rPr>
          <w:rFonts w:eastAsia="仿宋_GB2312"/>
          <w:color w:val="auto"/>
          <w:kern w:val="0"/>
          <w:szCs w:val="21"/>
          <w:highlight w:val="none"/>
        </w:rPr>
        <w:t>（1）已标价工程量清单或预算书有相同项目的，按照相同项目单价认定；</w:t>
      </w:r>
    </w:p>
    <w:p w14:paraId="08AD5192">
      <w:pPr>
        <w:autoSpaceDE w:val="0"/>
        <w:autoSpaceDN w:val="0"/>
        <w:adjustRightInd w:val="0"/>
        <w:spacing w:line="360" w:lineRule="auto"/>
        <w:ind w:firstLine="420" w:firstLineChars="200"/>
        <w:jc w:val="left"/>
        <w:outlineLvl w:val="9"/>
        <w:rPr>
          <w:rFonts w:eastAsia="仿宋_GB2312"/>
          <w:color w:val="auto"/>
          <w:kern w:val="0"/>
          <w:szCs w:val="21"/>
          <w:highlight w:val="none"/>
        </w:rPr>
      </w:pPr>
      <w:r>
        <w:rPr>
          <w:rFonts w:eastAsia="仿宋_GB2312"/>
          <w:color w:val="auto"/>
          <w:kern w:val="0"/>
          <w:szCs w:val="21"/>
          <w:highlight w:val="none"/>
        </w:rPr>
        <w:t>（2）已标价工程量清单或预算书中无相同项目，但有类似项目的，参照类似项目的单价认定；</w:t>
      </w:r>
    </w:p>
    <w:p w14:paraId="530CD459">
      <w:pPr>
        <w:autoSpaceDE w:val="0"/>
        <w:autoSpaceDN w:val="0"/>
        <w:adjustRightInd w:val="0"/>
        <w:spacing w:line="360" w:lineRule="auto"/>
        <w:ind w:firstLine="420" w:firstLineChars="200"/>
        <w:jc w:val="left"/>
        <w:outlineLvl w:val="9"/>
        <w:rPr>
          <w:rFonts w:hint="eastAsia" w:ascii="仿宋_GB2312" w:eastAsia="仿宋_GB2312"/>
          <w:color w:val="auto"/>
          <w:szCs w:val="21"/>
          <w:highlight w:val="none"/>
        </w:rPr>
      </w:pPr>
      <w:r>
        <w:rPr>
          <w:rFonts w:hint="eastAsia" w:ascii="仿宋_GB2312" w:eastAsia="仿宋_GB2312"/>
          <w:color w:val="auto"/>
          <w:szCs w:val="21"/>
          <w:highlight w:val="none"/>
        </w:rPr>
        <w:t>6.2.3除不可抗力外，因非乙方原因导致乙方履行合同期限延长</w:t>
      </w:r>
      <w:r>
        <w:rPr>
          <w:rFonts w:hint="eastAsia" w:ascii="仿宋_GB2312" w:hAnsi="宋体" w:eastAsia="仿宋_GB2312"/>
          <w:color w:val="auto"/>
          <w:szCs w:val="21"/>
          <w:highlight w:val="none"/>
        </w:rPr>
        <w:t>、内容增加</w:t>
      </w:r>
      <w:r>
        <w:rPr>
          <w:rFonts w:hint="eastAsia" w:ascii="仿宋_GB2312" w:eastAsia="仿宋_GB2312"/>
          <w:color w:val="auto"/>
          <w:szCs w:val="21"/>
          <w:highlight w:val="none"/>
        </w:rPr>
        <w:t>时，乙方应当将此情况与可能产生的影响及时通知甲方。增加的检测工作时间、工作内容应视为附加工作。附加工作酬金的确定方法由双方协商确定。</w:t>
      </w:r>
    </w:p>
    <w:p w14:paraId="65D7ADD7">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6.2.4</w:t>
      </w:r>
      <w:r>
        <w:rPr>
          <w:rFonts w:hint="eastAsia" w:ascii="仿宋_GB2312" w:hAnsi="宋体" w:eastAsia="仿宋_GB2312"/>
          <w:color w:val="auto"/>
          <w:szCs w:val="21"/>
          <w:highlight w:val="none"/>
        </w:rPr>
        <w:t>合同生效后，如果实际情况发生变化使得乙方不能完成全部或部分工作时，乙方应立即通知甲方。除不可抗力外，其善后工作以及恢复服务的准备工作应为附加工作，</w:t>
      </w:r>
      <w:r>
        <w:rPr>
          <w:rFonts w:hint="eastAsia" w:ascii="仿宋_GB2312" w:eastAsia="仿宋_GB2312"/>
          <w:color w:val="auto"/>
          <w:szCs w:val="21"/>
          <w:highlight w:val="none"/>
        </w:rPr>
        <w:t>附加工作酬金的确定方法由双方协商确定</w:t>
      </w:r>
      <w:r>
        <w:rPr>
          <w:rFonts w:hint="eastAsia" w:ascii="仿宋_GB2312" w:hAnsi="宋体" w:eastAsia="仿宋_GB2312"/>
          <w:color w:val="auto"/>
          <w:szCs w:val="21"/>
          <w:highlight w:val="none"/>
        </w:rPr>
        <w:t>。乙方用于恢复服务的准备时间不应超过</w:t>
      </w:r>
      <w:r>
        <w:rPr>
          <w:rFonts w:hint="eastAsia" w:ascii="仿宋_GB2312" w:eastAsia="仿宋_GB2312"/>
          <w:color w:val="auto"/>
          <w:szCs w:val="21"/>
          <w:highlight w:val="none"/>
        </w:rPr>
        <w:t>28</w:t>
      </w:r>
      <w:r>
        <w:rPr>
          <w:rFonts w:hint="eastAsia" w:ascii="仿宋_GB2312" w:hAnsi="宋体" w:eastAsia="仿宋_GB2312"/>
          <w:color w:val="auto"/>
          <w:szCs w:val="21"/>
          <w:highlight w:val="none"/>
        </w:rPr>
        <w:t>天。</w:t>
      </w:r>
    </w:p>
    <w:p w14:paraId="6C5A82B9">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6.2.5</w:t>
      </w:r>
      <w:r>
        <w:rPr>
          <w:rFonts w:hint="eastAsia" w:ascii="仿宋_GB2312" w:hAnsi="宋体" w:eastAsia="仿宋_GB2312"/>
          <w:color w:val="auto"/>
          <w:szCs w:val="21"/>
          <w:highlight w:val="none"/>
        </w:rPr>
        <w:t>合同签订后，遇有与工程相关的法律法规、标准颁布或修订的，双方应遵照执行。由此引起检测与相关服务的数量、范围、时间、酬金变化的，双方应通过协商进行相应调整。</w:t>
      </w:r>
    </w:p>
    <w:p w14:paraId="09D51315">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6.2.6 因非乙方原因造成工程概算投资额或建筑安装工程费、工程量增加时，正常工作酬金应作相应调整。调整方法</w:t>
      </w:r>
      <w:r>
        <w:rPr>
          <w:rFonts w:hint="eastAsia" w:ascii="仿宋_GB2312" w:eastAsia="仿宋_GB2312"/>
          <w:color w:val="auto"/>
          <w:szCs w:val="21"/>
          <w:highlight w:val="none"/>
        </w:rPr>
        <w:t>由双方协商确定。</w:t>
      </w:r>
    </w:p>
    <w:p w14:paraId="27ED2656">
      <w:pPr>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6.2.7因工程规模、检测范围的变化导致乙方的正常工作量增减时，正常工作酬金应作相应调整。调整方法</w:t>
      </w:r>
      <w:r>
        <w:rPr>
          <w:rFonts w:hint="eastAsia" w:ascii="仿宋_GB2312" w:eastAsia="仿宋_GB2312"/>
          <w:color w:val="auto"/>
          <w:szCs w:val="21"/>
          <w:highlight w:val="none"/>
        </w:rPr>
        <w:t>由双方协商确定。</w:t>
      </w:r>
    </w:p>
    <w:p w14:paraId="683D0E5A">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color w:val="auto"/>
          <w:szCs w:val="21"/>
          <w:highlight w:val="none"/>
        </w:rPr>
        <w:t xml:space="preserve"> </w:t>
      </w:r>
      <w:bookmarkStart w:id="307" w:name="_Toc36049317"/>
      <w:r>
        <w:rPr>
          <w:rFonts w:hint="eastAsia" w:ascii="仿宋_GB2312" w:hAnsi="宋体" w:eastAsia="仿宋_GB2312"/>
          <w:color w:val="auto"/>
          <w:szCs w:val="21"/>
          <w:highlight w:val="none"/>
        </w:rPr>
        <w:t>6.3 暂停与</w:t>
      </w:r>
      <w:r>
        <w:rPr>
          <w:rFonts w:hint="eastAsia" w:ascii="仿宋_GB2312" w:hAnsi="宋体" w:eastAsia="仿宋_GB2312"/>
          <w:bCs/>
          <w:color w:val="auto"/>
          <w:szCs w:val="21"/>
          <w:highlight w:val="none"/>
        </w:rPr>
        <w:t>解除</w:t>
      </w:r>
      <w:bookmarkEnd w:id="307"/>
    </w:p>
    <w:p w14:paraId="67B0D2B0">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除</w:t>
      </w:r>
      <w:r>
        <w:rPr>
          <w:rFonts w:hint="eastAsia" w:ascii="仿宋_GB2312" w:hAnsi="宋体" w:eastAsia="仿宋_GB2312"/>
          <w:color w:val="auto"/>
          <w:szCs w:val="21"/>
          <w:highlight w:val="none"/>
        </w:rPr>
        <w:t>双方协商一致可以解除本合同外，当一方无正当理由未履行本合同约定的义务时，另一方可以根据本合同约定暂停履行本合同直至解除本合同。</w:t>
      </w:r>
    </w:p>
    <w:p w14:paraId="2D64110E">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6.3.1 </w:t>
      </w:r>
      <w:r>
        <w:rPr>
          <w:rFonts w:hint="eastAsia" w:ascii="仿宋_GB2312" w:hAnsi="宋体" w:eastAsia="仿宋_GB2312"/>
          <w:color w:val="auto"/>
          <w:szCs w:val="21"/>
          <w:highlight w:val="none"/>
        </w:rPr>
        <w:t>在本合同有效期内，由于双方无法预见和控制的原因导致本合同全部或部分无法继续履行或继续履行已无意义，经双方协商一致，可以解除本合同或乙方的部分义务。在解除之前，乙方应作出合理安排，使开支减至最小。</w:t>
      </w:r>
    </w:p>
    <w:p w14:paraId="64CDEBFD">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因解除本合同或解除乙方的部分义务导致乙方遭受的损失，除依法可以免除责任的情况外，应由甲方予以补偿，补偿金额由双方协商确定。</w:t>
      </w:r>
    </w:p>
    <w:p w14:paraId="5595C5BF">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解除本合同的协议必须采取书面形式，协议未达成之前，本合同仍然有效。</w:t>
      </w:r>
    </w:p>
    <w:p w14:paraId="21A036D7">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6.3.2 </w:t>
      </w:r>
      <w:r>
        <w:rPr>
          <w:rFonts w:hint="eastAsia" w:ascii="仿宋_GB2312" w:hAnsi="宋体" w:eastAsia="仿宋_GB2312"/>
          <w:color w:val="auto"/>
          <w:szCs w:val="21"/>
          <w:highlight w:val="none"/>
        </w:rPr>
        <w:t>当乙方无正当理由未履行本合同约定的义务时，甲方应通知乙方限期改正。若甲方在乙方接到通知后的</w:t>
      </w:r>
      <w:r>
        <w:rPr>
          <w:rFonts w:hint="eastAsia" w:ascii="仿宋_GB2312" w:eastAsia="仿宋_GB2312"/>
          <w:color w:val="auto"/>
          <w:szCs w:val="21"/>
          <w:highlight w:val="none"/>
        </w:rPr>
        <w:t>7</w:t>
      </w:r>
      <w:r>
        <w:rPr>
          <w:rFonts w:hint="eastAsia" w:ascii="仿宋_GB2312" w:hAnsi="宋体" w:eastAsia="仿宋_GB2312"/>
          <w:color w:val="auto"/>
          <w:szCs w:val="21"/>
          <w:highlight w:val="none"/>
        </w:rPr>
        <w:t>天内未收到乙方书面形式的合理解释，则可在</w:t>
      </w:r>
      <w:r>
        <w:rPr>
          <w:rFonts w:hint="eastAsia" w:ascii="仿宋_GB2312" w:eastAsia="仿宋_GB2312"/>
          <w:color w:val="auto"/>
          <w:szCs w:val="21"/>
          <w:highlight w:val="none"/>
        </w:rPr>
        <w:t>7</w:t>
      </w:r>
      <w:r>
        <w:rPr>
          <w:rFonts w:hint="eastAsia" w:ascii="仿宋_GB2312" w:hAnsi="宋体" w:eastAsia="仿宋_GB2312"/>
          <w:color w:val="auto"/>
          <w:szCs w:val="21"/>
          <w:highlight w:val="none"/>
        </w:rPr>
        <w:t>天后发出解除本合同的通知，自通知到达乙方时本合同解除。甲方应将检测与相关服务</w:t>
      </w:r>
      <w:r>
        <w:rPr>
          <w:rFonts w:hint="eastAsia" w:ascii="仿宋_GB2312" w:hAnsi="宋体" w:eastAsia="仿宋_GB2312"/>
          <w:color w:val="auto"/>
          <w:kern w:val="0"/>
          <w:szCs w:val="21"/>
          <w:highlight w:val="none"/>
        </w:rPr>
        <w:t>的</w:t>
      </w:r>
      <w:r>
        <w:rPr>
          <w:rFonts w:hint="eastAsia" w:ascii="仿宋_GB2312" w:hAnsi="宋体" w:eastAsia="仿宋_GB2312"/>
          <w:color w:val="auto"/>
          <w:szCs w:val="21"/>
          <w:highlight w:val="none"/>
        </w:rPr>
        <w:t>酬金支付至</w:t>
      </w:r>
      <w:r>
        <w:rPr>
          <w:rFonts w:hint="eastAsia" w:ascii="仿宋_GB2312" w:hAnsi="宋体" w:eastAsia="仿宋_GB2312"/>
          <w:color w:val="auto"/>
          <w:kern w:val="0"/>
          <w:szCs w:val="21"/>
          <w:highlight w:val="none"/>
        </w:rPr>
        <w:t>限期改正通知到达乙方之日</w:t>
      </w:r>
      <w:r>
        <w:rPr>
          <w:rFonts w:hint="eastAsia" w:ascii="仿宋_GB2312" w:hAnsi="宋体" w:eastAsia="仿宋_GB2312"/>
          <w:color w:val="auto"/>
          <w:szCs w:val="21"/>
          <w:highlight w:val="none"/>
        </w:rPr>
        <w:t>，但乙方应承担第4.1款约定的责任。</w:t>
      </w:r>
    </w:p>
    <w:p w14:paraId="3E2220A9">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6.3.3 </w:t>
      </w:r>
      <w:r>
        <w:rPr>
          <w:rFonts w:hint="eastAsia" w:ascii="仿宋_GB2312" w:hAnsi="宋体" w:eastAsia="仿宋_GB2312"/>
          <w:color w:val="auto"/>
          <w:szCs w:val="21"/>
          <w:highlight w:val="none"/>
        </w:rPr>
        <w:t>乙方在专用条件5.3中约定的支付之日起</w:t>
      </w:r>
      <w:r>
        <w:rPr>
          <w:rFonts w:hint="eastAsia" w:ascii="仿宋_GB2312" w:eastAsia="仿宋_GB2312"/>
          <w:color w:val="auto"/>
          <w:szCs w:val="21"/>
          <w:highlight w:val="none"/>
        </w:rPr>
        <w:t>28</w:t>
      </w:r>
      <w:r>
        <w:rPr>
          <w:rFonts w:hint="eastAsia" w:ascii="仿宋_GB2312" w:hAnsi="宋体" w:eastAsia="仿宋_GB2312"/>
          <w:color w:val="auto"/>
          <w:szCs w:val="21"/>
          <w:highlight w:val="none"/>
        </w:rPr>
        <w:t>天后仍未收到甲方按本合同约定应付的款项，可向甲方发出催付通知。甲方接到通知</w:t>
      </w:r>
      <w:r>
        <w:rPr>
          <w:rFonts w:hint="eastAsia" w:ascii="仿宋_GB2312" w:eastAsia="仿宋_GB2312"/>
          <w:color w:val="auto"/>
          <w:szCs w:val="21"/>
          <w:highlight w:val="none"/>
        </w:rPr>
        <w:t>14</w:t>
      </w:r>
      <w:r>
        <w:rPr>
          <w:rFonts w:hint="eastAsia" w:ascii="仿宋_GB2312" w:hAnsi="宋体" w:eastAsia="仿宋_GB2312"/>
          <w:color w:val="auto"/>
          <w:szCs w:val="21"/>
          <w:highlight w:val="none"/>
        </w:rPr>
        <w:t>天后仍未支付或未提出乙方可以接受的延期支付安排，乙方可向甲方发出暂停工作的通知并可自行暂停全部或部分工作。暂停工作后</w:t>
      </w:r>
      <w:r>
        <w:rPr>
          <w:rFonts w:hint="eastAsia" w:ascii="仿宋_GB2312" w:eastAsia="仿宋_GB2312"/>
          <w:color w:val="auto"/>
          <w:szCs w:val="21"/>
          <w:highlight w:val="none"/>
        </w:rPr>
        <w:t>14</w:t>
      </w:r>
      <w:r>
        <w:rPr>
          <w:rFonts w:hint="eastAsia" w:ascii="仿宋_GB2312" w:hAnsi="宋体" w:eastAsia="仿宋_GB2312"/>
          <w:color w:val="auto"/>
          <w:szCs w:val="21"/>
          <w:highlight w:val="none"/>
        </w:rPr>
        <w:t>天内乙方仍未获得甲方应付酬金或甲方的合理答复，乙方可向甲方发出解除本合同的通知，自通知到达甲方时本合同解除。甲方应承担第4.2.3款约定的责任。</w:t>
      </w:r>
    </w:p>
    <w:p w14:paraId="2BF21AE9">
      <w:pPr>
        <w:snapToGrid w:val="0"/>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hAnsi="宋体" w:eastAsia="仿宋_GB2312"/>
          <w:color w:val="auto"/>
          <w:szCs w:val="21"/>
          <w:highlight w:val="none"/>
        </w:rPr>
        <w:t>6.3.4 因不可抗力致使本合同部分或全部不能履行时，一方应立即通知另一方，可暂停或解除本合同。</w:t>
      </w:r>
    </w:p>
    <w:p w14:paraId="290F6B76">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6.3.5 </w:t>
      </w:r>
      <w:r>
        <w:rPr>
          <w:rFonts w:hint="eastAsia" w:ascii="仿宋_GB2312" w:hAnsi="宋体" w:eastAsia="仿宋_GB2312"/>
          <w:color w:val="auto"/>
          <w:szCs w:val="21"/>
          <w:highlight w:val="none"/>
        </w:rPr>
        <w:t>本合同解除后，本合同约定的有关结算、清理、争议解决方式的条件仍然有效。</w:t>
      </w:r>
    </w:p>
    <w:p w14:paraId="350B228C">
      <w:pPr>
        <w:snapToGrid w:val="0"/>
        <w:spacing w:line="360" w:lineRule="auto"/>
        <w:ind w:left="210" w:leftChars="100" w:firstLine="420" w:firstLineChars="2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6.4 </w:t>
      </w:r>
      <w:r>
        <w:rPr>
          <w:rFonts w:hint="eastAsia" w:ascii="仿宋_GB2312" w:hAnsi="宋体" w:eastAsia="仿宋_GB2312"/>
          <w:bCs/>
          <w:color w:val="auto"/>
          <w:szCs w:val="21"/>
          <w:highlight w:val="none"/>
        </w:rPr>
        <w:t>终止</w:t>
      </w:r>
    </w:p>
    <w:p w14:paraId="43BB8334">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以下条件全部满足时，本合同即告终止：</w:t>
      </w:r>
    </w:p>
    <w:p w14:paraId="4F1C5C4F">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1</w:t>
      </w:r>
      <w:r>
        <w:rPr>
          <w:rFonts w:hint="eastAsia" w:ascii="仿宋_GB2312" w:hAnsi="宋体" w:eastAsia="仿宋_GB2312"/>
          <w:color w:val="auto"/>
          <w:szCs w:val="21"/>
          <w:highlight w:val="none"/>
        </w:rPr>
        <w:t>）乙方完成本合同约定的全部工作；</w:t>
      </w:r>
    </w:p>
    <w:p w14:paraId="1ACBADCE">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w:t>
      </w:r>
      <w:r>
        <w:rPr>
          <w:rFonts w:hint="eastAsia" w:ascii="仿宋_GB2312" w:eastAsia="仿宋_GB2312"/>
          <w:color w:val="auto"/>
          <w:szCs w:val="21"/>
          <w:highlight w:val="none"/>
        </w:rPr>
        <w:t>2</w:t>
      </w:r>
      <w:r>
        <w:rPr>
          <w:rFonts w:hint="eastAsia" w:ascii="仿宋_GB2312" w:hAnsi="宋体" w:eastAsia="仿宋_GB2312"/>
          <w:color w:val="auto"/>
          <w:szCs w:val="21"/>
          <w:highlight w:val="none"/>
        </w:rPr>
        <w:t>）甲方与乙方结清并支付全部酬金。</w:t>
      </w:r>
    </w:p>
    <w:p w14:paraId="68D08606">
      <w:pPr>
        <w:snapToGrid w:val="0"/>
        <w:spacing w:line="360" w:lineRule="auto"/>
        <w:outlineLvl w:val="9"/>
        <w:rPr>
          <w:rFonts w:hint="eastAsia" w:ascii="仿宋_GB2312" w:hAnsi="宋体" w:eastAsia="仿宋_GB2312"/>
          <w:b/>
          <w:bCs/>
          <w:color w:val="auto"/>
          <w:szCs w:val="21"/>
          <w:highlight w:val="none"/>
        </w:rPr>
      </w:pPr>
      <w:bookmarkStart w:id="308" w:name="_Toc36049318"/>
      <w:r>
        <w:rPr>
          <w:rFonts w:hint="eastAsia" w:ascii="仿宋_GB2312" w:hAnsi="黑体" w:eastAsia="仿宋_GB2312"/>
          <w:b/>
          <w:bCs/>
          <w:color w:val="auto"/>
          <w:szCs w:val="21"/>
          <w:highlight w:val="none"/>
        </w:rPr>
        <w:t>7. 争议解决</w:t>
      </w:r>
      <w:bookmarkEnd w:id="308"/>
    </w:p>
    <w:p w14:paraId="1608D1B1">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7.1</w:t>
      </w:r>
      <w:r>
        <w:rPr>
          <w:rFonts w:hint="eastAsia" w:ascii="仿宋_GB2312" w:hAnsi="宋体" w:eastAsia="仿宋_GB2312"/>
          <w:bCs/>
          <w:color w:val="auto"/>
          <w:szCs w:val="21"/>
          <w:highlight w:val="none"/>
        </w:rPr>
        <w:t>协商</w:t>
      </w:r>
    </w:p>
    <w:p w14:paraId="2E24EB3D">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color w:val="auto"/>
          <w:szCs w:val="21"/>
          <w:highlight w:val="none"/>
        </w:rPr>
        <w:t>双方应本着诚信原则协商解决彼此间的争议。</w:t>
      </w:r>
    </w:p>
    <w:p w14:paraId="7EB22A40">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7.2</w:t>
      </w:r>
      <w:r>
        <w:rPr>
          <w:rFonts w:hint="eastAsia" w:ascii="仿宋_GB2312" w:hAnsi="宋体" w:eastAsia="仿宋_GB2312"/>
          <w:bCs/>
          <w:color w:val="auto"/>
          <w:szCs w:val="21"/>
          <w:highlight w:val="none"/>
        </w:rPr>
        <w:t>调解</w:t>
      </w:r>
    </w:p>
    <w:p w14:paraId="6F076B90">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color w:val="auto"/>
          <w:szCs w:val="21"/>
          <w:highlight w:val="none"/>
        </w:rPr>
        <w:t>如果双方不能在</w:t>
      </w:r>
      <w:r>
        <w:rPr>
          <w:rFonts w:hint="eastAsia" w:ascii="仿宋_GB2312" w:eastAsia="仿宋_GB2312"/>
          <w:color w:val="auto"/>
          <w:szCs w:val="21"/>
          <w:highlight w:val="none"/>
        </w:rPr>
        <w:t>14</w:t>
      </w:r>
      <w:r>
        <w:rPr>
          <w:rFonts w:hint="eastAsia" w:ascii="仿宋_GB2312" w:hAnsi="宋体" w:eastAsia="仿宋_GB2312"/>
          <w:color w:val="auto"/>
          <w:szCs w:val="21"/>
          <w:highlight w:val="none"/>
        </w:rPr>
        <w:t>天内或双方商定的其他时间内解决本合同争议，可以将其提交给专用条件约定的或事后达成协议的调解人进行调解。</w:t>
      </w:r>
    </w:p>
    <w:p w14:paraId="4B9690E8">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7.3</w:t>
      </w:r>
      <w:r>
        <w:rPr>
          <w:rFonts w:hint="eastAsia" w:ascii="仿宋_GB2312" w:hAnsi="宋体" w:eastAsia="仿宋_GB2312"/>
          <w:bCs/>
          <w:color w:val="auto"/>
          <w:szCs w:val="21"/>
          <w:highlight w:val="none"/>
        </w:rPr>
        <w:t>仲裁或诉讼</w:t>
      </w:r>
    </w:p>
    <w:p w14:paraId="687E8E6B">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双方均有权不经调解直接向专用条件约定的仲裁机构申请仲裁或向有管辖权的人民法院提起诉讼。</w:t>
      </w:r>
    </w:p>
    <w:p w14:paraId="4F6ADCCE">
      <w:pPr>
        <w:snapToGrid w:val="0"/>
        <w:spacing w:line="360" w:lineRule="auto"/>
        <w:outlineLvl w:val="9"/>
        <w:rPr>
          <w:rFonts w:hint="eastAsia" w:ascii="仿宋_GB2312" w:hAnsi="宋体" w:eastAsia="仿宋_GB2312"/>
          <w:b/>
          <w:bCs/>
          <w:color w:val="auto"/>
          <w:szCs w:val="21"/>
          <w:highlight w:val="none"/>
        </w:rPr>
      </w:pPr>
      <w:bookmarkStart w:id="309" w:name="_Toc36049319"/>
      <w:r>
        <w:rPr>
          <w:rFonts w:hint="eastAsia" w:ascii="仿宋_GB2312" w:hAnsi="黑体" w:eastAsia="仿宋_GB2312"/>
          <w:b/>
          <w:bCs/>
          <w:color w:val="auto"/>
          <w:szCs w:val="21"/>
          <w:highlight w:val="none"/>
        </w:rPr>
        <w:t>8. 其他</w:t>
      </w:r>
      <w:bookmarkEnd w:id="309"/>
    </w:p>
    <w:p w14:paraId="347B9FB4">
      <w:pPr>
        <w:spacing w:line="360" w:lineRule="auto"/>
        <w:ind w:left="210" w:leftChars="100" w:firstLine="210" w:firstLineChars="100"/>
        <w:outlineLvl w:val="9"/>
        <w:rPr>
          <w:rFonts w:hint="eastAsia" w:ascii="仿宋_GB2312" w:hAnsi="宋体" w:eastAsia="仿宋_GB2312"/>
          <w:bCs/>
          <w:color w:val="auto"/>
          <w:szCs w:val="21"/>
          <w:highlight w:val="none"/>
        </w:rPr>
      </w:pPr>
      <w:bookmarkStart w:id="310" w:name="_Toc36049320"/>
      <w:r>
        <w:rPr>
          <w:rFonts w:hint="eastAsia" w:ascii="仿宋_GB2312" w:eastAsia="仿宋_GB2312"/>
          <w:color w:val="auto"/>
          <w:szCs w:val="21"/>
          <w:highlight w:val="none"/>
        </w:rPr>
        <w:t xml:space="preserve">8.1 </w:t>
      </w:r>
      <w:r>
        <w:rPr>
          <w:rFonts w:hint="eastAsia" w:ascii="仿宋_GB2312" w:hAnsi="宋体" w:eastAsia="仿宋_GB2312"/>
          <w:bCs/>
          <w:color w:val="auto"/>
          <w:szCs w:val="21"/>
          <w:highlight w:val="none"/>
        </w:rPr>
        <w:t>外出考察费用</w:t>
      </w:r>
      <w:bookmarkEnd w:id="310"/>
    </w:p>
    <w:p w14:paraId="0718D2ED">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color w:val="auto"/>
          <w:szCs w:val="21"/>
          <w:highlight w:val="none"/>
        </w:rPr>
        <w:t>经甲方同意，检测人员外出考察发生的费用由甲方审核后支付。</w:t>
      </w:r>
    </w:p>
    <w:p w14:paraId="4379D37E">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8.2</w:t>
      </w:r>
      <w:r>
        <w:rPr>
          <w:rFonts w:hint="eastAsia" w:ascii="仿宋_GB2312" w:hAnsi="宋体" w:eastAsia="仿宋_GB2312"/>
          <w:bCs/>
          <w:color w:val="auto"/>
          <w:szCs w:val="21"/>
          <w:highlight w:val="none"/>
        </w:rPr>
        <w:t>咨询费用</w:t>
      </w:r>
    </w:p>
    <w:p w14:paraId="44A87ECE">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经甲方同意，根据工程需要由乙方组织的相关咨询论证会以及聘请相关专家等发生的费用由甲方支付，支付时间在专用条件中约定。</w:t>
      </w:r>
    </w:p>
    <w:p w14:paraId="66A6D86E">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bookmarkStart w:id="311" w:name="_Toc36049321"/>
      <w:r>
        <w:rPr>
          <w:rFonts w:hint="eastAsia" w:ascii="仿宋_GB2312" w:eastAsia="仿宋_GB2312"/>
          <w:color w:val="auto"/>
          <w:szCs w:val="21"/>
          <w:highlight w:val="none"/>
        </w:rPr>
        <w:t xml:space="preserve">8.3 </w:t>
      </w:r>
      <w:r>
        <w:rPr>
          <w:rFonts w:hint="eastAsia" w:ascii="仿宋_GB2312" w:hAnsi="宋体" w:eastAsia="仿宋_GB2312"/>
          <w:bCs/>
          <w:color w:val="auto"/>
          <w:szCs w:val="21"/>
          <w:highlight w:val="none"/>
        </w:rPr>
        <w:t>守法诚信</w:t>
      </w:r>
      <w:bookmarkEnd w:id="311"/>
    </w:p>
    <w:p w14:paraId="5E8C1534">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color w:val="auto"/>
          <w:szCs w:val="21"/>
          <w:highlight w:val="none"/>
        </w:rPr>
        <w:t>乙方及其工作人员不得从与实施工程有关的第三方处获得任何经济利益。</w:t>
      </w:r>
    </w:p>
    <w:p w14:paraId="12045088">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8.4 </w:t>
      </w:r>
      <w:r>
        <w:rPr>
          <w:rFonts w:hint="eastAsia" w:ascii="仿宋_GB2312" w:hAnsi="宋体" w:eastAsia="仿宋_GB2312"/>
          <w:bCs/>
          <w:color w:val="auto"/>
          <w:szCs w:val="21"/>
          <w:highlight w:val="none"/>
        </w:rPr>
        <w:t>保密</w:t>
      </w:r>
    </w:p>
    <w:p w14:paraId="0377860A">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color w:val="auto"/>
          <w:szCs w:val="21"/>
          <w:highlight w:val="none"/>
        </w:rPr>
        <w:t>双方不得泄露对方申明的保密资料，亦不得泄露与实施工程有关的第三方所提供的保密资料，保密事项在专用条件中约定。</w:t>
      </w:r>
    </w:p>
    <w:p w14:paraId="0121BAC9">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8.5 </w:t>
      </w:r>
      <w:r>
        <w:rPr>
          <w:rFonts w:hint="eastAsia" w:ascii="仿宋_GB2312" w:hAnsi="宋体" w:eastAsia="仿宋_GB2312"/>
          <w:bCs/>
          <w:color w:val="auto"/>
          <w:szCs w:val="21"/>
          <w:highlight w:val="none"/>
        </w:rPr>
        <w:t>通知</w:t>
      </w:r>
    </w:p>
    <w:p w14:paraId="5F81E41F">
      <w:pPr>
        <w:snapToGrid w:val="0"/>
        <w:spacing w:line="360" w:lineRule="auto"/>
        <w:ind w:firstLine="420" w:firstLineChars="200"/>
        <w:outlineLvl w:val="9"/>
        <w:rPr>
          <w:rFonts w:hint="eastAsia" w:ascii="仿宋_GB2312" w:hAnsi="宋体" w:eastAsia="仿宋_GB2312"/>
          <w:bCs/>
          <w:color w:val="auto"/>
          <w:szCs w:val="21"/>
          <w:highlight w:val="none"/>
        </w:rPr>
      </w:pPr>
      <w:r>
        <w:rPr>
          <w:rFonts w:hint="eastAsia" w:ascii="仿宋_GB2312" w:hAnsi="宋体" w:eastAsia="仿宋_GB2312"/>
          <w:color w:val="auto"/>
          <w:szCs w:val="21"/>
          <w:highlight w:val="none"/>
        </w:rPr>
        <w:t>本合同涉及的通知均应当采用书面形式，并在送达对方时生效，收件人应书面签收。</w:t>
      </w:r>
    </w:p>
    <w:p w14:paraId="497CB6A8">
      <w:pPr>
        <w:snapToGrid w:val="0"/>
        <w:spacing w:line="360" w:lineRule="auto"/>
        <w:ind w:left="210" w:leftChars="100"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8.6 </w:t>
      </w:r>
      <w:r>
        <w:rPr>
          <w:rFonts w:hint="eastAsia" w:ascii="仿宋_GB2312" w:hAnsi="宋体" w:eastAsia="仿宋_GB2312"/>
          <w:bCs/>
          <w:color w:val="auto"/>
          <w:szCs w:val="21"/>
          <w:highlight w:val="none"/>
        </w:rPr>
        <w:t>著作权</w:t>
      </w:r>
    </w:p>
    <w:p w14:paraId="069A8A33">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乙方对其编制的文件拥有著作权。</w:t>
      </w:r>
    </w:p>
    <w:p w14:paraId="1460E024">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乙方可单独或与他人联合出版有关检测与相关服务的资料。除专用条件另有约定外，如果乙方在本合同履行期间及本合同终止后两年内出版涉及本工程的有关检测与相关服务的资料，应当征得甲方的同意。</w:t>
      </w:r>
    </w:p>
    <w:p w14:paraId="68C72623">
      <w:pPr>
        <w:pStyle w:val="5"/>
        <w:spacing w:before="0" w:after="0" w:line="360" w:lineRule="auto"/>
        <w:jc w:val="center"/>
        <w:rPr>
          <w:rFonts w:hint="eastAsia" w:ascii="仿宋" w:hAnsi="仿宋" w:eastAsia="仿宋" w:cs="仿宋"/>
          <w:b/>
          <w:bCs w:val="0"/>
          <w:color w:val="auto"/>
          <w:sz w:val="32"/>
          <w:szCs w:val="32"/>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22FCE9A8">
      <w:pPr>
        <w:pStyle w:val="6"/>
        <w:spacing w:before="0" w:after="0" w:line="360" w:lineRule="auto"/>
        <w:jc w:val="center"/>
        <w:outlineLvl w:val="2"/>
        <w:rPr>
          <w:rFonts w:hint="eastAsia" w:ascii="仿宋_GB2312" w:hAnsi="宋体" w:eastAsia="仿宋_GB2312"/>
          <w:b/>
          <w:color w:val="auto"/>
          <w:szCs w:val="21"/>
          <w:highlight w:val="none"/>
        </w:rPr>
      </w:pPr>
      <w:r>
        <w:rPr>
          <w:rFonts w:hint="eastAsia" w:ascii="仿宋" w:hAnsi="仿宋" w:eastAsia="仿宋" w:cs="仿宋"/>
          <w:b/>
          <w:bCs w:val="0"/>
          <w:color w:val="auto"/>
          <w:sz w:val="32"/>
          <w:szCs w:val="32"/>
          <w:highlight w:val="none"/>
        </w:rPr>
        <w:t>第三部分  专用条件</w:t>
      </w:r>
    </w:p>
    <w:p w14:paraId="615E9619">
      <w:pPr>
        <w:spacing w:line="360" w:lineRule="auto"/>
        <w:jc w:val="center"/>
        <w:rPr>
          <w:rFonts w:hint="eastAsia" w:ascii="仿宋_GB2312" w:hAnsi="宋体" w:eastAsia="仿宋_GB2312"/>
          <w:b/>
          <w:color w:val="auto"/>
          <w:szCs w:val="21"/>
          <w:highlight w:val="none"/>
        </w:rPr>
      </w:pPr>
    </w:p>
    <w:p w14:paraId="1767FA53">
      <w:pPr>
        <w:adjustRightInd w:val="0"/>
        <w:snapToGrid w:val="0"/>
        <w:spacing w:line="360" w:lineRule="auto"/>
        <w:outlineLvl w:val="9"/>
        <w:rPr>
          <w:rFonts w:hint="eastAsia" w:ascii="仿宋_GB2312" w:hAnsi="黑体" w:eastAsia="仿宋_GB2312"/>
          <w:b/>
          <w:color w:val="auto"/>
          <w:szCs w:val="21"/>
          <w:highlight w:val="none"/>
        </w:rPr>
      </w:pPr>
      <w:r>
        <w:rPr>
          <w:rFonts w:hint="eastAsia" w:ascii="仿宋_GB2312" w:hAnsi="黑体" w:eastAsia="仿宋_GB2312"/>
          <w:b/>
          <w:color w:val="auto"/>
          <w:szCs w:val="21"/>
          <w:highlight w:val="none"/>
        </w:rPr>
        <w:t>1. 定义与解释</w:t>
      </w:r>
    </w:p>
    <w:p w14:paraId="674A083A">
      <w:pPr>
        <w:adjustRightInd w:val="0"/>
        <w:snapToGrid w:val="0"/>
        <w:spacing w:line="360" w:lineRule="auto"/>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 xml:space="preserve">    </w:t>
      </w:r>
      <w:bookmarkStart w:id="312" w:name="_Toc36049322"/>
      <w:r>
        <w:rPr>
          <w:rFonts w:hint="eastAsia" w:ascii="仿宋_GB2312" w:eastAsia="仿宋_GB2312"/>
          <w:color w:val="auto"/>
          <w:szCs w:val="21"/>
          <w:highlight w:val="none"/>
        </w:rPr>
        <w:t>1.2</w:t>
      </w:r>
      <w:r>
        <w:rPr>
          <w:rFonts w:hint="eastAsia" w:ascii="仿宋_GB2312" w:hAnsi="宋体" w:eastAsia="仿宋_GB2312"/>
          <w:color w:val="auto"/>
          <w:szCs w:val="21"/>
          <w:highlight w:val="none"/>
        </w:rPr>
        <w:t xml:space="preserve">  解释</w:t>
      </w:r>
      <w:bookmarkEnd w:id="312"/>
    </w:p>
    <w:p w14:paraId="4BA6630F">
      <w:pPr>
        <w:adjustRightInd w:val="0"/>
        <w:snapToGrid w:val="0"/>
        <w:spacing w:line="360" w:lineRule="auto"/>
        <w:ind w:firstLine="420" w:firstLineChars="200"/>
        <w:outlineLvl w:val="9"/>
        <w:rPr>
          <w:rFonts w:hint="eastAsia" w:ascii="仿宋_GB2312" w:hAnsi="宋体" w:eastAsia="仿宋_GB2312"/>
          <w:color w:val="auto"/>
          <w:szCs w:val="21"/>
          <w:highlight w:val="none"/>
          <w:lang w:val="en-US" w:eastAsia="zh-CN"/>
        </w:rPr>
      </w:pPr>
      <w:r>
        <w:rPr>
          <w:rFonts w:hint="eastAsia" w:ascii="仿宋_GB2312" w:eastAsia="仿宋_GB2312"/>
          <w:color w:val="auto"/>
          <w:szCs w:val="21"/>
          <w:highlight w:val="none"/>
        </w:rPr>
        <w:t>1.2.1 本合同文件除使用中文外，还可用</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3D78840F">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1.2.2 </w:t>
      </w:r>
      <w:r>
        <w:rPr>
          <w:rFonts w:hint="eastAsia" w:ascii="仿宋_GB2312" w:hAnsi="宋体" w:eastAsia="仿宋_GB2312"/>
          <w:color w:val="auto"/>
          <w:szCs w:val="21"/>
          <w:highlight w:val="none"/>
        </w:rPr>
        <w:t>约定本合同文件的解释顺序为：</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734A3D22">
      <w:pPr>
        <w:adjustRightInd w:val="0"/>
        <w:snapToGrid w:val="0"/>
        <w:spacing w:line="360" w:lineRule="auto"/>
        <w:outlineLvl w:val="9"/>
        <w:rPr>
          <w:rFonts w:hint="eastAsia" w:ascii="仿宋_GB2312" w:hAnsi="黑体" w:eastAsia="仿宋_GB2312"/>
          <w:b/>
          <w:color w:val="auto"/>
          <w:szCs w:val="21"/>
          <w:highlight w:val="none"/>
        </w:rPr>
      </w:pPr>
      <w:bookmarkStart w:id="313" w:name="_Toc36049323"/>
      <w:r>
        <w:rPr>
          <w:rFonts w:hint="eastAsia" w:ascii="仿宋_GB2312" w:hAnsi="黑体" w:eastAsia="仿宋_GB2312"/>
          <w:b/>
          <w:color w:val="auto"/>
          <w:szCs w:val="21"/>
          <w:highlight w:val="none"/>
        </w:rPr>
        <w:t>2. 乙方义务</w:t>
      </w:r>
      <w:bookmarkEnd w:id="313"/>
    </w:p>
    <w:p w14:paraId="738B12C9">
      <w:pPr>
        <w:adjustRightInd w:val="0"/>
        <w:snapToGrid w:val="0"/>
        <w:spacing w:line="360" w:lineRule="auto"/>
        <w:ind w:firstLine="415" w:firstLineChars="198"/>
        <w:outlineLvl w:val="9"/>
        <w:rPr>
          <w:rFonts w:hint="eastAsia" w:ascii="仿宋_GB2312" w:eastAsia="仿宋_GB2312"/>
          <w:color w:val="auto"/>
          <w:szCs w:val="21"/>
          <w:highlight w:val="none"/>
        </w:rPr>
      </w:pPr>
      <w:bookmarkStart w:id="314" w:name="_Toc36049324"/>
      <w:r>
        <w:rPr>
          <w:rFonts w:hint="eastAsia" w:ascii="仿宋_GB2312" w:eastAsia="仿宋_GB2312"/>
          <w:color w:val="auto"/>
          <w:szCs w:val="21"/>
          <w:highlight w:val="none"/>
        </w:rPr>
        <w:t xml:space="preserve">2.1 </w:t>
      </w:r>
      <w:r>
        <w:rPr>
          <w:rFonts w:hint="eastAsia" w:ascii="仿宋_GB2312" w:hAnsi="黑体" w:eastAsia="仿宋_GB2312"/>
          <w:color w:val="auto"/>
          <w:szCs w:val="21"/>
          <w:highlight w:val="none"/>
        </w:rPr>
        <w:t>工程质量检测的范围和</w:t>
      </w:r>
      <w:r>
        <w:rPr>
          <w:rFonts w:hint="eastAsia" w:ascii="仿宋_GB2312" w:hAnsi="宋体" w:eastAsia="仿宋_GB2312"/>
          <w:bCs/>
          <w:color w:val="auto"/>
          <w:szCs w:val="21"/>
          <w:highlight w:val="none"/>
        </w:rPr>
        <w:t>内容</w:t>
      </w:r>
      <w:bookmarkEnd w:id="314"/>
    </w:p>
    <w:p w14:paraId="4CDB3F44">
      <w:pPr>
        <w:spacing w:line="360" w:lineRule="auto"/>
        <w:ind w:firstLine="315" w:firstLineChars="150"/>
        <w:jc w:val="left"/>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 2.1.1 </w:t>
      </w:r>
      <w:r>
        <w:rPr>
          <w:rFonts w:hint="eastAsia" w:ascii="仿宋_GB2312" w:hAnsi="宋体" w:eastAsia="仿宋_GB2312"/>
          <w:color w:val="auto"/>
          <w:szCs w:val="21"/>
          <w:highlight w:val="none"/>
        </w:rPr>
        <w:t>工程质量检测范围如下第</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项所述：</w:t>
      </w:r>
    </w:p>
    <w:p w14:paraId="2CB8BFF2">
      <w:pPr>
        <w:spacing w:line="360" w:lineRule="auto"/>
        <w:ind w:left="420" w:firstLine="420" w:firstLineChars="200"/>
        <w:jc w:val="left"/>
        <w:outlineLvl w:val="9"/>
        <w:rPr>
          <w:rFonts w:hint="eastAsia" w:ascii="仿宋_GB2312" w:hAnsi="宋体" w:eastAsia="仿宋_GB2312"/>
          <w:color w:val="auto"/>
          <w:szCs w:val="21"/>
          <w:highlight w:val="none"/>
          <w:lang w:eastAsia="zh-CN"/>
        </w:rPr>
      </w:pPr>
      <w:bookmarkStart w:id="315" w:name="_Toc36049325"/>
      <w:r>
        <w:rPr>
          <w:rFonts w:hint="eastAsia" w:ascii="仿宋_GB2312" w:hAnsi="宋体" w:eastAsia="仿宋_GB2312"/>
          <w:color w:val="auto"/>
          <w:szCs w:val="21"/>
          <w:highlight w:val="none"/>
          <w:lang w:val="en-US" w:eastAsia="zh-CN"/>
        </w:rPr>
        <w:t>1.</w:t>
      </w:r>
      <w:r>
        <w:rPr>
          <w:rFonts w:hint="eastAsia" w:ascii="仿宋_GB2312" w:hAnsi="宋体" w:eastAsia="仿宋_GB2312"/>
          <w:color w:val="auto"/>
          <w:szCs w:val="21"/>
          <w:highlight w:val="none"/>
        </w:rPr>
        <w:t>建筑材料及构配件</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751120C6">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2.</w:t>
      </w:r>
      <w:r>
        <w:rPr>
          <w:rFonts w:hint="eastAsia" w:ascii="仿宋_GB2312" w:hAnsi="宋体" w:eastAsia="仿宋_GB2312"/>
          <w:color w:val="auto"/>
          <w:szCs w:val="21"/>
          <w:highlight w:val="none"/>
        </w:rPr>
        <w:t>主体结构及装饰装修</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1D330388">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3.</w:t>
      </w:r>
      <w:r>
        <w:rPr>
          <w:rFonts w:hint="eastAsia" w:ascii="仿宋_GB2312" w:hAnsi="宋体" w:eastAsia="仿宋_GB2312"/>
          <w:color w:val="auto"/>
          <w:szCs w:val="21"/>
          <w:highlight w:val="none"/>
        </w:rPr>
        <w:t>钢结构</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055D8E7B">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4.</w:t>
      </w:r>
      <w:r>
        <w:rPr>
          <w:rFonts w:hint="eastAsia" w:ascii="仿宋_GB2312" w:hAnsi="宋体" w:eastAsia="仿宋_GB2312"/>
          <w:color w:val="auto"/>
          <w:szCs w:val="21"/>
          <w:highlight w:val="none"/>
        </w:rPr>
        <w:t>地基基础</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3D0788A4">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5.</w:t>
      </w:r>
      <w:r>
        <w:rPr>
          <w:rFonts w:hint="eastAsia" w:ascii="仿宋_GB2312" w:hAnsi="宋体" w:eastAsia="仿宋_GB2312"/>
          <w:color w:val="auto"/>
          <w:szCs w:val="21"/>
          <w:highlight w:val="none"/>
        </w:rPr>
        <w:t>建筑节能</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4A668D2C">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6.</w:t>
      </w:r>
      <w:r>
        <w:rPr>
          <w:rFonts w:hint="eastAsia" w:ascii="仿宋_GB2312" w:hAnsi="宋体" w:eastAsia="仿宋_GB2312"/>
          <w:color w:val="auto"/>
          <w:szCs w:val="21"/>
          <w:highlight w:val="none"/>
        </w:rPr>
        <w:t>建筑幕墙</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05A08811">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7.</w:t>
      </w:r>
      <w:r>
        <w:rPr>
          <w:rFonts w:hint="eastAsia" w:ascii="仿宋_GB2312" w:hAnsi="宋体" w:eastAsia="仿宋_GB2312"/>
          <w:color w:val="auto"/>
          <w:szCs w:val="21"/>
          <w:highlight w:val="none"/>
        </w:rPr>
        <w:t>市政工程材料</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3BB1F5F4">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8.</w:t>
      </w:r>
      <w:r>
        <w:rPr>
          <w:rFonts w:hint="eastAsia" w:ascii="仿宋_GB2312" w:hAnsi="宋体" w:eastAsia="仿宋_GB2312"/>
          <w:color w:val="auto"/>
          <w:szCs w:val="21"/>
          <w:highlight w:val="none"/>
        </w:rPr>
        <w:t>道路工程</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p w14:paraId="51D92D89">
      <w:pPr>
        <w:spacing w:line="360" w:lineRule="auto"/>
        <w:ind w:left="420" w:firstLine="420" w:firstLineChars="200"/>
        <w:jc w:val="left"/>
        <w:outlineLvl w:val="9"/>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lang w:val="en-US" w:eastAsia="zh-CN"/>
        </w:rPr>
        <w:t>9.</w:t>
      </w:r>
      <w:r>
        <w:rPr>
          <w:rFonts w:hint="eastAsia" w:ascii="仿宋_GB2312" w:hAnsi="宋体" w:eastAsia="仿宋_GB2312"/>
          <w:color w:val="auto"/>
          <w:szCs w:val="21"/>
          <w:highlight w:val="none"/>
        </w:rPr>
        <w:t>桥梁及地下工程</w:t>
      </w:r>
      <w:r>
        <w:rPr>
          <w:rFonts w:hint="eastAsia" w:ascii="仿宋_GB2312" w:hAnsi="宋体" w:eastAsia="仿宋_GB2312"/>
          <w:color w:val="auto"/>
          <w:szCs w:val="21"/>
          <w:highlight w:val="none"/>
          <w:lang w:eastAsia="zh-CN"/>
        </w:rPr>
        <w:t>：</w:t>
      </w:r>
      <w:r>
        <w:rPr>
          <w:rFonts w:hint="eastAsia" w:ascii="仿宋_GB2312" w:eastAsia="仿宋_GB2312"/>
          <w:color w:val="auto"/>
          <w:szCs w:val="21"/>
          <w:highlight w:val="none"/>
          <w:u w:val="single"/>
        </w:rPr>
        <w:t xml:space="preserve">                     </w:t>
      </w:r>
    </w:p>
    <w:bookmarkEnd w:id="315"/>
    <w:p w14:paraId="204D3C2A">
      <w:pPr>
        <w:pStyle w:val="19"/>
        <w:adjustRightInd w:val="0"/>
        <w:snapToGrid w:val="0"/>
        <w:ind w:firstLineChars="200"/>
        <w:outlineLvl w:val="9"/>
        <w:rPr>
          <w:rFonts w:hint="eastAsia" w:ascii="仿宋_GB2312" w:eastAsia="仿宋_GB2312"/>
          <w:color w:val="auto"/>
          <w:szCs w:val="21"/>
          <w:highlight w:val="none"/>
          <w:u w:val="single"/>
        </w:rPr>
      </w:pPr>
      <w:r>
        <w:rPr>
          <w:rFonts w:hint="eastAsia" w:ascii="仿宋_GB2312" w:hAnsi="_x000B__x000C_" w:eastAsia="仿宋_GB2312"/>
          <w:color w:val="auto"/>
          <w:sz w:val="21"/>
          <w:szCs w:val="21"/>
          <w:highlight w:val="none"/>
        </w:rPr>
        <w:t xml:space="preserve">  </w:t>
      </w:r>
      <w:r>
        <w:rPr>
          <w:rFonts w:hint="eastAsia" w:ascii="仿宋_GB2312" w:hAnsi="_x000B__x000C_" w:eastAsia="仿宋_GB2312"/>
          <w:color w:val="auto"/>
          <w:sz w:val="21"/>
          <w:szCs w:val="21"/>
          <w:highlight w:val="none"/>
          <w:lang w:val="en-US" w:eastAsia="zh-CN"/>
        </w:rPr>
        <w:t xml:space="preserve"> </w:t>
      </w:r>
      <w:bookmarkStart w:id="316" w:name="_Toc36049330"/>
      <w:r>
        <w:rPr>
          <w:rFonts w:hint="eastAsia" w:ascii="仿宋_GB2312" w:eastAsia="仿宋_GB2312"/>
          <w:color w:val="auto"/>
          <w:szCs w:val="21"/>
          <w:highlight w:val="none"/>
        </w:rPr>
        <w:t xml:space="preserve">2.1.2 </w:t>
      </w:r>
      <w:r>
        <w:rPr>
          <w:rFonts w:hint="eastAsia" w:ascii="仿宋_GB2312" w:hAnsi="宋体" w:eastAsia="仿宋_GB2312"/>
          <w:color w:val="auto"/>
          <w:szCs w:val="21"/>
          <w:highlight w:val="none"/>
        </w:rPr>
        <w:t>工程质量检测工作内容还包括：</w:t>
      </w:r>
      <w:bookmarkEnd w:id="316"/>
      <w:r>
        <w:rPr>
          <w:rFonts w:hint="eastAsia" w:ascii="仿宋_GB2312" w:eastAsia="仿宋_GB2312"/>
          <w:color w:val="auto"/>
          <w:szCs w:val="21"/>
          <w:highlight w:val="none"/>
          <w:u w:val="single"/>
        </w:rPr>
        <w:t xml:space="preserve">                     </w:t>
      </w:r>
    </w:p>
    <w:p w14:paraId="3AD827C1">
      <w:pPr>
        <w:adjustRightInd w:val="0"/>
        <w:snapToGrid w:val="0"/>
        <w:spacing w:line="360" w:lineRule="auto"/>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2B367487">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（具体检测内容、抽检数量及检测费用详见工程检测项目工程量清单。）</w:t>
      </w:r>
    </w:p>
    <w:p w14:paraId="5D8BDA58">
      <w:pPr>
        <w:spacing w:line="360" w:lineRule="auto"/>
        <w:ind w:firstLine="205" w:firstLineChars="98"/>
        <w:outlineLvl w:val="9"/>
        <w:rPr>
          <w:rFonts w:hint="eastAsia" w:ascii="仿宋_GB2312" w:eastAsia="仿宋_GB2312"/>
          <w:color w:val="auto"/>
          <w:szCs w:val="21"/>
          <w:highlight w:val="none"/>
        </w:rPr>
      </w:pPr>
      <w:bookmarkStart w:id="317" w:name="_Toc36049331"/>
      <w:r>
        <w:rPr>
          <w:rFonts w:hint="eastAsia" w:ascii="仿宋_GB2312" w:eastAsia="仿宋_GB2312"/>
          <w:color w:val="auto"/>
          <w:szCs w:val="21"/>
          <w:highlight w:val="none"/>
        </w:rPr>
        <w:t>2.2 工程质量检测与相关服务依据</w:t>
      </w:r>
      <w:bookmarkEnd w:id="317"/>
    </w:p>
    <w:p w14:paraId="2FA07F14">
      <w:pPr>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2.2.1 工程质量检测依据包括：</w:t>
      </w:r>
    </w:p>
    <w:p w14:paraId="02EB9499">
      <w:pPr>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lang w:eastAsia="zh-CN"/>
        </w:rPr>
        <w:t>1.</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 xml:space="preserve">      </w:t>
      </w:r>
    </w:p>
    <w:p w14:paraId="2B707AEB">
      <w:pPr>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lang w:eastAsia="zh-CN"/>
        </w:rPr>
        <w:t>2.</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 xml:space="preserve">      </w:t>
      </w:r>
    </w:p>
    <w:p w14:paraId="1A777FBE">
      <w:pPr>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lang w:eastAsia="zh-CN"/>
        </w:rPr>
        <w:t>3.</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w:t>
      </w:r>
    </w:p>
    <w:p w14:paraId="4001F4A8">
      <w:pPr>
        <w:adjustRightInd w:val="0"/>
        <w:snapToGrid w:val="0"/>
        <w:spacing w:line="360" w:lineRule="auto"/>
        <w:ind w:firstLine="420" w:firstLineChars="200"/>
        <w:outlineLvl w:val="9"/>
        <w:rPr>
          <w:rFonts w:hint="eastAsia" w:ascii="仿宋_GB2312" w:eastAsia="仿宋_GB2312"/>
          <w:dstrike/>
          <w:color w:val="auto"/>
          <w:szCs w:val="21"/>
          <w:highlight w:val="none"/>
        </w:rPr>
      </w:pPr>
      <w:r>
        <w:rPr>
          <w:rFonts w:hint="eastAsia" w:ascii="仿宋_GB2312" w:hAnsi="宋体" w:eastAsia="仿宋_GB2312"/>
          <w:color w:val="auto"/>
          <w:szCs w:val="21"/>
          <w:highlight w:val="none"/>
        </w:rPr>
        <w:t>2.2.2 相关服务依据包括：</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7F7B09F8">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  2.3检测</w:t>
      </w:r>
      <w:r>
        <w:rPr>
          <w:rFonts w:hint="eastAsia" w:ascii="仿宋_GB2312" w:hAnsi="宋体" w:eastAsia="仿宋_GB2312" w:cs="宋体"/>
          <w:color w:val="auto"/>
          <w:kern w:val="0"/>
          <w:szCs w:val="21"/>
          <w:highlight w:val="none"/>
        </w:rPr>
        <w:t>项目负责人</w:t>
      </w:r>
    </w:p>
    <w:p w14:paraId="3987AAD1">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2.3.1 乙方检测项目负责人为：</w:t>
      </w:r>
    </w:p>
    <w:p w14:paraId="17B34AA1">
      <w:pPr>
        <w:adjustRightInd w:val="0"/>
        <w:snapToGrid w:val="0"/>
        <w:spacing w:line="360" w:lineRule="auto"/>
        <w:ind w:firstLine="1050" w:firstLineChars="500"/>
        <w:outlineLvl w:val="9"/>
        <w:rPr>
          <w:rFonts w:hint="eastAsia" w:ascii="仿宋_GB2312" w:eastAsia="仿宋_GB2312"/>
          <w:color w:val="auto"/>
          <w:szCs w:val="21"/>
          <w:highlight w:val="none"/>
        </w:rPr>
      </w:pPr>
      <w:r>
        <w:rPr>
          <w:rFonts w:hint="eastAsia" w:ascii="仿宋_GB2312" w:eastAsia="仿宋_GB2312"/>
          <w:color w:val="auto"/>
          <w:szCs w:val="21"/>
          <w:highlight w:val="none"/>
        </w:rPr>
        <w:t>各检测项目组负责人为：</w:t>
      </w:r>
    </w:p>
    <w:p w14:paraId="37EC7C38">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eastAsia="仿宋_GB2312"/>
          <w:color w:val="auto"/>
          <w:szCs w:val="21"/>
          <w:highlight w:val="none"/>
        </w:rPr>
        <w:t>2.3.2 项目负责人的职责：</w:t>
      </w:r>
    </w:p>
    <w:p w14:paraId="6225E835">
      <w:pPr>
        <w:adjustRightInd w:val="0"/>
        <w:snapToGrid w:val="0"/>
        <w:spacing w:line="360" w:lineRule="auto"/>
        <w:ind w:firstLine="1050" w:firstLineChars="500"/>
        <w:outlineLvl w:val="9"/>
        <w:rPr>
          <w:rFonts w:hint="eastAsia" w:ascii="仿宋_GB2312" w:eastAsia="仿宋_GB2312"/>
          <w:color w:val="auto"/>
          <w:szCs w:val="21"/>
          <w:highlight w:val="none"/>
        </w:rPr>
      </w:pPr>
      <w:r>
        <w:rPr>
          <w:rFonts w:hint="eastAsia" w:ascii="仿宋_GB2312" w:eastAsia="仿宋_GB2312"/>
          <w:color w:val="auto"/>
          <w:szCs w:val="21"/>
          <w:highlight w:val="none"/>
        </w:rPr>
        <w:t>检测项目组负责人的职责：</w:t>
      </w:r>
    </w:p>
    <w:p w14:paraId="246BF457">
      <w:pPr>
        <w:adjustRightInd w:val="0"/>
        <w:snapToGrid w:val="0"/>
        <w:spacing w:line="360" w:lineRule="auto"/>
        <w:ind w:firstLine="420" w:firstLineChars="200"/>
        <w:outlineLvl w:val="9"/>
        <w:rPr>
          <w:rFonts w:hint="eastAsia" w:ascii="仿宋_GB2312" w:hAnsi="宋体" w:eastAsia="仿宋_GB2312"/>
          <w:color w:val="auto"/>
          <w:kern w:val="0"/>
          <w:szCs w:val="21"/>
          <w:highlight w:val="none"/>
        </w:rPr>
      </w:pPr>
      <w:r>
        <w:rPr>
          <w:rFonts w:hint="eastAsia" w:ascii="仿宋_GB2312" w:eastAsia="仿宋_GB2312"/>
          <w:color w:val="auto"/>
          <w:szCs w:val="21"/>
          <w:highlight w:val="none"/>
        </w:rPr>
        <w:t>2.3.3检测项目负责人和各检测项目组如有变</w:t>
      </w:r>
      <w:r>
        <w:rPr>
          <w:rFonts w:hint="eastAsia" w:ascii="仿宋_GB2312" w:hAnsi="宋体" w:eastAsia="仿宋_GB2312"/>
          <w:color w:val="auto"/>
          <w:kern w:val="0"/>
          <w:szCs w:val="21"/>
          <w:highlight w:val="none"/>
        </w:rPr>
        <w:t>更，乙方应提前7天通知甲方，并征得甲方书面同意。通知中应当载明继任人的资格、管理经验等资料。继任项目负责人或检测项目组负责人继续履行2.3.2项约定的职责。未经甲方书面同意，乙方不得擅自更换项目负责人和项目组负责人。乙方擅自更换项目负责人和项目组负责人的，应按照专用合同条款的约定承担违约责任。</w:t>
      </w:r>
    </w:p>
    <w:p w14:paraId="7E0D94FE">
      <w:pPr>
        <w:adjustRightInd w:val="0"/>
        <w:snapToGrid w:val="0"/>
        <w:spacing w:line="360" w:lineRule="auto"/>
        <w:ind w:firstLine="420" w:firstLineChars="200"/>
        <w:outlineLvl w:val="9"/>
        <w:rPr>
          <w:rFonts w:hint="eastAsia" w:ascii="仿宋_GB2312" w:eastAsia="仿宋_GB2312"/>
          <w:color w:val="auto"/>
          <w:szCs w:val="21"/>
          <w:highlight w:val="none"/>
        </w:rPr>
      </w:pPr>
      <w:r>
        <w:rPr>
          <w:rFonts w:hint="eastAsia" w:ascii="仿宋_GB2312" w:hAnsi="宋体" w:eastAsia="仿宋_GB2312"/>
          <w:color w:val="auto"/>
          <w:kern w:val="0"/>
          <w:szCs w:val="21"/>
          <w:highlight w:val="none"/>
        </w:rPr>
        <w:t>2.3.4 甲方有权书面通知乙方更换其认为不称职的检测项目负责人或检测项目组负责人。通知中应当载明要求更换的理由。乙方应在接到更换通知后14天内向甲方提出书面的改进报告。甲方收到报告后仍要求更换的，乙方应在接到第二次更换通知的28天内进行更换，并将新任命的项目负责人或检测项目组负责人的资格、管理经验等资料书面通知甲方。继任项目负责人或检测项目组负责人继续履行2.3.2项约定的职责。乙方无正当理由拒绝更换项目负责人或检测项目组负责人的，应按照专用合同条款的约定承担违约责任。</w:t>
      </w:r>
    </w:p>
    <w:p w14:paraId="4CC2A6DE">
      <w:pPr>
        <w:adjustRightInd w:val="0"/>
        <w:snapToGrid w:val="0"/>
        <w:spacing w:line="360" w:lineRule="auto"/>
        <w:ind w:firstLine="105" w:firstLineChars="50"/>
        <w:outlineLvl w:val="9"/>
        <w:rPr>
          <w:rFonts w:hint="eastAsia" w:ascii="仿宋_GB2312" w:eastAsia="仿宋_GB2312"/>
          <w:color w:val="auto"/>
          <w:szCs w:val="21"/>
          <w:highlight w:val="none"/>
        </w:rPr>
      </w:pPr>
      <w:r>
        <w:rPr>
          <w:rFonts w:hint="eastAsia" w:ascii="仿宋_GB2312" w:eastAsia="仿宋_GB2312"/>
          <w:color w:val="auto"/>
          <w:kern w:val="0"/>
          <w:szCs w:val="21"/>
          <w:highlight w:val="none"/>
        </w:rPr>
        <w:t xml:space="preserve">2.5 </w:t>
      </w:r>
      <w:r>
        <w:rPr>
          <w:rFonts w:hint="eastAsia" w:ascii="仿宋_GB2312" w:hAnsi="宋体" w:eastAsia="仿宋_GB2312"/>
          <w:color w:val="auto"/>
          <w:szCs w:val="21"/>
          <w:highlight w:val="none"/>
        </w:rPr>
        <w:t>提交</w:t>
      </w:r>
      <w:r>
        <w:rPr>
          <w:rFonts w:hint="eastAsia" w:ascii="仿宋_GB2312" w:hAnsi="宋体" w:eastAsia="仿宋_GB2312" w:cs="宋体"/>
          <w:color w:val="auto"/>
          <w:kern w:val="0"/>
          <w:szCs w:val="21"/>
          <w:highlight w:val="none"/>
        </w:rPr>
        <w:t>报告</w:t>
      </w:r>
    </w:p>
    <w:p w14:paraId="13F02776">
      <w:pPr>
        <w:adjustRightInd w:val="0"/>
        <w:snapToGrid w:val="0"/>
        <w:spacing w:line="360" w:lineRule="auto"/>
        <w:ind w:firstLine="525"/>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rPr>
        <w:t>乙方应提交报告的种类、时间和份数</w:t>
      </w:r>
      <w:r>
        <w:rPr>
          <w:rFonts w:hint="eastAsia" w:ascii="仿宋_GB2312" w:hAnsi="宋体" w:eastAsia="仿宋_GB2312" w:cs="宋体"/>
          <w:color w:val="auto"/>
          <w:kern w:val="0"/>
          <w:szCs w:val="21"/>
          <w:highlight w:val="none"/>
        </w:rPr>
        <w:t>：</w:t>
      </w:r>
      <w:r>
        <w:rPr>
          <w:rFonts w:hint="eastAsia" w:ascii="仿宋_GB2312" w:hAnsi="宋体" w:eastAsia="仿宋_GB2312"/>
          <w:color w:val="auto"/>
          <w:szCs w:val="21"/>
          <w:highlight w:val="none"/>
          <w:u w:val="single"/>
        </w:rPr>
        <w:t xml:space="preserve">                                 </w:t>
      </w:r>
    </w:p>
    <w:p w14:paraId="0144157E">
      <w:pPr>
        <w:adjustRightInd w:val="0"/>
        <w:snapToGrid w:val="0"/>
        <w:spacing w:line="360" w:lineRule="auto"/>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u w:val="single"/>
        </w:rPr>
        <w:t xml:space="preserve">                                                                     </w:t>
      </w:r>
    </w:p>
    <w:p w14:paraId="03CC0000">
      <w:pPr>
        <w:adjustRightInd w:val="0"/>
        <w:snapToGrid w:val="0"/>
        <w:spacing w:line="360" w:lineRule="auto"/>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2B94B2F2">
      <w:pPr>
        <w:spacing w:line="360" w:lineRule="auto"/>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 xml:space="preserve"> 2.7 </w:t>
      </w:r>
      <w:r>
        <w:rPr>
          <w:rFonts w:hint="eastAsia" w:ascii="仿宋_GB2312" w:hAnsi="宋体" w:eastAsia="仿宋_GB2312" w:cs="宋体"/>
          <w:color w:val="auto"/>
          <w:kern w:val="0"/>
          <w:szCs w:val="21"/>
          <w:highlight w:val="none"/>
        </w:rPr>
        <w:t>使用甲方的财产</w:t>
      </w:r>
    </w:p>
    <w:p w14:paraId="3AD0C890">
      <w:pPr>
        <w:spacing w:line="360" w:lineRule="auto"/>
        <w:jc w:val="left"/>
        <w:outlineLvl w:val="9"/>
        <w:rPr>
          <w:rFonts w:hint="eastAsia" w:ascii="仿宋_GB2312" w:eastAsia="仿宋_GB2312"/>
          <w:color w:val="auto"/>
          <w:kern w:val="0"/>
          <w:szCs w:val="21"/>
          <w:highlight w:val="none"/>
        </w:rPr>
      </w:pPr>
      <w:r>
        <w:rPr>
          <w:rFonts w:hint="eastAsia" w:ascii="仿宋_GB2312" w:hAnsi="宋体" w:eastAsia="仿宋_GB2312" w:cs="宋体"/>
          <w:color w:val="auto"/>
          <w:kern w:val="0"/>
          <w:szCs w:val="21"/>
          <w:highlight w:val="none"/>
        </w:rPr>
        <w:t xml:space="preserve">  </w:t>
      </w:r>
      <w:r>
        <w:rPr>
          <w:rFonts w:hint="eastAsia" w:ascii="仿宋_GB2312" w:eastAsia="仿宋_GB2312"/>
          <w:color w:val="auto"/>
          <w:kern w:val="0"/>
          <w:szCs w:val="21"/>
          <w:highlight w:val="none"/>
        </w:rPr>
        <w:t xml:space="preserve">   </w:t>
      </w:r>
      <w:r>
        <w:rPr>
          <w:rFonts w:hint="eastAsia" w:ascii="仿宋_GB2312" w:hAnsi="宋体" w:eastAsia="仿宋_GB2312"/>
          <w:color w:val="auto"/>
          <w:szCs w:val="21"/>
          <w:highlight w:val="none"/>
        </w:rPr>
        <w:t>附录</w:t>
      </w:r>
      <w:r>
        <w:rPr>
          <w:rFonts w:hint="eastAsia" w:ascii="仿宋_GB2312" w:eastAsia="仿宋_GB2312"/>
          <w:color w:val="auto"/>
          <w:szCs w:val="21"/>
          <w:highlight w:val="none"/>
        </w:rPr>
        <w:t>B</w:t>
      </w:r>
      <w:r>
        <w:rPr>
          <w:rFonts w:hint="eastAsia" w:ascii="仿宋_GB2312" w:hAnsi="宋体" w:eastAsia="仿宋_GB2312"/>
          <w:color w:val="auto"/>
          <w:szCs w:val="21"/>
          <w:highlight w:val="none"/>
        </w:rPr>
        <w:t>中由甲方无偿提供的房屋、场地、设备的所有权属于：</w:t>
      </w:r>
      <w:r>
        <w:rPr>
          <w:rFonts w:hint="eastAsia" w:ascii="仿宋_GB2312" w:hAnsi="宋体" w:eastAsia="仿宋_GB2312"/>
          <w:color w:val="auto"/>
          <w:szCs w:val="21"/>
          <w:highlight w:val="none"/>
          <w:u w:val="single"/>
        </w:rPr>
        <w:t xml:space="preserve">  </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5CD819DA">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乙方应在本合同终止后</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天内移交甲方无偿提供的房屋、场地、设备。移交的时间和方式为：</w:t>
      </w:r>
      <w:r>
        <w:rPr>
          <w:rFonts w:hint="eastAsia" w:ascii="仿宋_GB2312" w:hAnsi="宋体" w:eastAsia="仿宋_GB2312"/>
          <w:color w:val="auto"/>
          <w:szCs w:val="21"/>
          <w:highlight w:val="none"/>
          <w:u w:val="single"/>
        </w:rPr>
        <w:t xml:space="preserve">      </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7DCDD86E">
      <w:pPr>
        <w:spacing w:line="360" w:lineRule="auto"/>
        <w:outlineLvl w:val="9"/>
        <w:rPr>
          <w:rFonts w:hint="eastAsia" w:ascii="仿宋_GB2312" w:eastAsia="仿宋_GB2312"/>
          <w:color w:val="auto"/>
          <w:kern w:val="0"/>
          <w:szCs w:val="21"/>
          <w:highlight w:val="none"/>
        </w:rPr>
      </w:pPr>
      <w:r>
        <w:rPr>
          <w:rFonts w:hint="eastAsia" w:ascii="仿宋_GB2312" w:eastAsia="仿宋_GB2312"/>
          <w:color w:val="auto"/>
          <w:kern w:val="0"/>
          <w:szCs w:val="21"/>
          <w:highlight w:val="none"/>
        </w:rPr>
        <w:t>2.8 履约保证金</w:t>
      </w:r>
    </w:p>
    <w:p w14:paraId="058AC30F">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在收到</w:t>
      </w:r>
      <w:r>
        <w:rPr>
          <w:rFonts w:hint="eastAsia" w:ascii="仿宋_GB2312" w:hAnsi="宋体" w:eastAsia="仿宋_GB2312"/>
          <w:color w:val="auto"/>
          <w:szCs w:val="21"/>
          <w:highlight w:val="none"/>
          <w:lang w:eastAsia="zh-CN"/>
        </w:rPr>
        <w:t>成交通知书</w:t>
      </w:r>
      <w:r>
        <w:rPr>
          <w:rFonts w:hint="eastAsia" w:ascii="仿宋_GB2312" w:hAnsi="宋体" w:eastAsia="仿宋_GB2312"/>
          <w:color w:val="auto"/>
          <w:szCs w:val="21"/>
          <w:highlight w:val="none"/>
        </w:rPr>
        <w:t>后，中标单位须在    日内向招标人提交履约保证金（如有）。履约保证金可以</w:t>
      </w:r>
      <w:r>
        <w:rPr>
          <w:rFonts w:hint="eastAsia" w:ascii="仿宋_GB2312" w:hAnsi="宋体" w:eastAsia="仿宋_GB2312"/>
          <w:color w:val="auto"/>
          <w:szCs w:val="21"/>
          <w:highlight w:val="none"/>
          <w:lang w:eastAsia="zh-CN"/>
        </w:rPr>
        <w:t>现金、银行保函、工程担保、电子保函或保证保险</w:t>
      </w:r>
      <w:r>
        <w:rPr>
          <w:rFonts w:hint="eastAsia" w:ascii="仿宋_GB2312" w:hAnsi="宋体" w:eastAsia="仿宋_GB2312"/>
          <w:color w:val="auto"/>
          <w:szCs w:val="21"/>
          <w:highlight w:val="none"/>
        </w:rPr>
        <w:t>等形式。履约保证金的金额：</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【备注：为合同价款的0～10%】</w:t>
      </w:r>
    </w:p>
    <w:p w14:paraId="4196ECF1">
      <w:pPr>
        <w:adjustRightInd w:val="0"/>
        <w:snapToGrid w:val="0"/>
        <w:spacing w:line="360" w:lineRule="auto"/>
        <w:outlineLvl w:val="9"/>
        <w:rPr>
          <w:rFonts w:hint="eastAsia" w:ascii="仿宋_GB2312" w:hAnsi="黑体" w:eastAsia="仿宋_GB2312"/>
          <w:b/>
          <w:color w:val="auto"/>
          <w:szCs w:val="21"/>
          <w:highlight w:val="none"/>
        </w:rPr>
      </w:pPr>
      <w:bookmarkStart w:id="318" w:name="_Toc36049332"/>
      <w:r>
        <w:rPr>
          <w:rFonts w:hint="eastAsia" w:ascii="仿宋_GB2312" w:hAnsi="黑体" w:eastAsia="仿宋_GB2312"/>
          <w:b/>
          <w:color w:val="auto"/>
          <w:kern w:val="0"/>
          <w:szCs w:val="21"/>
          <w:highlight w:val="none"/>
        </w:rPr>
        <w:t>3. 甲方义务</w:t>
      </w:r>
      <w:bookmarkEnd w:id="318"/>
      <w:r>
        <w:rPr>
          <w:rFonts w:hint="eastAsia" w:ascii="仿宋_GB2312" w:hAnsi="黑体" w:eastAsia="仿宋_GB2312"/>
          <w:b/>
          <w:color w:val="auto"/>
          <w:kern w:val="0"/>
          <w:szCs w:val="21"/>
          <w:highlight w:val="none"/>
        </w:rPr>
        <w:t xml:space="preserve">  </w:t>
      </w:r>
    </w:p>
    <w:p w14:paraId="7720855B">
      <w:pPr>
        <w:snapToGrid w:val="0"/>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r>
        <w:rPr>
          <w:rFonts w:hint="eastAsia" w:ascii="仿宋_GB2312" w:eastAsia="仿宋_GB2312"/>
          <w:color w:val="auto"/>
          <w:kern w:val="0"/>
          <w:szCs w:val="21"/>
          <w:highlight w:val="none"/>
        </w:rPr>
        <w:t>3.3</w:t>
      </w:r>
      <w:r>
        <w:rPr>
          <w:rFonts w:hint="eastAsia" w:ascii="仿宋_GB2312" w:hAnsi="宋体" w:eastAsia="仿宋_GB2312" w:cs="宋体"/>
          <w:color w:val="auto"/>
          <w:kern w:val="0"/>
          <w:szCs w:val="21"/>
          <w:highlight w:val="none"/>
        </w:rPr>
        <w:t>甲方代表</w:t>
      </w:r>
    </w:p>
    <w:p w14:paraId="63AB0545">
      <w:pPr>
        <w:adjustRightInd w:val="0"/>
        <w:snapToGrid w:val="0"/>
        <w:spacing w:line="360" w:lineRule="auto"/>
        <w:ind w:firstLine="420" w:firstLineChars="200"/>
        <w:outlineLvl w:val="9"/>
        <w:rPr>
          <w:rFonts w:hint="eastAsia" w:ascii="仿宋_GB2312" w:eastAsia="仿宋_GB2312"/>
          <w:color w:val="auto"/>
          <w:szCs w:val="21"/>
          <w:highlight w:val="none"/>
          <w:u w:val="single"/>
        </w:rPr>
      </w:pPr>
      <w:r>
        <w:rPr>
          <w:rFonts w:hint="eastAsia" w:ascii="仿宋_GB2312" w:hAnsi="宋体" w:eastAsia="仿宋_GB2312"/>
          <w:color w:val="auto"/>
          <w:szCs w:val="21"/>
          <w:highlight w:val="none"/>
        </w:rPr>
        <w:t>甲方代表为：</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317653C2">
      <w:pPr>
        <w:adjustRightInd w:val="0"/>
        <w:snapToGrid w:val="0"/>
        <w:spacing w:line="360" w:lineRule="auto"/>
        <w:ind w:firstLine="205" w:firstLineChars="98"/>
        <w:outlineLvl w:val="9"/>
        <w:rPr>
          <w:rFonts w:hint="eastAsia" w:ascii="仿宋_GB2312" w:hAnsi="宋体" w:eastAsia="仿宋_GB2312" w:cs="宋体"/>
          <w:color w:val="auto"/>
          <w:kern w:val="0"/>
          <w:szCs w:val="21"/>
          <w:highlight w:val="none"/>
        </w:rPr>
      </w:pPr>
      <w:bookmarkStart w:id="319" w:name="_Toc36049333"/>
      <w:r>
        <w:rPr>
          <w:rFonts w:hint="eastAsia" w:ascii="仿宋_GB2312" w:eastAsia="仿宋_GB2312"/>
          <w:color w:val="auto"/>
          <w:kern w:val="0"/>
          <w:szCs w:val="21"/>
          <w:highlight w:val="none"/>
        </w:rPr>
        <w:t xml:space="preserve">3.4 </w:t>
      </w:r>
      <w:r>
        <w:rPr>
          <w:rFonts w:hint="eastAsia" w:ascii="仿宋_GB2312" w:hAnsi="宋体" w:eastAsia="仿宋_GB2312" w:cs="宋体"/>
          <w:color w:val="auto"/>
          <w:kern w:val="0"/>
          <w:szCs w:val="21"/>
          <w:highlight w:val="none"/>
        </w:rPr>
        <w:t>答复</w:t>
      </w:r>
      <w:bookmarkEnd w:id="319"/>
    </w:p>
    <w:p w14:paraId="080D6312">
      <w:pPr>
        <w:adjustRightInd w:val="0"/>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甲方同意在</w:t>
      </w:r>
      <w:r>
        <w:rPr>
          <w:rFonts w:hint="eastAsia" w:ascii="仿宋_GB2312" w:eastAsia="仿宋_GB2312"/>
          <w:color w:val="auto"/>
          <w:szCs w:val="21"/>
          <w:highlight w:val="none"/>
          <w:u w:val="single"/>
        </w:rPr>
        <w:t xml:space="preserve">        </w:t>
      </w:r>
      <w:r>
        <w:rPr>
          <w:rFonts w:hint="eastAsia" w:ascii="仿宋_GB2312" w:hAnsi="宋体" w:eastAsia="仿宋_GB2312"/>
          <w:color w:val="auto"/>
          <w:szCs w:val="21"/>
          <w:highlight w:val="none"/>
        </w:rPr>
        <w:t>天内，对乙方书面提交并要求做出决定的事宜给予书面答复。</w:t>
      </w:r>
    </w:p>
    <w:p w14:paraId="341DD17E">
      <w:pPr>
        <w:snapToGrid w:val="0"/>
        <w:spacing w:line="360" w:lineRule="auto"/>
        <w:outlineLvl w:val="9"/>
        <w:rPr>
          <w:rFonts w:hint="eastAsia" w:ascii="仿宋_GB2312" w:hAnsi="黑体" w:eastAsia="仿宋_GB2312"/>
          <w:b/>
          <w:bCs/>
          <w:color w:val="auto"/>
          <w:szCs w:val="21"/>
          <w:highlight w:val="none"/>
        </w:rPr>
      </w:pPr>
      <w:bookmarkStart w:id="320" w:name="_Toc36049334"/>
      <w:r>
        <w:rPr>
          <w:rFonts w:hint="eastAsia" w:ascii="仿宋_GB2312" w:hAnsi="黑体" w:eastAsia="仿宋_GB2312"/>
          <w:b/>
          <w:bCs/>
          <w:color w:val="auto"/>
          <w:szCs w:val="21"/>
          <w:highlight w:val="none"/>
        </w:rPr>
        <w:t>4. 违约责任</w:t>
      </w:r>
      <w:bookmarkEnd w:id="320"/>
    </w:p>
    <w:p w14:paraId="552C91A3">
      <w:pPr>
        <w:spacing w:line="360" w:lineRule="auto"/>
        <w:ind w:left="210" w:leftChars="100"/>
        <w:outlineLvl w:val="9"/>
        <w:rPr>
          <w:rFonts w:hint="eastAsia" w:ascii="仿宋_GB2312" w:hAnsi="宋体" w:eastAsia="仿宋_GB2312" w:cs="宋体"/>
          <w:color w:val="auto"/>
          <w:kern w:val="0"/>
          <w:szCs w:val="21"/>
          <w:highlight w:val="none"/>
        </w:rPr>
      </w:pPr>
      <w:bookmarkStart w:id="321" w:name="_Toc36049335"/>
      <w:r>
        <w:rPr>
          <w:rFonts w:hint="eastAsia" w:ascii="仿宋_GB2312" w:eastAsia="仿宋_GB2312"/>
          <w:color w:val="auto"/>
          <w:kern w:val="0"/>
          <w:szCs w:val="21"/>
          <w:highlight w:val="none"/>
        </w:rPr>
        <w:t xml:space="preserve">4.1 </w:t>
      </w:r>
      <w:r>
        <w:rPr>
          <w:rFonts w:hint="eastAsia" w:ascii="仿宋_GB2312" w:hAnsi="宋体" w:eastAsia="仿宋_GB2312" w:cs="宋体"/>
          <w:color w:val="auto"/>
          <w:kern w:val="0"/>
          <w:szCs w:val="21"/>
          <w:highlight w:val="none"/>
        </w:rPr>
        <w:t>乙方的违约责任</w:t>
      </w:r>
      <w:bookmarkEnd w:id="321"/>
    </w:p>
    <w:p w14:paraId="595D960C">
      <w:pPr>
        <w:adjustRightInd w:val="0"/>
        <w:snapToGrid w:val="0"/>
        <w:spacing w:line="360" w:lineRule="auto"/>
        <w:ind w:firstLine="420" w:firstLineChars="200"/>
        <w:outlineLvl w:val="9"/>
        <w:rPr>
          <w:rFonts w:hint="eastAsia" w:ascii="仿宋_GB2312" w:hAnsi="宋体" w:eastAsia="仿宋_GB2312" w:cs="宋体"/>
          <w:color w:val="auto"/>
          <w:kern w:val="0"/>
          <w:szCs w:val="21"/>
          <w:highlight w:val="none"/>
        </w:rPr>
      </w:pPr>
      <w:r>
        <w:rPr>
          <w:rFonts w:hint="eastAsia" w:ascii="仿宋_GB2312" w:eastAsia="仿宋_GB2312"/>
          <w:color w:val="auto"/>
          <w:kern w:val="0"/>
          <w:szCs w:val="21"/>
          <w:highlight w:val="none"/>
        </w:rPr>
        <w:t>4.1.1</w:t>
      </w:r>
      <w:r>
        <w:rPr>
          <w:rFonts w:hint="eastAsia" w:ascii="仿宋_GB2312" w:hAnsi="宋体" w:eastAsia="仿宋_GB2312"/>
          <w:color w:val="auto"/>
          <w:kern w:val="0"/>
          <w:szCs w:val="21"/>
          <w:highlight w:val="none"/>
        </w:rPr>
        <w:t>乙方赔偿金额按下列方法确定（由甲乙双方签订合同时明确）。</w:t>
      </w:r>
    </w:p>
    <w:p w14:paraId="63D9694E">
      <w:pPr>
        <w:snapToGrid w:val="0"/>
        <w:spacing w:line="360" w:lineRule="auto"/>
        <w:ind w:firstLine="210" w:firstLineChars="100"/>
        <w:outlineLvl w:val="9"/>
        <w:rPr>
          <w:rFonts w:hint="eastAsia" w:ascii="仿宋_GB2312" w:hAnsi="宋体" w:eastAsia="仿宋_GB2312" w:cs="宋体"/>
          <w:color w:val="auto"/>
          <w:kern w:val="0"/>
          <w:szCs w:val="21"/>
          <w:highlight w:val="none"/>
        </w:rPr>
      </w:pPr>
      <w:bookmarkStart w:id="322" w:name="_Toc36049336"/>
      <w:r>
        <w:rPr>
          <w:rFonts w:hint="eastAsia" w:ascii="仿宋_GB2312" w:eastAsia="仿宋_GB2312"/>
          <w:color w:val="auto"/>
          <w:kern w:val="0"/>
          <w:szCs w:val="21"/>
          <w:highlight w:val="none"/>
        </w:rPr>
        <w:t>4.2 甲方</w:t>
      </w:r>
      <w:r>
        <w:rPr>
          <w:rFonts w:hint="eastAsia" w:ascii="仿宋_GB2312" w:hAnsi="宋体" w:eastAsia="仿宋_GB2312" w:cs="宋体"/>
          <w:color w:val="auto"/>
          <w:kern w:val="0"/>
          <w:szCs w:val="21"/>
          <w:highlight w:val="none"/>
        </w:rPr>
        <w:t>的违约责任</w:t>
      </w:r>
      <w:bookmarkEnd w:id="322"/>
    </w:p>
    <w:p w14:paraId="6E24687A">
      <w:pPr>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4.2.3甲方逾期付款利息按下列方法确定（由甲乙双方签订合同时明确）。</w:t>
      </w:r>
    </w:p>
    <w:p w14:paraId="27195F9C">
      <w:pPr>
        <w:snapToGrid w:val="0"/>
        <w:spacing w:line="360" w:lineRule="auto"/>
        <w:outlineLvl w:val="9"/>
        <w:rPr>
          <w:rFonts w:hint="eastAsia" w:ascii="仿宋_GB2312" w:hAnsi="黑体" w:eastAsia="仿宋_GB2312"/>
          <w:b/>
          <w:color w:val="auto"/>
          <w:szCs w:val="21"/>
          <w:highlight w:val="none"/>
        </w:rPr>
      </w:pPr>
      <w:bookmarkStart w:id="323" w:name="_Toc36049337"/>
      <w:r>
        <w:rPr>
          <w:rFonts w:hint="eastAsia" w:ascii="仿宋_GB2312" w:hAnsi="黑体" w:eastAsia="仿宋_GB2312"/>
          <w:b/>
          <w:bCs/>
          <w:color w:val="auto"/>
          <w:szCs w:val="21"/>
          <w:highlight w:val="none"/>
        </w:rPr>
        <w:t>5.支付</w:t>
      </w:r>
      <w:bookmarkEnd w:id="323"/>
    </w:p>
    <w:p w14:paraId="4CF39A30">
      <w:pPr>
        <w:snapToGrid w:val="0"/>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  5.5</w:t>
      </w:r>
      <w:r>
        <w:rPr>
          <w:rFonts w:ascii="仿宋_GB2312" w:eastAsia="仿宋_GB2312"/>
          <w:color w:val="auto"/>
          <w:szCs w:val="21"/>
          <w:highlight w:val="none"/>
        </w:rPr>
        <w:t>合同价格形式</w:t>
      </w:r>
      <w:r>
        <w:rPr>
          <w:rFonts w:hint="eastAsia" w:ascii="仿宋_GB2312" w:eastAsia="仿宋_GB2312"/>
          <w:color w:val="auto"/>
          <w:szCs w:val="21"/>
          <w:highlight w:val="none"/>
        </w:rPr>
        <w:t>：</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（由甲乙双方签订合同时明确）</w:t>
      </w:r>
    </w:p>
    <w:p w14:paraId="782C025D">
      <w:pPr>
        <w:snapToGrid w:val="0"/>
        <w:spacing w:line="360" w:lineRule="auto"/>
        <w:ind w:firstLine="210" w:firstLineChars="100"/>
        <w:outlineLvl w:val="9"/>
        <w:rPr>
          <w:rFonts w:hint="eastAsia" w:ascii="仿宋_GB2312" w:eastAsia="仿宋_GB2312"/>
          <w:color w:val="auto"/>
          <w:szCs w:val="21"/>
          <w:highlight w:val="none"/>
        </w:rPr>
      </w:pPr>
      <w:r>
        <w:rPr>
          <w:rFonts w:hint="eastAsia" w:ascii="仿宋_GB2312" w:eastAsia="仿宋_GB2312"/>
          <w:color w:val="auto"/>
          <w:szCs w:val="21"/>
          <w:highlight w:val="none"/>
        </w:rPr>
        <w:t>5.6</w:t>
      </w:r>
      <w:r>
        <w:rPr>
          <w:rFonts w:ascii="仿宋_GB2312" w:eastAsia="仿宋_GB2312"/>
          <w:color w:val="auto"/>
          <w:szCs w:val="21"/>
          <w:highlight w:val="none"/>
        </w:rPr>
        <w:t>预付款</w:t>
      </w:r>
      <w:r>
        <w:rPr>
          <w:rFonts w:hint="eastAsia" w:ascii="仿宋_GB2312" w:eastAsia="仿宋_GB2312"/>
          <w:color w:val="auto"/>
          <w:szCs w:val="21"/>
          <w:highlight w:val="none"/>
        </w:rPr>
        <w:t>：</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（由甲乙双方签订合同时明确）</w:t>
      </w:r>
    </w:p>
    <w:p w14:paraId="6DF76C31">
      <w:pPr>
        <w:snapToGrid w:val="0"/>
        <w:spacing w:line="360" w:lineRule="auto"/>
        <w:ind w:firstLine="210" w:firstLineChars="100"/>
        <w:outlineLvl w:val="9"/>
        <w:rPr>
          <w:rFonts w:hint="eastAsia" w:ascii="仿宋_GB2312" w:eastAsia="仿宋_GB2312"/>
          <w:color w:val="auto"/>
          <w:szCs w:val="21"/>
          <w:highlight w:val="none"/>
        </w:rPr>
      </w:pPr>
      <w:r>
        <w:rPr>
          <w:rFonts w:hint="eastAsia" w:ascii="仿宋_GB2312" w:eastAsia="仿宋_GB2312"/>
          <w:color w:val="auto"/>
          <w:szCs w:val="21"/>
          <w:highlight w:val="none"/>
        </w:rPr>
        <w:t>5.7</w:t>
      </w:r>
      <w:r>
        <w:rPr>
          <w:rFonts w:ascii="仿宋_GB2312" w:eastAsia="仿宋_GB2312"/>
          <w:color w:val="auto"/>
          <w:szCs w:val="21"/>
          <w:highlight w:val="none"/>
        </w:rPr>
        <w:t>计量</w:t>
      </w:r>
      <w:r>
        <w:rPr>
          <w:rFonts w:hint="eastAsia" w:ascii="仿宋_GB2312" w:eastAsia="仿宋_GB2312"/>
          <w:color w:val="auto"/>
          <w:szCs w:val="21"/>
          <w:highlight w:val="none"/>
        </w:rPr>
        <w:t>：</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（由甲乙双方签订合同时明确）</w:t>
      </w:r>
    </w:p>
    <w:p w14:paraId="60B8A2EC">
      <w:pPr>
        <w:snapToGrid w:val="0"/>
        <w:spacing w:line="360" w:lineRule="auto"/>
        <w:ind w:firstLine="210" w:firstLineChars="100"/>
        <w:outlineLvl w:val="9"/>
        <w:rPr>
          <w:rFonts w:hint="eastAsia" w:ascii="仿宋_GB2312" w:eastAsia="仿宋_GB2312"/>
          <w:color w:val="auto"/>
          <w:szCs w:val="21"/>
          <w:highlight w:val="none"/>
        </w:rPr>
      </w:pPr>
      <w:r>
        <w:rPr>
          <w:rFonts w:hint="eastAsia" w:ascii="仿宋_GB2312" w:eastAsia="仿宋_GB2312"/>
          <w:color w:val="auto"/>
          <w:szCs w:val="21"/>
          <w:highlight w:val="none"/>
        </w:rPr>
        <w:t>5.8检测</w:t>
      </w:r>
      <w:r>
        <w:rPr>
          <w:rFonts w:ascii="仿宋_GB2312" w:eastAsia="仿宋_GB2312"/>
          <w:color w:val="auto"/>
          <w:szCs w:val="21"/>
          <w:highlight w:val="none"/>
        </w:rPr>
        <w:t>进度款支付</w:t>
      </w:r>
    </w:p>
    <w:tbl>
      <w:tblPr>
        <w:tblStyle w:val="2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3828"/>
        <w:gridCol w:w="1946"/>
        <w:gridCol w:w="1946"/>
      </w:tblGrid>
      <w:tr w14:paraId="19EF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22" w:type="pct"/>
            <w:noWrap w:val="0"/>
            <w:vAlign w:val="center"/>
          </w:tcPr>
          <w:p w14:paraId="67720E41">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支付次数</w:t>
            </w:r>
          </w:p>
        </w:tc>
        <w:tc>
          <w:tcPr>
            <w:tcW w:w="2071" w:type="pct"/>
            <w:noWrap w:val="0"/>
            <w:vAlign w:val="center"/>
          </w:tcPr>
          <w:p w14:paraId="135FC207">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支付时间</w:t>
            </w:r>
          </w:p>
        </w:tc>
        <w:tc>
          <w:tcPr>
            <w:tcW w:w="1053" w:type="pct"/>
            <w:noWrap w:val="0"/>
            <w:vAlign w:val="center"/>
          </w:tcPr>
          <w:p w14:paraId="324C217F">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支付比例</w:t>
            </w:r>
          </w:p>
        </w:tc>
        <w:tc>
          <w:tcPr>
            <w:tcW w:w="1053" w:type="pct"/>
            <w:noWrap w:val="0"/>
            <w:vAlign w:val="center"/>
          </w:tcPr>
          <w:p w14:paraId="7169C496">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支付金额（万元）</w:t>
            </w:r>
          </w:p>
        </w:tc>
      </w:tr>
      <w:tr w14:paraId="4B4EE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22" w:type="pct"/>
            <w:noWrap w:val="0"/>
            <w:vAlign w:val="center"/>
          </w:tcPr>
          <w:p w14:paraId="6AFA810E">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预付款</w:t>
            </w:r>
          </w:p>
        </w:tc>
        <w:tc>
          <w:tcPr>
            <w:tcW w:w="2071" w:type="pct"/>
            <w:noWrap w:val="0"/>
            <w:vAlign w:val="center"/>
          </w:tcPr>
          <w:p w14:paraId="2BD8E725">
            <w:pPr>
              <w:spacing w:line="360" w:lineRule="auto"/>
              <w:jc w:val="center"/>
              <w:outlineLvl w:val="9"/>
              <w:rPr>
                <w:rFonts w:hint="eastAsia" w:ascii="仿宋_GB2312" w:eastAsia="仿宋_GB2312"/>
                <w:color w:val="auto"/>
                <w:szCs w:val="21"/>
                <w:highlight w:val="none"/>
                <w:lang w:eastAsia="zh-CN"/>
              </w:rPr>
            </w:pPr>
            <w:r>
              <w:rPr>
                <w:rFonts w:hint="eastAsia" w:ascii="仿宋_GB2312" w:hAnsi="宋体" w:eastAsia="仿宋_GB2312"/>
                <w:color w:val="auto"/>
                <w:szCs w:val="21"/>
                <w:highlight w:val="none"/>
                <w:lang w:val="en-US" w:eastAsia="zh-CN"/>
              </w:rPr>
              <w:t>/</w:t>
            </w:r>
          </w:p>
        </w:tc>
        <w:tc>
          <w:tcPr>
            <w:tcW w:w="1053" w:type="pct"/>
            <w:noWrap w:val="0"/>
            <w:vAlign w:val="center"/>
          </w:tcPr>
          <w:p w14:paraId="488FC90C">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lang w:val="en-US" w:eastAsia="zh-CN"/>
              </w:rPr>
              <w:t>/</w:t>
            </w:r>
          </w:p>
        </w:tc>
        <w:tc>
          <w:tcPr>
            <w:tcW w:w="1053" w:type="pct"/>
            <w:noWrap w:val="0"/>
            <w:vAlign w:val="center"/>
          </w:tcPr>
          <w:p w14:paraId="733A8E28">
            <w:pPr>
              <w:spacing w:line="360" w:lineRule="auto"/>
              <w:jc w:val="center"/>
              <w:outlineLvl w:val="9"/>
              <w:rPr>
                <w:rFonts w:hint="eastAsia" w:ascii="仿宋_GB2312" w:hAnsi="宋体" w:eastAsia="仿宋_GB2312"/>
                <w:color w:val="auto"/>
                <w:szCs w:val="21"/>
                <w:highlight w:val="none"/>
                <w:lang w:val="en-US" w:eastAsia="zh-CN"/>
              </w:rPr>
            </w:pPr>
            <w:r>
              <w:rPr>
                <w:rFonts w:hint="eastAsia" w:ascii="仿宋_GB2312" w:hAnsi="宋体" w:eastAsia="仿宋_GB2312"/>
                <w:color w:val="auto"/>
                <w:szCs w:val="21"/>
                <w:highlight w:val="none"/>
                <w:lang w:val="en-US" w:eastAsia="zh-CN"/>
              </w:rPr>
              <w:t>/</w:t>
            </w:r>
          </w:p>
        </w:tc>
      </w:tr>
      <w:tr w14:paraId="43A7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pct"/>
            <w:noWrap w:val="0"/>
            <w:vAlign w:val="center"/>
          </w:tcPr>
          <w:p w14:paraId="040A43AC">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第一笔进度款</w:t>
            </w:r>
          </w:p>
        </w:tc>
        <w:tc>
          <w:tcPr>
            <w:tcW w:w="2071" w:type="pct"/>
            <w:noWrap w:val="0"/>
            <w:vAlign w:val="center"/>
          </w:tcPr>
          <w:p w14:paraId="79669A3A">
            <w:pPr>
              <w:spacing w:line="360" w:lineRule="auto"/>
              <w:ind w:firstLine="315" w:firstLineChars="150"/>
              <w:jc w:val="center"/>
              <w:outlineLvl w:val="9"/>
              <w:rPr>
                <w:rFonts w:ascii="仿宋_GB2312" w:eastAsia="仿宋_GB2312"/>
                <w:color w:val="auto"/>
                <w:szCs w:val="21"/>
                <w:highlight w:val="none"/>
              </w:rPr>
            </w:pPr>
            <w:r>
              <w:rPr>
                <w:rFonts w:hint="eastAsia" w:ascii="仿宋_GB2312" w:eastAsia="仿宋_GB2312"/>
                <w:color w:val="auto"/>
                <w:szCs w:val="21"/>
                <w:highlight w:val="none"/>
              </w:rPr>
              <w:t>签订合同后，乙方进行房屋安全查勘、检测、调查及验算分析验算分析等安全鉴定并有初步成果文件，10个工作日内甲方向乙方支付。</w:t>
            </w:r>
          </w:p>
        </w:tc>
        <w:tc>
          <w:tcPr>
            <w:tcW w:w="1053" w:type="pct"/>
            <w:noWrap w:val="0"/>
            <w:vAlign w:val="center"/>
          </w:tcPr>
          <w:p w14:paraId="3FE7A00A">
            <w:pPr>
              <w:spacing w:line="360" w:lineRule="auto"/>
              <w:jc w:val="center"/>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合同总价款的30%</w:t>
            </w:r>
          </w:p>
        </w:tc>
        <w:tc>
          <w:tcPr>
            <w:tcW w:w="1053" w:type="pct"/>
            <w:noWrap w:val="0"/>
            <w:vAlign w:val="center"/>
          </w:tcPr>
          <w:p w14:paraId="74B2FC94">
            <w:pPr>
              <w:spacing w:line="360" w:lineRule="auto"/>
              <w:ind w:firstLine="0" w:firstLineChars="0"/>
              <w:jc w:val="center"/>
              <w:outlineLvl w:val="9"/>
              <w:rPr>
                <w:rFonts w:hint="eastAsia" w:ascii="仿宋_GB2312" w:hAnsi="宋体" w:eastAsia="仿宋_GB2312"/>
                <w:color w:val="auto"/>
                <w:szCs w:val="21"/>
                <w:highlight w:val="none"/>
              </w:rPr>
            </w:pPr>
          </w:p>
        </w:tc>
      </w:tr>
      <w:tr w14:paraId="4AAA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pct"/>
            <w:noWrap w:val="0"/>
            <w:vAlign w:val="center"/>
          </w:tcPr>
          <w:p w14:paraId="6234F5C0">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第</w:t>
            </w:r>
            <w:r>
              <w:rPr>
                <w:rFonts w:hint="eastAsia" w:ascii="仿宋_GB2312" w:hAnsi="宋体" w:eastAsia="仿宋_GB2312"/>
                <w:color w:val="auto"/>
                <w:szCs w:val="21"/>
                <w:highlight w:val="none"/>
                <w:lang w:eastAsia="zh-CN"/>
              </w:rPr>
              <w:t>二</w:t>
            </w:r>
            <w:r>
              <w:rPr>
                <w:rFonts w:hint="eastAsia" w:ascii="仿宋_GB2312" w:hAnsi="宋体" w:eastAsia="仿宋_GB2312"/>
                <w:color w:val="auto"/>
                <w:szCs w:val="21"/>
                <w:highlight w:val="none"/>
              </w:rPr>
              <w:t>笔进度款</w:t>
            </w:r>
          </w:p>
        </w:tc>
        <w:tc>
          <w:tcPr>
            <w:tcW w:w="2071" w:type="pct"/>
            <w:noWrap w:val="0"/>
            <w:vAlign w:val="center"/>
          </w:tcPr>
          <w:p w14:paraId="68ADD3B2">
            <w:pPr>
              <w:spacing w:line="360" w:lineRule="auto"/>
              <w:ind w:firstLine="315" w:firstLineChars="150"/>
              <w:jc w:val="center"/>
              <w:outlineLvl w:val="9"/>
              <w:rPr>
                <w:rFonts w:hint="eastAsia" w:ascii="仿宋_GB2312" w:eastAsia="仿宋_GB2312"/>
                <w:color w:val="auto"/>
                <w:szCs w:val="21"/>
                <w:highlight w:val="none"/>
              </w:rPr>
            </w:pPr>
            <w:r>
              <w:rPr>
                <w:rFonts w:hint="eastAsia" w:ascii="仿宋_GB2312" w:eastAsia="仿宋_GB2312"/>
                <w:color w:val="auto"/>
                <w:szCs w:val="21"/>
                <w:highlight w:val="none"/>
              </w:rPr>
              <w:t>乙方向甲方提交房屋安全鉴定报告成果文件，10个工作日内甲方向乙方支付。</w:t>
            </w:r>
          </w:p>
        </w:tc>
        <w:tc>
          <w:tcPr>
            <w:tcW w:w="1053" w:type="pct"/>
            <w:noWrap w:val="0"/>
            <w:vAlign w:val="center"/>
          </w:tcPr>
          <w:p w14:paraId="308B737E">
            <w:pPr>
              <w:spacing w:line="360" w:lineRule="auto"/>
              <w:jc w:val="center"/>
              <w:outlineLvl w:val="9"/>
              <w:rPr>
                <w:rFonts w:hint="eastAsia" w:ascii="仿宋_GB2312" w:eastAsia="仿宋_GB2312"/>
                <w:color w:val="auto"/>
                <w:szCs w:val="21"/>
                <w:highlight w:val="none"/>
              </w:rPr>
            </w:pPr>
            <w:r>
              <w:rPr>
                <w:rFonts w:hint="eastAsia" w:ascii="仿宋_GB2312" w:eastAsia="仿宋_GB2312"/>
                <w:color w:val="auto"/>
                <w:szCs w:val="21"/>
                <w:highlight w:val="none"/>
              </w:rPr>
              <w:t>合同总价款的50%</w:t>
            </w:r>
          </w:p>
        </w:tc>
        <w:tc>
          <w:tcPr>
            <w:tcW w:w="1053" w:type="pct"/>
            <w:noWrap w:val="0"/>
            <w:vAlign w:val="center"/>
          </w:tcPr>
          <w:p w14:paraId="24B883CE">
            <w:pPr>
              <w:spacing w:line="360" w:lineRule="auto"/>
              <w:ind w:firstLine="0" w:firstLineChars="0"/>
              <w:jc w:val="center"/>
              <w:outlineLvl w:val="9"/>
              <w:rPr>
                <w:rFonts w:hint="eastAsia" w:ascii="仿宋_GB2312" w:hAnsi="宋体" w:eastAsia="仿宋_GB2312"/>
                <w:color w:val="auto"/>
                <w:szCs w:val="21"/>
                <w:highlight w:val="none"/>
              </w:rPr>
            </w:pPr>
          </w:p>
        </w:tc>
      </w:tr>
      <w:tr w14:paraId="6D39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pct"/>
            <w:noWrap w:val="0"/>
            <w:vAlign w:val="center"/>
          </w:tcPr>
          <w:p w14:paraId="03791091">
            <w:pPr>
              <w:spacing w:line="360" w:lineRule="auto"/>
              <w:jc w:val="center"/>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结算款</w:t>
            </w:r>
          </w:p>
        </w:tc>
        <w:tc>
          <w:tcPr>
            <w:tcW w:w="2071" w:type="pct"/>
            <w:noWrap w:val="0"/>
            <w:vAlign w:val="center"/>
          </w:tcPr>
          <w:p w14:paraId="14AFDF4B">
            <w:pPr>
              <w:spacing w:line="360" w:lineRule="auto"/>
              <w:jc w:val="center"/>
              <w:outlineLvl w:val="9"/>
              <w:rPr>
                <w:rFonts w:hint="eastAsia" w:ascii="仿宋_GB2312" w:eastAsia="仿宋_GB2312"/>
                <w:color w:val="auto"/>
                <w:szCs w:val="21"/>
                <w:highlight w:val="none"/>
              </w:rPr>
            </w:pPr>
            <w:r>
              <w:rPr>
                <w:rFonts w:hint="eastAsia" w:ascii="仿宋_GB2312" w:eastAsia="仿宋_GB2312"/>
                <w:color w:val="auto"/>
                <w:szCs w:val="21"/>
                <w:highlight w:val="none"/>
              </w:rPr>
              <w:t>乙方向甲方提交房屋使用功能检测报告成果文件，10个工作日内甲方向乙方支付</w:t>
            </w:r>
            <w:r>
              <w:rPr>
                <w:rFonts w:hint="eastAsia" w:ascii="仿宋_GB2312" w:eastAsia="仿宋_GB2312"/>
                <w:color w:val="auto"/>
                <w:szCs w:val="21"/>
                <w:highlight w:val="none"/>
                <w:lang w:eastAsia="zh-CN"/>
              </w:rPr>
              <w:t>。</w:t>
            </w:r>
          </w:p>
        </w:tc>
        <w:tc>
          <w:tcPr>
            <w:tcW w:w="1053" w:type="pct"/>
            <w:noWrap w:val="0"/>
            <w:vAlign w:val="center"/>
          </w:tcPr>
          <w:p w14:paraId="6F384D23">
            <w:pPr>
              <w:spacing w:line="360" w:lineRule="auto"/>
              <w:jc w:val="center"/>
              <w:outlineLvl w:val="9"/>
              <w:rPr>
                <w:rFonts w:ascii="仿宋_GB2312" w:hAnsi="宋体" w:eastAsia="仿宋_GB2312"/>
                <w:color w:val="auto"/>
                <w:szCs w:val="21"/>
                <w:highlight w:val="none"/>
              </w:rPr>
            </w:pPr>
            <w:r>
              <w:rPr>
                <w:rFonts w:hint="eastAsia" w:ascii="仿宋_GB2312" w:hAnsi="宋体" w:eastAsia="仿宋_GB2312"/>
                <w:color w:val="auto"/>
                <w:szCs w:val="21"/>
                <w:highlight w:val="none"/>
              </w:rPr>
              <w:t>合同总价款的20%</w:t>
            </w:r>
          </w:p>
        </w:tc>
        <w:tc>
          <w:tcPr>
            <w:tcW w:w="1053" w:type="pct"/>
            <w:noWrap w:val="0"/>
            <w:vAlign w:val="center"/>
          </w:tcPr>
          <w:p w14:paraId="51E6906F">
            <w:pPr>
              <w:spacing w:line="360" w:lineRule="auto"/>
              <w:jc w:val="center"/>
              <w:outlineLvl w:val="9"/>
              <w:rPr>
                <w:rFonts w:hint="eastAsia" w:ascii="仿宋_GB2312" w:hAnsi="宋体" w:eastAsia="仿宋_GB2312"/>
                <w:color w:val="auto"/>
                <w:szCs w:val="21"/>
                <w:highlight w:val="none"/>
              </w:rPr>
            </w:pPr>
          </w:p>
        </w:tc>
      </w:tr>
    </w:tbl>
    <w:p w14:paraId="4582836C">
      <w:pPr>
        <w:snapToGrid w:val="0"/>
        <w:spacing w:line="360" w:lineRule="auto"/>
        <w:ind w:firstLine="210" w:firstLineChars="1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 xml:space="preserve">5.9结算 ：                    </w:t>
      </w:r>
    </w:p>
    <w:p w14:paraId="523B3C0C">
      <w:pPr>
        <w:snapToGrid w:val="0"/>
        <w:spacing w:line="360" w:lineRule="auto"/>
        <w:ind w:firstLine="210" w:firstLineChars="100"/>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5.10 在检测工作量完成100%的15天内，招标人向检测单位退回履约保证金（无息）。</w:t>
      </w:r>
    </w:p>
    <w:p w14:paraId="4EAD79C1">
      <w:pPr>
        <w:snapToGrid w:val="0"/>
        <w:spacing w:line="360" w:lineRule="auto"/>
        <w:ind w:firstLine="210" w:firstLineChars="100"/>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 xml:space="preserve">5.11 </w:t>
      </w:r>
      <w:r>
        <w:rPr>
          <w:rFonts w:ascii="仿宋_GB2312" w:eastAsia="仿宋_GB2312"/>
          <w:color w:val="auto"/>
          <w:szCs w:val="21"/>
          <w:highlight w:val="none"/>
        </w:rPr>
        <w:t>支付账户</w:t>
      </w:r>
    </w:p>
    <w:p w14:paraId="4252C265">
      <w:pPr>
        <w:snapToGrid w:val="0"/>
        <w:spacing w:line="360" w:lineRule="auto"/>
        <w:ind w:firstLine="420" w:firstLineChars="200"/>
        <w:outlineLvl w:val="9"/>
        <w:rPr>
          <w:rFonts w:hint="eastAsia" w:ascii="仿宋_GB2312" w:hAnsi="宋体" w:eastAsia="仿宋_GB2312"/>
          <w:color w:val="auto"/>
          <w:szCs w:val="21"/>
          <w:highlight w:val="none"/>
          <w:u w:val="single"/>
        </w:rPr>
      </w:pPr>
      <w:r>
        <w:rPr>
          <w:rFonts w:hint="eastAsia" w:ascii="仿宋_GB2312" w:eastAsia="仿宋_GB2312"/>
          <w:color w:val="auto"/>
          <w:szCs w:val="21"/>
          <w:highlight w:val="none"/>
        </w:rPr>
        <w:t xml:space="preserve"> </w:t>
      </w:r>
      <w:r>
        <w:rPr>
          <w:rFonts w:hint="eastAsia" w:ascii="仿宋_GB2312" w:eastAsia="仿宋_GB2312"/>
          <w:color w:val="auto"/>
          <w:szCs w:val="21"/>
          <w:highlight w:val="none"/>
          <w:u w:val="single"/>
        </w:rPr>
        <w:t xml:space="preserve">                                 </w:t>
      </w:r>
    </w:p>
    <w:p w14:paraId="1A9D2B9E">
      <w:pPr>
        <w:snapToGrid w:val="0"/>
        <w:spacing w:line="360" w:lineRule="auto"/>
        <w:outlineLvl w:val="9"/>
        <w:rPr>
          <w:rFonts w:hint="eastAsia" w:ascii="仿宋_GB2312" w:hAnsi="黑体" w:eastAsia="仿宋_GB2312"/>
          <w:b/>
          <w:bCs/>
          <w:color w:val="auto"/>
          <w:szCs w:val="21"/>
          <w:highlight w:val="none"/>
        </w:rPr>
      </w:pPr>
      <w:bookmarkStart w:id="324" w:name="_Toc36049338"/>
      <w:r>
        <w:rPr>
          <w:rFonts w:hint="eastAsia" w:ascii="仿宋_GB2312" w:hAnsi="黑体" w:eastAsia="仿宋_GB2312"/>
          <w:bCs/>
          <w:color w:val="auto"/>
          <w:szCs w:val="21"/>
          <w:highlight w:val="none"/>
        </w:rPr>
        <w:t>6</w:t>
      </w:r>
      <w:r>
        <w:rPr>
          <w:rFonts w:hint="eastAsia" w:ascii="仿宋_GB2312" w:hAnsi="黑体" w:eastAsia="仿宋_GB2312"/>
          <w:b/>
          <w:bCs/>
          <w:color w:val="auto"/>
          <w:szCs w:val="21"/>
          <w:highlight w:val="none"/>
        </w:rPr>
        <w:t>. 合同生效、变更、暂停、解除与终止</w:t>
      </w:r>
      <w:bookmarkEnd w:id="324"/>
    </w:p>
    <w:p w14:paraId="0F3D781F">
      <w:pPr>
        <w:adjustRightInd w:val="0"/>
        <w:snapToGrid w:val="0"/>
        <w:spacing w:line="360" w:lineRule="auto"/>
        <w:ind w:firstLine="210" w:firstLineChars="100"/>
        <w:outlineLvl w:val="9"/>
        <w:rPr>
          <w:rFonts w:hint="eastAsia" w:ascii="仿宋_GB2312" w:eastAsia="仿宋_GB2312"/>
          <w:color w:val="auto"/>
          <w:szCs w:val="21"/>
          <w:highlight w:val="none"/>
        </w:rPr>
      </w:pPr>
      <w:r>
        <w:rPr>
          <w:rFonts w:hint="eastAsia" w:ascii="仿宋_GB2312" w:eastAsia="仿宋_GB2312"/>
          <w:color w:val="auto"/>
          <w:szCs w:val="21"/>
          <w:highlight w:val="none"/>
        </w:rPr>
        <w:t>6.1 生效</w:t>
      </w:r>
    </w:p>
    <w:p w14:paraId="16236741">
      <w:pPr>
        <w:adjustRightInd w:val="0"/>
        <w:snapToGrid w:val="0"/>
        <w:spacing w:line="360" w:lineRule="auto"/>
        <w:ind w:firstLine="48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本合同生效条件：</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4660DE9A">
      <w:pPr>
        <w:autoSpaceDE w:val="0"/>
        <w:autoSpaceDN w:val="0"/>
        <w:adjustRightInd w:val="0"/>
        <w:spacing w:line="360" w:lineRule="auto"/>
        <w:ind w:firstLine="420" w:firstLineChars="200"/>
        <w:jc w:val="left"/>
        <w:outlineLvl w:val="9"/>
        <w:rPr>
          <w:rFonts w:hint="eastAsia" w:eastAsia="仿宋_GB2312"/>
          <w:color w:val="auto"/>
          <w:kern w:val="0"/>
          <w:szCs w:val="21"/>
          <w:highlight w:val="none"/>
        </w:rPr>
      </w:pPr>
      <w:r>
        <w:rPr>
          <w:rFonts w:hint="eastAsia" w:ascii="仿宋_GB2312" w:eastAsia="仿宋_GB2312"/>
          <w:color w:val="auto"/>
          <w:szCs w:val="21"/>
          <w:highlight w:val="none"/>
        </w:rPr>
        <w:t>6.2.2</w:t>
      </w:r>
      <w:r>
        <w:rPr>
          <w:rFonts w:hint="eastAsia" w:eastAsia="仿宋_GB2312"/>
          <w:color w:val="auto"/>
          <w:kern w:val="0"/>
          <w:szCs w:val="21"/>
          <w:highlight w:val="none"/>
        </w:rPr>
        <w:t>变更估价原则</w:t>
      </w:r>
    </w:p>
    <w:p w14:paraId="30AB4DBB">
      <w:pPr>
        <w:adjustRightInd w:val="0"/>
        <w:snapToGrid w:val="0"/>
        <w:spacing w:line="360" w:lineRule="auto"/>
        <w:ind w:firstLine="480"/>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u w:val="single"/>
        </w:rPr>
        <w:t>（3）若检测过程中检测数量发生变化，则按本合同单价×甲、乙、监理三方签认的实际工程量结算。（固定总价合同除外）</w:t>
      </w:r>
    </w:p>
    <w:p w14:paraId="57E54DF3">
      <w:pPr>
        <w:snapToGrid w:val="0"/>
        <w:spacing w:line="360" w:lineRule="auto"/>
        <w:outlineLvl w:val="9"/>
        <w:rPr>
          <w:rFonts w:hint="eastAsia" w:ascii="仿宋_GB2312" w:hAnsi="黑体" w:eastAsia="仿宋_GB2312"/>
          <w:b/>
          <w:color w:val="auto"/>
          <w:szCs w:val="21"/>
          <w:highlight w:val="none"/>
        </w:rPr>
      </w:pPr>
      <w:bookmarkStart w:id="325" w:name="_Toc36049339"/>
      <w:r>
        <w:rPr>
          <w:rFonts w:hint="eastAsia" w:ascii="仿宋_GB2312" w:hAnsi="黑体" w:eastAsia="仿宋_GB2312"/>
          <w:b/>
          <w:bCs/>
          <w:color w:val="auto"/>
          <w:szCs w:val="21"/>
          <w:highlight w:val="none"/>
        </w:rPr>
        <w:t>7. 争议解决</w:t>
      </w:r>
      <w:bookmarkEnd w:id="325"/>
    </w:p>
    <w:p w14:paraId="127B3C94">
      <w:pPr>
        <w:snapToGrid w:val="0"/>
        <w:spacing w:line="360" w:lineRule="auto"/>
        <w:ind w:firstLine="205" w:firstLineChars="98"/>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7.2 </w:t>
      </w:r>
      <w:r>
        <w:rPr>
          <w:rFonts w:hint="eastAsia" w:ascii="仿宋_GB2312" w:hAnsi="宋体" w:eastAsia="仿宋_GB2312"/>
          <w:bCs/>
          <w:color w:val="auto"/>
          <w:szCs w:val="21"/>
          <w:highlight w:val="none"/>
        </w:rPr>
        <w:t>调解</w:t>
      </w:r>
    </w:p>
    <w:p w14:paraId="47CA92B4">
      <w:pPr>
        <w:snapToGrid w:val="0"/>
        <w:spacing w:line="360" w:lineRule="auto"/>
        <w:ind w:firstLine="411" w:firstLineChars="196"/>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本合同争议进行调解时，可提交</w:t>
      </w:r>
      <w:r>
        <w:rPr>
          <w:rFonts w:hint="eastAsia" w:ascii="仿宋_GB2312" w:hAnsi="BatangChe" w:eastAsia="仿宋_GB2312"/>
          <w:color w:val="auto"/>
          <w:szCs w:val="21"/>
          <w:highlight w:val="none"/>
          <w:u w:val="single"/>
        </w:rPr>
        <w:t xml:space="preserve">        </w:t>
      </w:r>
      <w:r>
        <w:rPr>
          <w:rFonts w:hint="eastAsia" w:ascii="仿宋_GB2312" w:hAnsi="宋体" w:eastAsia="仿宋_GB2312"/>
          <w:color w:val="auto"/>
          <w:szCs w:val="21"/>
          <w:highlight w:val="none"/>
        </w:rPr>
        <w:t>进行调解。</w:t>
      </w:r>
    </w:p>
    <w:p w14:paraId="344FA0CD">
      <w:pPr>
        <w:snapToGrid w:val="0"/>
        <w:spacing w:line="360" w:lineRule="auto"/>
        <w:ind w:firstLine="205" w:firstLineChars="98"/>
        <w:outlineLvl w:val="9"/>
        <w:rPr>
          <w:rFonts w:hint="eastAsia" w:ascii="仿宋_GB2312" w:hAnsi="宋体" w:eastAsia="仿宋_GB2312"/>
          <w:color w:val="auto"/>
          <w:szCs w:val="21"/>
          <w:highlight w:val="none"/>
        </w:rPr>
      </w:pPr>
      <w:r>
        <w:rPr>
          <w:rFonts w:hint="eastAsia" w:ascii="仿宋_GB2312" w:eastAsia="仿宋_GB2312"/>
          <w:color w:val="auto"/>
          <w:szCs w:val="21"/>
          <w:highlight w:val="none"/>
        </w:rPr>
        <w:t xml:space="preserve">7.3 </w:t>
      </w:r>
      <w:r>
        <w:rPr>
          <w:rFonts w:hint="eastAsia" w:ascii="仿宋_GB2312" w:hAnsi="宋体" w:eastAsia="仿宋_GB2312"/>
          <w:bCs/>
          <w:color w:val="auto"/>
          <w:szCs w:val="21"/>
          <w:highlight w:val="none"/>
        </w:rPr>
        <w:t>仲裁或诉讼</w:t>
      </w:r>
    </w:p>
    <w:p w14:paraId="0B59303D">
      <w:pPr>
        <w:adjustRightInd w:val="0"/>
        <w:snapToGrid w:val="0"/>
        <w:spacing w:line="360" w:lineRule="auto"/>
        <w:ind w:firstLine="420" w:firstLineChars="200"/>
        <w:outlineLvl w:val="9"/>
        <w:rPr>
          <w:rFonts w:hint="eastAsia" w:ascii="仿宋_GB2312" w:hAnsi="BatangChe" w:eastAsia="仿宋_GB2312"/>
          <w:color w:val="auto"/>
          <w:szCs w:val="21"/>
          <w:highlight w:val="none"/>
        </w:rPr>
      </w:pPr>
      <w:r>
        <w:rPr>
          <w:rFonts w:hint="eastAsia" w:ascii="仿宋_GB2312" w:hAnsi="BatangChe" w:eastAsia="仿宋_GB2312"/>
          <w:color w:val="auto"/>
          <w:szCs w:val="21"/>
          <w:highlight w:val="none"/>
        </w:rPr>
        <w:t>合同</w:t>
      </w:r>
      <w:r>
        <w:rPr>
          <w:rFonts w:hint="eastAsia" w:ascii="仿宋_GB2312" w:hAnsi="宋体" w:eastAsia="仿宋_GB2312"/>
          <w:color w:val="auto"/>
          <w:szCs w:val="21"/>
          <w:highlight w:val="none"/>
        </w:rPr>
        <w:t>争议</w:t>
      </w:r>
      <w:r>
        <w:rPr>
          <w:rFonts w:hint="eastAsia" w:ascii="仿宋_GB2312" w:hAnsi="BatangChe" w:eastAsia="仿宋_GB2312"/>
          <w:color w:val="auto"/>
          <w:szCs w:val="21"/>
          <w:highlight w:val="none"/>
        </w:rPr>
        <w:t>的最</w:t>
      </w:r>
      <w:r>
        <w:rPr>
          <w:rFonts w:hint="eastAsia" w:ascii="仿宋_GB2312" w:hAnsi="宋体" w:eastAsia="仿宋_GB2312"/>
          <w:color w:val="auto"/>
          <w:szCs w:val="21"/>
          <w:highlight w:val="none"/>
        </w:rPr>
        <w:t>终</w:t>
      </w:r>
      <w:r>
        <w:rPr>
          <w:rFonts w:hint="eastAsia" w:ascii="仿宋_GB2312" w:hAnsi="BatangChe" w:eastAsia="仿宋_GB2312"/>
          <w:color w:val="auto"/>
          <w:szCs w:val="21"/>
          <w:highlight w:val="none"/>
        </w:rPr>
        <w:t>解</w:t>
      </w:r>
      <w:r>
        <w:rPr>
          <w:rFonts w:hint="eastAsia" w:ascii="仿宋_GB2312" w:hAnsi="宋体" w:eastAsia="仿宋_GB2312"/>
          <w:color w:val="auto"/>
          <w:szCs w:val="21"/>
          <w:highlight w:val="none"/>
        </w:rPr>
        <w:t>决</w:t>
      </w:r>
      <w:r>
        <w:rPr>
          <w:rFonts w:hint="eastAsia" w:ascii="仿宋_GB2312" w:hAnsi="BatangChe" w:eastAsia="仿宋_GB2312"/>
          <w:color w:val="auto"/>
          <w:szCs w:val="21"/>
          <w:highlight w:val="none"/>
        </w:rPr>
        <w:t>方式</w:t>
      </w:r>
      <w:r>
        <w:rPr>
          <w:rFonts w:hint="eastAsia" w:ascii="仿宋_GB2312" w:hAnsi="宋体" w:eastAsia="仿宋_GB2312"/>
          <w:color w:val="auto"/>
          <w:szCs w:val="21"/>
          <w:highlight w:val="none"/>
        </w:rPr>
        <w:t>为</w:t>
      </w:r>
      <w:r>
        <w:rPr>
          <w:rFonts w:hint="eastAsia" w:ascii="仿宋_GB2312" w:hAnsi="BatangChe" w:eastAsia="仿宋_GB2312"/>
          <w:color w:val="auto"/>
          <w:szCs w:val="21"/>
          <w:highlight w:val="none"/>
        </w:rPr>
        <w:t>下列第</w:t>
      </w:r>
      <w:r>
        <w:rPr>
          <w:rFonts w:hint="eastAsia" w:ascii="仿宋_GB2312" w:hAnsi="BatangChe" w:eastAsia="仿宋_GB2312"/>
          <w:color w:val="auto"/>
          <w:szCs w:val="21"/>
          <w:highlight w:val="none"/>
          <w:u w:val="single"/>
        </w:rPr>
        <w:t xml:space="preserve">        </w:t>
      </w:r>
      <w:r>
        <w:rPr>
          <w:rFonts w:hint="eastAsia" w:ascii="仿宋_GB2312" w:hAnsi="宋体" w:eastAsia="仿宋_GB2312"/>
          <w:color w:val="auto"/>
          <w:szCs w:val="21"/>
          <w:highlight w:val="none"/>
        </w:rPr>
        <w:t>种</w:t>
      </w:r>
      <w:r>
        <w:rPr>
          <w:rFonts w:hint="eastAsia" w:ascii="仿宋_GB2312" w:hAnsi="BatangChe" w:eastAsia="仿宋_GB2312"/>
          <w:color w:val="auto"/>
          <w:szCs w:val="21"/>
          <w:highlight w:val="none"/>
        </w:rPr>
        <w:t>方式：</w:t>
      </w:r>
    </w:p>
    <w:p w14:paraId="7CF3F50C">
      <w:pPr>
        <w:adjustRightInd w:val="0"/>
        <w:snapToGrid w:val="0"/>
        <w:spacing w:line="360" w:lineRule="auto"/>
        <w:ind w:firstLine="420" w:firstLineChars="200"/>
        <w:outlineLvl w:val="9"/>
        <w:rPr>
          <w:rFonts w:hint="eastAsia" w:ascii="仿宋_GB2312" w:hAnsi="BatangChe" w:eastAsia="仿宋_GB2312"/>
          <w:color w:val="auto"/>
          <w:szCs w:val="21"/>
          <w:highlight w:val="none"/>
        </w:rPr>
      </w:pPr>
      <w:r>
        <w:rPr>
          <w:rFonts w:hint="eastAsia" w:ascii="仿宋_GB2312" w:hAnsi="BatangChe" w:eastAsia="仿宋_GB2312"/>
          <w:color w:val="auto"/>
          <w:szCs w:val="21"/>
          <w:highlight w:val="none"/>
        </w:rPr>
        <w:t>（1）提</w:t>
      </w:r>
      <w:r>
        <w:rPr>
          <w:rFonts w:hint="eastAsia" w:ascii="仿宋_GB2312" w:hAnsi="宋体" w:eastAsia="仿宋_GB2312"/>
          <w:color w:val="auto"/>
          <w:szCs w:val="21"/>
          <w:highlight w:val="none"/>
        </w:rPr>
        <w:t>请</w:t>
      </w:r>
      <w:r>
        <w:rPr>
          <w:rFonts w:hint="eastAsia" w:ascii="仿宋_GB2312" w:hAnsi="BatangChe" w:eastAsia="仿宋_GB2312"/>
          <w:color w:val="auto"/>
          <w:szCs w:val="21"/>
          <w:highlight w:val="none"/>
          <w:u w:val="single"/>
        </w:rPr>
        <w:t xml:space="preserve">        </w:t>
      </w:r>
      <w:r>
        <w:rPr>
          <w:rFonts w:hint="eastAsia" w:ascii="仿宋_GB2312" w:hAnsi="BatangChe" w:eastAsia="仿宋_GB2312"/>
          <w:color w:val="auto"/>
          <w:szCs w:val="21"/>
          <w:highlight w:val="none"/>
        </w:rPr>
        <w:t>仲裁委</w:t>
      </w:r>
      <w:r>
        <w:rPr>
          <w:rFonts w:hint="eastAsia" w:ascii="仿宋_GB2312" w:hAnsi="宋体" w:eastAsia="仿宋_GB2312"/>
          <w:color w:val="auto"/>
          <w:szCs w:val="21"/>
          <w:highlight w:val="none"/>
        </w:rPr>
        <w:t>员会进</w:t>
      </w:r>
      <w:r>
        <w:rPr>
          <w:rFonts w:hint="eastAsia" w:ascii="仿宋_GB2312" w:hAnsi="BatangChe" w:eastAsia="仿宋_GB2312"/>
          <w:color w:val="auto"/>
          <w:szCs w:val="21"/>
          <w:highlight w:val="none"/>
        </w:rPr>
        <w:t>行仲裁。</w:t>
      </w:r>
    </w:p>
    <w:p w14:paraId="67961C31">
      <w:pPr>
        <w:adjustRightInd w:val="0"/>
        <w:snapToGrid w:val="0"/>
        <w:spacing w:line="360" w:lineRule="auto"/>
        <w:ind w:firstLine="420" w:firstLineChars="200"/>
        <w:outlineLvl w:val="9"/>
        <w:rPr>
          <w:rFonts w:hint="eastAsia" w:ascii="仿宋_GB2312" w:hAnsi="BatangChe" w:eastAsia="仿宋_GB2312"/>
          <w:color w:val="auto"/>
          <w:szCs w:val="21"/>
          <w:highlight w:val="none"/>
        </w:rPr>
      </w:pPr>
      <w:r>
        <w:rPr>
          <w:rFonts w:hint="eastAsia" w:ascii="仿宋_GB2312" w:hAnsi="BatangChe" w:eastAsia="仿宋_GB2312"/>
          <w:color w:val="auto"/>
          <w:szCs w:val="21"/>
          <w:highlight w:val="none"/>
        </w:rPr>
        <w:t>（2）向</w:t>
      </w:r>
      <w:r>
        <w:rPr>
          <w:rFonts w:hint="eastAsia" w:ascii="仿宋_GB2312" w:hAnsi="BatangChe" w:eastAsia="仿宋_GB2312"/>
          <w:color w:val="auto"/>
          <w:szCs w:val="21"/>
          <w:highlight w:val="none"/>
          <w:u w:val="single"/>
        </w:rPr>
        <w:t xml:space="preserve">        </w:t>
      </w:r>
      <w:r>
        <w:rPr>
          <w:rFonts w:hint="eastAsia" w:ascii="仿宋_GB2312" w:hAnsi="BatangChe" w:eastAsia="仿宋_GB2312"/>
          <w:color w:val="auto"/>
          <w:szCs w:val="21"/>
          <w:highlight w:val="none"/>
        </w:rPr>
        <w:t>人民法院提起</w:t>
      </w:r>
      <w:r>
        <w:rPr>
          <w:rFonts w:hint="eastAsia" w:ascii="仿宋_GB2312" w:hAnsi="宋体" w:eastAsia="仿宋_GB2312"/>
          <w:color w:val="auto"/>
          <w:szCs w:val="21"/>
          <w:highlight w:val="none"/>
        </w:rPr>
        <w:t>诉讼。</w:t>
      </w:r>
    </w:p>
    <w:p w14:paraId="29803303">
      <w:pPr>
        <w:adjustRightInd w:val="0"/>
        <w:snapToGrid w:val="0"/>
        <w:spacing w:line="360" w:lineRule="auto"/>
        <w:outlineLvl w:val="9"/>
        <w:rPr>
          <w:rFonts w:hint="eastAsia" w:ascii="仿宋_GB2312" w:hAnsi="黑体" w:eastAsia="仿宋_GB2312"/>
          <w:b/>
          <w:bCs/>
          <w:color w:val="auto"/>
          <w:szCs w:val="21"/>
          <w:highlight w:val="none"/>
        </w:rPr>
      </w:pPr>
      <w:bookmarkStart w:id="326" w:name="_Toc36049340"/>
      <w:r>
        <w:rPr>
          <w:rFonts w:hint="eastAsia" w:ascii="仿宋_GB2312" w:eastAsia="仿宋_GB2312"/>
          <w:b/>
          <w:bCs/>
          <w:color w:val="auto"/>
          <w:szCs w:val="21"/>
          <w:highlight w:val="none"/>
        </w:rPr>
        <w:t>8</w:t>
      </w:r>
      <w:r>
        <w:rPr>
          <w:rFonts w:hint="eastAsia" w:ascii="仿宋_GB2312" w:hAnsi="黑体" w:eastAsia="仿宋_GB2312"/>
          <w:b/>
          <w:bCs/>
          <w:color w:val="auto"/>
          <w:szCs w:val="21"/>
          <w:highlight w:val="none"/>
        </w:rPr>
        <w:t>. 其他</w:t>
      </w:r>
      <w:bookmarkEnd w:id="326"/>
    </w:p>
    <w:p w14:paraId="7068C892">
      <w:pPr>
        <w:adjustRightInd w:val="0"/>
        <w:snapToGrid w:val="0"/>
        <w:spacing w:line="360" w:lineRule="auto"/>
        <w:outlineLvl w:val="9"/>
        <w:rPr>
          <w:rFonts w:hint="eastAsia" w:ascii="仿宋_GB2312" w:hAnsi="黑体" w:eastAsia="仿宋_GB2312"/>
          <w:bCs/>
          <w:color w:val="auto"/>
          <w:szCs w:val="21"/>
          <w:highlight w:val="none"/>
        </w:rPr>
      </w:pPr>
      <w:r>
        <w:rPr>
          <w:rFonts w:hint="eastAsia" w:ascii="仿宋_GB2312" w:hAnsi="黑体" w:eastAsia="仿宋_GB2312"/>
          <w:b/>
          <w:bCs/>
          <w:color w:val="auto"/>
          <w:szCs w:val="21"/>
          <w:highlight w:val="none"/>
        </w:rPr>
        <w:t xml:space="preserve"> </w:t>
      </w:r>
      <w:r>
        <w:rPr>
          <w:rFonts w:hint="eastAsia" w:ascii="仿宋_GB2312" w:hAnsi="黑体" w:eastAsia="仿宋_GB2312"/>
          <w:bCs/>
          <w:color w:val="auto"/>
          <w:szCs w:val="21"/>
          <w:highlight w:val="none"/>
        </w:rPr>
        <w:t xml:space="preserve">  8.2 咨询费用</w:t>
      </w:r>
    </w:p>
    <w:p w14:paraId="7158CBC0">
      <w:pPr>
        <w:adjustRightInd w:val="0"/>
        <w:snapToGrid w:val="0"/>
        <w:spacing w:line="360" w:lineRule="auto"/>
        <w:outlineLvl w:val="9"/>
        <w:rPr>
          <w:rFonts w:hint="eastAsia" w:ascii="仿宋_GB2312" w:hAnsi="黑体" w:eastAsia="仿宋_GB2312"/>
          <w:bCs/>
          <w:color w:val="auto"/>
          <w:szCs w:val="21"/>
          <w:highlight w:val="none"/>
        </w:rPr>
      </w:pPr>
      <w:r>
        <w:rPr>
          <w:rFonts w:hint="eastAsia" w:ascii="仿宋_GB2312" w:hAnsi="黑体" w:eastAsia="仿宋_GB2312"/>
          <w:bCs/>
          <w:color w:val="auto"/>
          <w:szCs w:val="21"/>
          <w:highlight w:val="none"/>
        </w:rPr>
        <w:t xml:space="preserve">    委托方应在咨询工作完成后</w:t>
      </w:r>
      <w:r>
        <w:rPr>
          <w:rFonts w:hint="eastAsia" w:ascii="仿宋_GB2312" w:eastAsia="仿宋_GB2312"/>
          <w:color w:val="auto"/>
          <w:szCs w:val="21"/>
          <w:highlight w:val="none"/>
          <w:u w:val="single"/>
        </w:rPr>
        <w:t xml:space="preserve">     </w:t>
      </w:r>
      <w:r>
        <w:rPr>
          <w:rFonts w:hint="eastAsia" w:ascii="仿宋_GB2312" w:hAnsi="黑体" w:eastAsia="仿宋_GB2312"/>
          <w:bCs/>
          <w:color w:val="auto"/>
          <w:szCs w:val="21"/>
          <w:highlight w:val="none"/>
        </w:rPr>
        <w:t>天内支付咨询费用。</w:t>
      </w:r>
    </w:p>
    <w:p w14:paraId="7C5BEB2B">
      <w:pPr>
        <w:adjustRightInd w:val="0"/>
        <w:snapToGrid w:val="0"/>
        <w:spacing w:line="360" w:lineRule="auto"/>
        <w:ind w:firstLine="205" w:firstLineChars="98"/>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8.4 </w:t>
      </w:r>
      <w:r>
        <w:rPr>
          <w:rFonts w:hint="eastAsia" w:ascii="仿宋_GB2312" w:hAnsi="宋体" w:eastAsia="仿宋_GB2312"/>
          <w:color w:val="auto"/>
          <w:szCs w:val="21"/>
          <w:highlight w:val="none"/>
        </w:rPr>
        <w:t>保密</w:t>
      </w:r>
    </w:p>
    <w:p w14:paraId="3E3C9897">
      <w:pPr>
        <w:adjustRightInd w:val="0"/>
        <w:snapToGrid w:val="0"/>
        <w:spacing w:line="360" w:lineRule="auto"/>
        <w:ind w:firstLine="420" w:firstLineChars="200"/>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rPr>
        <w:t>甲方申明的保密事项和期限：</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5EBA32A3">
      <w:pPr>
        <w:adjustRightInd w:val="0"/>
        <w:snapToGrid w:val="0"/>
        <w:spacing w:line="360" w:lineRule="auto"/>
        <w:ind w:firstLine="420" w:firstLineChars="200"/>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rPr>
        <w:t>乙方申明的保密事项和期限：</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467E5C92">
      <w:pPr>
        <w:adjustRightInd w:val="0"/>
        <w:snapToGrid w:val="0"/>
        <w:spacing w:line="360" w:lineRule="auto"/>
        <w:ind w:firstLine="420" w:firstLineChars="200"/>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rPr>
        <w:t>第三方申明的保密事项和期限：</w:t>
      </w: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31CCC0AE">
      <w:pPr>
        <w:snapToGrid w:val="0"/>
        <w:spacing w:line="360" w:lineRule="auto"/>
        <w:ind w:firstLine="205" w:firstLineChars="98"/>
        <w:outlineLvl w:val="9"/>
        <w:rPr>
          <w:rFonts w:hint="eastAsia" w:ascii="仿宋_GB2312" w:hAnsi="宋体" w:eastAsia="仿宋_GB2312"/>
          <w:bCs/>
          <w:color w:val="auto"/>
          <w:szCs w:val="21"/>
          <w:highlight w:val="none"/>
        </w:rPr>
      </w:pPr>
      <w:r>
        <w:rPr>
          <w:rFonts w:hint="eastAsia" w:ascii="仿宋_GB2312" w:eastAsia="仿宋_GB2312"/>
          <w:color w:val="auto"/>
          <w:szCs w:val="21"/>
          <w:highlight w:val="none"/>
        </w:rPr>
        <w:t>8.6</w:t>
      </w:r>
      <w:r>
        <w:rPr>
          <w:rFonts w:hint="eastAsia" w:ascii="仿宋_GB2312" w:hAnsi="宋体" w:eastAsia="仿宋_GB2312"/>
          <w:bCs/>
          <w:color w:val="auto"/>
          <w:szCs w:val="21"/>
          <w:highlight w:val="none"/>
        </w:rPr>
        <w:t>著作权</w:t>
      </w:r>
    </w:p>
    <w:p w14:paraId="7171130B">
      <w:pPr>
        <w:snapToGrid w:val="0"/>
        <w:spacing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乙方在本合同履行期间及本合同终止后两年内出版涉及本工程的有关检测与相关服务的资料的限制条件：</w:t>
      </w:r>
    </w:p>
    <w:p w14:paraId="59211AD6">
      <w:pPr>
        <w:adjustRightInd w:val="0"/>
        <w:snapToGrid w:val="0"/>
        <w:spacing w:before="120" w:beforeLines="50" w:after="120" w:afterLines="50" w:line="360" w:lineRule="auto"/>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u w:val="single"/>
        </w:rPr>
        <w:t xml:space="preserve">                                                     </w:t>
      </w:r>
    </w:p>
    <w:p w14:paraId="6C2F720C">
      <w:pPr>
        <w:adjustRightInd w:val="0"/>
        <w:snapToGrid w:val="0"/>
        <w:spacing w:before="120" w:beforeLines="50" w:after="120" w:afterLines="50" w:line="360" w:lineRule="auto"/>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1E4BF306">
      <w:pPr>
        <w:adjustRightInd w:val="0"/>
        <w:snapToGrid w:val="0"/>
        <w:spacing w:before="120" w:beforeLines="50" w:after="120" w:afterLines="50" w:line="360" w:lineRule="auto"/>
        <w:ind w:firstLine="210" w:firstLineChars="100"/>
        <w:outlineLvl w:val="9"/>
        <w:rPr>
          <w:rFonts w:hint="eastAsia" w:ascii="仿宋_GB2312" w:eastAsia="仿宋_GB2312"/>
          <w:color w:val="auto"/>
          <w:szCs w:val="21"/>
          <w:highlight w:val="none"/>
        </w:rPr>
      </w:pPr>
      <w:bookmarkStart w:id="327" w:name="_Toc36049341"/>
      <w:r>
        <w:rPr>
          <w:rFonts w:hint="eastAsia" w:ascii="仿宋_GB2312" w:eastAsia="仿宋_GB2312"/>
          <w:color w:val="auto"/>
          <w:szCs w:val="21"/>
          <w:highlight w:val="none"/>
        </w:rPr>
        <w:t xml:space="preserve">9. </w:t>
      </w:r>
      <w:r>
        <w:rPr>
          <w:rFonts w:hint="eastAsia" w:ascii="仿宋_GB2312" w:hAnsi="黑体" w:eastAsia="仿宋_GB2312"/>
          <w:color w:val="auto"/>
          <w:szCs w:val="21"/>
          <w:highlight w:val="none"/>
        </w:rPr>
        <w:t>补充条款</w:t>
      </w:r>
      <w:bookmarkEnd w:id="327"/>
    </w:p>
    <w:p w14:paraId="3BC5A6EF">
      <w:pPr>
        <w:adjustRightInd w:val="0"/>
        <w:snapToGrid w:val="0"/>
        <w:spacing w:before="120" w:beforeLines="50" w:after="120" w:afterLines="50" w:line="360" w:lineRule="auto"/>
        <w:outlineLvl w:val="9"/>
        <w:rPr>
          <w:rFonts w:hint="eastAsia" w:ascii="仿宋_GB2312" w:hAnsi="宋体" w:eastAsia="仿宋_GB2312"/>
          <w:color w:val="auto"/>
          <w:szCs w:val="21"/>
          <w:highlight w:val="none"/>
          <w:u w:val="single"/>
        </w:rPr>
      </w:pPr>
      <w:r>
        <w:rPr>
          <w:rFonts w:hint="eastAsia" w:ascii="仿宋_GB2312" w:hAnsi="宋体" w:eastAsia="仿宋_GB2312"/>
          <w:color w:val="auto"/>
          <w:szCs w:val="21"/>
          <w:highlight w:val="none"/>
          <w:u w:val="single"/>
        </w:rPr>
        <w:t xml:space="preserve">                                                     </w:t>
      </w:r>
    </w:p>
    <w:p w14:paraId="3A7F41D7">
      <w:pPr>
        <w:adjustRightInd w:val="0"/>
        <w:snapToGrid w:val="0"/>
        <w:spacing w:before="120" w:beforeLines="50" w:after="120" w:afterLines="50" w:line="360" w:lineRule="auto"/>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79FFF9F3">
      <w:pPr>
        <w:adjustRightInd w:val="0"/>
        <w:snapToGrid w:val="0"/>
        <w:spacing w:before="120" w:beforeLines="50" w:after="120" w:afterLines="50" w:line="360" w:lineRule="auto"/>
        <w:outlineLvl w:val="9"/>
        <w:rPr>
          <w:rFonts w:hint="eastAsia" w:ascii="仿宋_GB2312" w:hAnsi="宋体" w:eastAsia="仿宋_GB2312"/>
          <w:color w:val="auto"/>
          <w:szCs w:val="21"/>
          <w:highlight w:val="none"/>
        </w:rPr>
      </w:pPr>
    </w:p>
    <w:p w14:paraId="0CEA9080">
      <w:pPr>
        <w:adjustRightInd w:val="0"/>
        <w:snapToGrid w:val="0"/>
        <w:spacing w:before="120" w:beforeLines="50" w:after="120" w:afterLines="50" w:line="360" w:lineRule="auto"/>
        <w:outlineLvl w:val="9"/>
        <w:rPr>
          <w:rFonts w:hint="eastAsia" w:ascii="仿宋_GB2312" w:hAnsi="宋体" w:eastAsia="仿宋_GB2312"/>
          <w:b/>
          <w:bCs/>
          <w:color w:val="auto"/>
          <w:szCs w:val="21"/>
          <w:highlight w:val="none"/>
        </w:rPr>
      </w:pPr>
    </w:p>
    <w:p w14:paraId="37E8AB2E">
      <w:pPr>
        <w:adjustRightInd w:val="0"/>
        <w:snapToGrid w:val="0"/>
        <w:spacing w:before="120" w:beforeLines="50" w:after="120" w:afterLines="50" w:line="360" w:lineRule="auto"/>
        <w:outlineLvl w:val="9"/>
        <w:rPr>
          <w:rFonts w:hint="eastAsia" w:ascii="仿宋_GB2312" w:eastAsia="仿宋_GB2312"/>
          <w:b/>
          <w:bCs/>
          <w:color w:val="auto"/>
          <w:szCs w:val="21"/>
          <w:highlight w:val="none"/>
        </w:rPr>
      </w:pPr>
      <w:r>
        <w:rPr>
          <w:rFonts w:hint="eastAsia" w:ascii="仿宋_GB2312" w:hAnsi="宋体" w:eastAsia="仿宋_GB2312"/>
          <w:b/>
          <w:bCs/>
          <w:color w:val="auto"/>
          <w:szCs w:val="21"/>
          <w:highlight w:val="none"/>
        </w:rPr>
        <w:t>附录</w:t>
      </w:r>
      <w:r>
        <w:rPr>
          <w:rFonts w:hint="eastAsia" w:ascii="仿宋_GB2312" w:eastAsia="仿宋_GB2312"/>
          <w:b/>
          <w:bCs/>
          <w:color w:val="auto"/>
          <w:szCs w:val="21"/>
          <w:highlight w:val="none"/>
        </w:rPr>
        <w:t xml:space="preserve">A  </w:t>
      </w:r>
      <w:r>
        <w:rPr>
          <w:rFonts w:hint="eastAsia" w:ascii="仿宋_GB2312" w:hAnsi="宋体" w:eastAsia="仿宋_GB2312"/>
          <w:b/>
          <w:bCs/>
          <w:color w:val="auto"/>
          <w:szCs w:val="21"/>
          <w:highlight w:val="none"/>
        </w:rPr>
        <w:t>相关服务的范围和内容</w:t>
      </w:r>
    </w:p>
    <w:p w14:paraId="4681E830">
      <w:pPr>
        <w:snapToGrid w:val="0"/>
        <w:spacing w:before="120" w:beforeLines="50" w:after="120" w:afterLines="50" w:line="360" w:lineRule="auto"/>
        <w:ind w:firstLine="315" w:firstLineChars="150"/>
        <w:outlineLvl w:val="9"/>
        <w:rPr>
          <w:rFonts w:hint="default" w:ascii="仿宋_GB2312" w:hAnsi="宋体" w:eastAsia="仿宋_GB2312"/>
          <w:color w:val="auto"/>
          <w:szCs w:val="21"/>
          <w:highlight w:val="none"/>
          <w:lang w:val="en-US"/>
        </w:rPr>
      </w:pPr>
      <w:bookmarkStart w:id="328" w:name="_Toc36049342"/>
      <w:r>
        <w:rPr>
          <w:rFonts w:hint="eastAsia" w:ascii="仿宋_GB2312" w:hAnsi="宋体" w:eastAsia="仿宋_GB2312"/>
          <w:color w:val="auto"/>
          <w:szCs w:val="21"/>
          <w:highlight w:val="none"/>
        </w:rPr>
        <w:t>A-1</w:t>
      </w:r>
      <w:bookmarkEnd w:id="328"/>
      <w:r>
        <w:rPr>
          <w:rFonts w:hint="eastAsia" w:ascii="仿宋_GB2312" w:hAnsi="宋体" w:eastAsia="仿宋_GB2312"/>
          <w:color w:val="auto"/>
          <w:szCs w:val="21"/>
          <w:highlight w:val="none"/>
        </w:rPr>
        <w:t xml:space="preserve">  </w:t>
      </w:r>
      <w:r>
        <w:rPr>
          <w:rFonts w:hint="eastAsia" w:ascii="仿宋_GB2312" w:eastAsia="仿宋_GB2312"/>
          <w:color w:val="auto"/>
          <w:szCs w:val="21"/>
          <w:highlight w:val="none"/>
          <w:u w:val="single"/>
          <w:lang w:val="en-US" w:eastAsia="zh-CN"/>
        </w:rPr>
        <w:t xml:space="preserve">                                                                   </w:t>
      </w:r>
    </w:p>
    <w:p w14:paraId="5F1C83BC">
      <w:pPr>
        <w:snapToGrid w:val="0"/>
        <w:spacing w:before="120" w:beforeLines="50" w:after="120" w:afterLines="50" w:line="360" w:lineRule="auto"/>
        <w:ind w:firstLine="315" w:firstLineChars="150"/>
        <w:outlineLvl w:val="9"/>
        <w:rPr>
          <w:rFonts w:hint="default" w:ascii="仿宋_GB2312" w:eastAsia="仿宋_GB2312"/>
          <w:color w:val="auto"/>
          <w:szCs w:val="21"/>
          <w:highlight w:val="none"/>
          <w:u w:val="single"/>
          <w:lang w:val="en-US" w:eastAsia="zh-CN"/>
        </w:rPr>
      </w:pPr>
      <w:r>
        <w:rPr>
          <w:rFonts w:hint="eastAsia" w:ascii="仿宋_GB2312" w:eastAsia="仿宋_GB2312"/>
          <w:color w:val="auto"/>
          <w:kern w:val="0"/>
          <w:szCs w:val="21"/>
          <w:highlight w:val="none"/>
        </w:rPr>
        <w:t xml:space="preserve">A-2 </w:t>
      </w:r>
      <w:r>
        <w:rPr>
          <w:rFonts w:hint="eastAsia" w:ascii="仿宋_GB2312" w:hAnsi="宋体" w:eastAsia="仿宋_GB2312"/>
          <w:color w:val="auto"/>
          <w:szCs w:val="21"/>
          <w:highlight w:val="none"/>
        </w:rPr>
        <w:t>其他（专业技术咨询、外部协调工作等）：</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u w:val="single"/>
          <w:lang w:val="en-US" w:eastAsia="zh-CN"/>
        </w:rPr>
        <w:t xml:space="preserve">                                </w:t>
      </w:r>
    </w:p>
    <w:p w14:paraId="7966E981">
      <w:pPr>
        <w:snapToGrid w:val="0"/>
        <w:spacing w:before="120" w:beforeLines="50" w:after="120" w:afterLines="50" w:line="360" w:lineRule="auto"/>
        <w:ind w:firstLine="420" w:firstLineChars="200"/>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u w:val="single"/>
        </w:rPr>
        <w:t xml:space="preserve">                                              </w:t>
      </w:r>
      <w:r>
        <w:rPr>
          <w:rFonts w:hint="eastAsia" w:ascii="仿宋_GB2312" w:hAnsi="宋体" w:eastAsia="仿宋_GB2312"/>
          <w:color w:val="auto"/>
          <w:szCs w:val="21"/>
          <w:highlight w:val="none"/>
        </w:rPr>
        <w:t>。</w:t>
      </w:r>
    </w:p>
    <w:p w14:paraId="66E9C8EF">
      <w:pPr>
        <w:snapToGrid w:val="0"/>
        <w:spacing w:before="120" w:beforeLines="50" w:after="120" w:afterLines="50" w:line="360" w:lineRule="auto"/>
        <w:ind w:firstLine="420" w:firstLineChars="200"/>
        <w:outlineLvl w:val="9"/>
        <w:rPr>
          <w:rFonts w:hint="eastAsia" w:ascii="仿宋_GB2312" w:hAnsi="宋体" w:eastAsia="仿宋_GB2312"/>
          <w:color w:val="auto"/>
          <w:szCs w:val="21"/>
          <w:highlight w:val="none"/>
        </w:rPr>
      </w:pPr>
    </w:p>
    <w:p w14:paraId="04BAC10C">
      <w:pPr>
        <w:snapToGrid w:val="0"/>
        <w:spacing w:before="120" w:beforeLines="50" w:after="120" w:afterLines="50" w:line="360" w:lineRule="auto"/>
        <w:outlineLvl w:val="9"/>
        <w:rPr>
          <w:rFonts w:hint="eastAsia" w:ascii="仿宋_GB2312" w:eastAsia="仿宋_GB2312"/>
          <w:b/>
          <w:bCs/>
          <w:color w:val="auto"/>
          <w:szCs w:val="21"/>
          <w:highlight w:val="none"/>
        </w:rPr>
      </w:pPr>
      <w:r>
        <w:rPr>
          <w:rFonts w:hint="eastAsia" w:ascii="仿宋_GB2312" w:hAnsi="宋体" w:eastAsia="仿宋_GB2312"/>
          <w:b/>
          <w:bCs/>
          <w:color w:val="auto"/>
          <w:szCs w:val="21"/>
          <w:highlight w:val="none"/>
        </w:rPr>
        <w:t>附录</w:t>
      </w:r>
      <w:r>
        <w:rPr>
          <w:rFonts w:hint="eastAsia" w:ascii="仿宋_GB2312" w:eastAsia="仿宋_GB2312"/>
          <w:b/>
          <w:bCs/>
          <w:color w:val="auto"/>
          <w:szCs w:val="21"/>
          <w:highlight w:val="none"/>
        </w:rPr>
        <w:t xml:space="preserve">B  </w:t>
      </w:r>
      <w:r>
        <w:rPr>
          <w:rFonts w:hint="eastAsia" w:ascii="仿宋_GB2312" w:hAnsi="宋体" w:eastAsia="仿宋_GB2312"/>
          <w:b/>
          <w:bCs/>
          <w:color w:val="auto"/>
          <w:szCs w:val="21"/>
          <w:highlight w:val="none"/>
        </w:rPr>
        <w:t>甲方派遣的人员和提供的房屋、资料、设备</w:t>
      </w:r>
    </w:p>
    <w:p w14:paraId="21C29B56">
      <w:pPr>
        <w:spacing w:before="120" w:beforeLines="50" w:line="360" w:lineRule="auto"/>
        <w:outlineLvl w:val="9"/>
        <w:rPr>
          <w:rFonts w:hint="eastAsia" w:ascii="仿宋_GB2312" w:eastAsia="仿宋_GB2312"/>
          <w:b/>
          <w:color w:val="auto"/>
          <w:kern w:val="0"/>
          <w:szCs w:val="21"/>
          <w:highlight w:val="none"/>
        </w:rPr>
      </w:pPr>
      <w:bookmarkStart w:id="329" w:name="_Toc36049343"/>
      <w:r>
        <w:rPr>
          <w:rFonts w:hint="eastAsia" w:ascii="仿宋_GB2312" w:eastAsia="仿宋_GB2312"/>
          <w:b/>
          <w:color w:val="auto"/>
          <w:kern w:val="0"/>
          <w:szCs w:val="21"/>
          <w:highlight w:val="none"/>
        </w:rPr>
        <w:t xml:space="preserve">B-1  </w:t>
      </w:r>
      <w:r>
        <w:rPr>
          <w:rFonts w:hint="eastAsia" w:ascii="仿宋_GB2312" w:hAnsi="宋体" w:eastAsia="仿宋_GB2312"/>
          <w:b/>
          <w:color w:val="auto"/>
          <w:kern w:val="0"/>
          <w:szCs w:val="21"/>
          <w:highlight w:val="none"/>
        </w:rPr>
        <w:t>甲方派遣的人员</w:t>
      </w:r>
      <w:bookmarkEnd w:id="329"/>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770"/>
        <w:gridCol w:w="2130"/>
        <w:gridCol w:w="1860"/>
      </w:tblGrid>
      <w:tr w14:paraId="68AD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50BC8507">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名称</w:t>
            </w:r>
          </w:p>
        </w:tc>
        <w:tc>
          <w:tcPr>
            <w:tcW w:w="1770" w:type="dxa"/>
            <w:noWrap w:val="0"/>
            <w:vAlign w:val="top"/>
          </w:tcPr>
          <w:p w14:paraId="6E8115C6">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数量</w:t>
            </w:r>
          </w:p>
        </w:tc>
        <w:tc>
          <w:tcPr>
            <w:tcW w:w="2130" w:type="dxa"/>
            <w:noWrap w:val="0"/>
            <w:vAlign w:val="top"/>
          </w:tcPr>
          <w:p w14:paraId="3784C4CA">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工作要求</w:t>
            </w:r>
          </w:p>
        </w:tc>
        <w:tc>
          <w:tcPr>
            <w:tcW w:w="1860" w:type="dxa"/>
            <w:noWrap w:val="0"/>
            <w:vAlign w:val="top"/>
          </w:tcPr>
          <w:p w14:paraId="65C974CC">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提供时间</w:t>
            </w:r>
          </w:p>
        </w:tc>
      </w:tr>
      <w:tr w14:paraId="7A63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10554228">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1. </w:t>
            </w:r>
            <w:r>
              <w:rPr>
                <w:rFonts w:hint="eastAsia" w:ascii="仿宋_GB2312" w:hAnsi="宋体" w:eastAsia="仿宋_GB2312"/>
                <w:color w:val="auto"/>
                <w:szCs w:val="21"/>
                <w:highlight w:val="none"/>
              </w:rPr>
              <w:t>工程技术人员</w:t>
            </w:r>
            <w:r>
              <w:rPr>
                <w:rFonts w:hint="eastAsia" w:ascii="仿宋_GB2312" w:eastAsia="仿宋_GB2312"/>
                <w:color w:val="auto"/>
                <w:szCs w:val="21"/>
                <w:highlight w:val="none"/>
              </w:rPr>
              <w:t xml:space="preserve"> </w:t>
            </w:r>
          </w:p>
        </w:tc>
        <w:tc>
          <w:tcPr>
            <w:tcW w:w="1770" w:type="dxa"/>
            <w:noWrap w:val="0"/>
            <w:vAlign w:val="top"/>
          </w:tcPr>
          <w:p w14:paraId="5EB957CF">
            <w:pPr>
              <w:spacing w:line="360" w:lineRule="auto"/>
              <w:outlineLvl w:val="9"/>
              <w:rPr>
                <w:rFonts w:hint="eastAsia" w:ascii="仿宋_GB2312" w:eastAsia="仿宋_GB2312"/>
                <w:color w:val="auto"/>
                <w:szCs w:val="21"/>
                <w:highlight w:val="none"/>
              </w:rPr>
            </w:pPr>
          </w:p>
        </w:tc>
        <w:tc>
          <w:tcPr>
            <w:tcW w:w="2130" w:type="dxa"/>
            <w:noWrap w:val="0"/>
            <w:vAlign w:val="top"/>
          </w:tcPr>
          <w:p w14:paraId="54DB0FEC">
            <w:pPr>
              <w:spacing w:line="360" w:lineRule="auto"/>
              <w:outlineLvl w:val="9"/>
              <w:rPr>
                <w:rFonts w:hint="eastAsia" w:ascii="仿宋_GB2312" w:eastAsia="仿宋_GB2312"/>
                <w:color w:val="auto"/>
                <w:szCs w:val="21"/>
                <w:highlight w:val="none"/>
              </w:rPr>
            </w:pPr>
          </w:p>
        </w:tc>
        <w:tc>
          <w:tcPr>
            <w:tcW w:w="1860" w:type="dxa"/>
            <w:noWrap w:val="0"/>
            <w:vAlign w:val="top"/>
          </w:tcPr>
          <w:p w14:paraId="0FF296F3">
            <w:pPr>
              <w:spacing w:line="360" w:lineRule="auto"/>
              <w:outlineLvl w:val="9"/>
              <w:rPr>
                <w:rFonts w:hint="eastAsia" w:ascii="仿宋_GB2312" w:eastAsia="仿宋_GB2312"/>
                <w:color w:val="auto"/>
                <w:szCs w:val="21"/>
                <w:highlight w:val="none"/>
              </w:rPr>
            </w:pPr>
          </w:p>
        </w:tc>
      </w:tr>
      <w:tr w14:paraId="29FB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2C015072">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2. </w:t>
            </w:r>
            <w:r>
              <w:rPr>
                <w:rFonts w:hint="eastAsia" w:ascii="仿宋_GB2312" w:hAnsi="宋体" w:eastAsia="仿宋_GB2312"/>
                <w:color w:val="auto"/>
                <w:szCs w:val="21"/>
                <w:highlight w:val="none"/>
              </w:rPr>
              <w:t>辅助工作人员</w:t>
            </w:r>
          </w:p>
        </w:tc>
        <w:tc>
          <w:tcPr>
            <w:tcW w:w="1770" w:type="dxa"/>
            <w:noWrap w:val="0"/>
            <w:vAlign w:val="top"/>
          </w:tcPr>
          <w:p w14:paraId="5DD7859E">
            <w:pPr>
              <w:spacing w:line="360" w:lineRule="auto"/>
              <w:outlineLvl w:val="9"/>
              <w:rPr>
                <w:rFonts w:hint="eastAsia" w:ascii="仿宋_GB2312" w:eastAsia="仿宋_GB2312"/>
                <w:color w:val="auto"/>
                <w:szCs w:val="21"/>
                <w:highlight w:val="none"/>
              </w:rPr>
            </w:pPr>
          </w:p>
        </w:tc>
        <w:tc>
          <w:tcPr>
            <w:tcW w:w="2130" w:type="dxa"/>
            <w:noWrap w:val="0"/>
            <w:vAlign w:val="top"/>
          </w:tcPr>
          <w:p w14:paraId="1552B4BD">
            <w:pPr>
              <w:spacing w:line="360" w:lineRule="auto"/>
              <w:outlineLvl w:val="9"/>
              <w:rPr>
                <w:rFonts w:hint="eastAsia" w:ascii="仿宋_GB2312" w:eastAsia="仿宋_GB2312"/>
                <w:color w:val="auto"/>
                <w:szCs w:val="21"/>
                <w:highlight w:val="none"/>
              </w:rPr>
            </w:pPr>
          </w:p>
        </w:tc>
        <w:tc>
          <w:tcPr>
            <w:tcW w:w="1860" w:type="dxa"/>
            <w:noWrap w:val="0"/>
            <w:vAlign w:val="top"/>
          </w:tcPr>
          <w:p w14:paraId="0B9BA211">
            <w:pPr>
              <w:spacing w:line="360" w:lineRule="auto"/>
              <w:outlineLvl w:val="9"/>
              <w:rPr>
                <w:rFonts w:hint="eastAsia" w:ascii="仿宋_GB2312" w:eastAsia="仿宋_GB2312"/>
                <w:color w:val="auto"/>
                <w:szCs w:val="21"/>
                <w:highlight w:val="none"/>
              </w:rPr>
            </w:pPr>
          </w:p>
        </w:tc>
      </w:tr>
      <w:tr w14:paraId="70B5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5CB1CA2F">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3. </w:t>
            </w:r>
            <w:r>
              <w:rPr>
                <w:rFonts w:hint="eastAsia" w:ascii="仿宋_GB2312" w:hAnsi="宋体" w:eastAsia="仿宋_GB2312"/>
                <w:color w:val="auto"/>
                <w:szCs w:val="21"/>
                <w:highlight w:val="none"/>
              </w:rPr>
              <w:t>其他人员</w:t>
            </w:r>
          </w:p>
        </w:tc>
        <w:tc>
          <w:tcPr>
            <w:tcW w:w="1770" w:type="dxa"/>
            <w:noWrap w:val="0"/>
            <w:vAlign w:val="top"/>
          </w:tcPr>
          <w:p w14:paraId="513E2EBD">
            <w:pPr>
              <w:spacing w:line="360" w:lineRule="auto"/>
              <w:outlineLvl w:val="9"/>
              <w:rPr>
                <w:rFonts w:hint="eastAsia" w:ascii="仿宋_GB2312" w:eastAsia="仿宋_GB2312"/>
                <w:color w:val="auto"/>
                <w:szCs w:val="21"/>
                <w:highlight w:val="none"/>
              </w:rPr>
            </w:pPr>
          </w:p>
        </w:tc>
        <w:tc>
          <w:tcPr>
            <w:tcW w:w="2130" w:type="dxa"/>
            <w:noWrap w:val="0"/>
            <w:vAlign w:val="top"/>
          </w:tcPr>
          <w:p w14:paraId="1F5A93FE">
            <w:pPr>
              <w:spacing w:line="360" w:lineRule="auto"/>
              <w:outlineLvl w:val="9"/>
              <w:rPr>
                <w:rFonts w:hint="eastAsia" w:ascii="仿宋_GB2312" w:eastAsia="仿宋_GB2312"/>
                <w:color w:val="auto"/>
                <w:szCs w:val="21"/>
                <w:highlight w:val="none"/>
              </w:rPr>
            </w:pPr>
          </w:p>
        </w:tc>
        <w:tc>
          <w:tcPr>
            <w:tcW w:w="1860" w:type="dxa"/>
            <w:noWrap w:val="0"/>
            <w:vAlign w:val="top"/>
          </w:tcPr>
          <w:p w14:paraId="0F80DDC0">
            <w:pPr>
              <w:spacing w:line="360" w:lineRule="auto"/>
              <w:outlineLvl w:val="9"/>
              <w:rPr>
                <w:rFonts w:hint="eastAsia" w:ascii="仿宋_GB2312" w:eastAsia="仿宋_GB2312"/>
                <w:color w:val="auto"/>
                <w:szCs w:val="21"/>
                <w:highlight w:val="none"/>
              </w:rPr>
            </w:pPr>
          </w:p>
        </w:tc>
      </w:tr>
      <w:tr w14:paraId="5989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1AF46946">
            <w:pPr>
              <w:spacing w:line="360" w:lineRule="auto"/>
              <w:outlineLvl w:val="9"/>
              <w:rPr>
                <w:rFonts w:hint="eastAsia" w:ascii="仿宋_GB2312" w:hAnsi="宋体" w:eastAsia="仿宋_GB2312"/>
                <w:color w:val="auto"/>
                <w:szCs w:val="21"/>
                <w:highlight w:val="none"/>
              </w:rPr>
            </w:pPr>
          </w:p>
        </w:tc>
        <w:tc>
          <w:tcPr>
            <w:tcW w:w="1770" w:type="dxa"/>
            <w:noWrap w:val="0"/>
            <w:vAlign w:val="top"/>
          </w:tcPr>
          <w:p w14:paraId="6058B4E7">
            <w:pPr>
              <w:spacing w:line="360" w:lineRule="auto"/>
              <w:outlineLvl w:val="9"/>
              <w:rPr>
                <w:rFonts w:hint="eastAsia" w:ascii="仿宋_GB2312" w:hAnsi="宋体" w:eastAsia="仿宋_GB2312"/>
                <w:color w:val="auto"/>
                <w:szCs w:val="21"/>
                <w:highlight w:val="none"/>
              </w:rPr>
            </w:pPr>
          </w:p>
        </w:tc>
        <w:tc>
          <w:tcPr>
            <w:tcW w:w="2130" w:type="dxa"/>
            <w:noWrap w:val="0"/>
            <w:vAlign w:val="top"/>
          </w:tcPr>
          <w:p w14:paraId="24CE3076">
            <w:pPr>
              <w:spacing w:line="360" w:lineRule="auto"/>
              <w:outlineLvl w:val="9"/>
              <w:rPr>
                <w:rFonts w:hint="eastAsia" w:ascii="仿宋_GB2312" w:hAnsi="宋体" w:eastAsia="仿宋_GB2312"/>
                <w:color w:val="auto"/>
                <w:szCs w:val="21"/>
                <w:highlight w:val="none"/>
              </w:rPr>
            </w:pPr>
          </w:p>
        </w:tc>
        <w:tc>
          <w:tcPr>
            <w:tcW w:w="1860" w:type="dxa"/>
            <w:noWrap w:val="0"/>
            <w:vAlign w:val="top"/>
          </w:tcPr>
          <w:p w14:paraId="557D3353">
            <w:pPr>
              <w:spacing w:line="360" w:lineRule="auto"/>
              <w:outlineLvl w:val="9"/>
              <w:rPr>
                <w:rFonts w:hint="eastAsia" w:ascii="仿宋_GB2312" w:hAnsi="宋体" w:eastAsia="仿宋_GB2312"/>
                <w:color w:val="auto"/>
                <w:szCs w:val="21"/>
                <w:highlight w:val="none"/>
              </w:rPr>
            </w:pPr>
          </w:p>
        </w:tc>
      </w:tr>
    </w:tbl>
    <w:p w14:paraId="30CD0EFC">
      <w:pPr>
        <w:spacing w:before="120" w:beforeLines="50" w:line="360" w:lineRule="auto"/>
        <w:outlineLvl w:val="9"/>
        <w:rPr>
          <w:rFonts w:hint="eastAsia" w:ascii="仿宋_GB2312" w:eastAsia="仿宋_GB2312"/>
          <w:b/>
          <w:color w:val="auto"/>
          <w:kern w:val="0"/>
          <w:szCs w:val="21"/>
          <w:highlight w:val="none"/>
        </w:rPr>
      </w:pPr>
      <w:r>
        <w:rPr>
          <w:rFonts w:hint="eastAsia" w:ascii="仿宋_GB2312" w:eastAsia="仿宋_GB2312"/>
          <w:b/>
          <w:color w:val="auto"/>
          <w:kern w:val="0"/>
          <w:szCs w:val="21"/>
          <w:highlight w:val="none"/>
        </w:rPr>
        <w:t xml:space="preserve">B-2  </w:t>
      </w:r>
      <w:r>
        <w:rPr>
          <w:rFonts w:hint="eastAsia" w:ascii="仿宋_GB2312" w:hAnsi="宋体" w:eastAsia="仿宋_GB2312"/>
          <w:b/>
          <w:color w:val="auto"/>
          <w:kern w:val="0"/>
          <w:szCs w:val="21"/>
          <w:highlight w:val="none"/>
        </w:rPr>
        <w:t>甲方提供的房屋、场地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30"/>
        <w:gridCol w:w="2130"/>
        <w:gridCol w:w="1860"/>
      </w:tblGrid>
      <w:tr w14:paraId="39F7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2F7133C7">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名称</w:t>
            </w:r>
          </w:p>
        </w:tc>
        <w:tc>
          <w:tcPr>
            <w:tcW w:w="2130" w:type="dxa"/>
            <w:noWrap w:val="0"/>
            <w:vAlign w:val="top"/>
          </w:tcPr>
          <w:p w14:paraId="35C47443">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数量</w:t>
            </w:r>
          </w:p>
        </w:tc>
        <w:tc>
          <w:tcPr>
            <w:tcW w:w="2130" w:type="dxa"/>
            <w:noWrap w:val="0"/>
            <w:vAlign w:val="top"/>
          </w:tcPr>
          <w:p w14:paraId="238FD3A6">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面积</w:t>
            </w:r>
          </w:p>
        </w:tc>
        <w:tc>
          <w:tcPr>
            <w:tcW w:w="1860" w:type="dxa"/>
            <w:noWrap w:val="0"/>
            <w:vAlign w:val="top"/>
          </w:tcPr>
          <w:p w14:paraId="6C6A1962">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提供时间</w:t>
            </w:r>
          </w:p>
        </w:tc>
      </w:tr>
      <w:tr w14:paraId="77EF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66B0C49D">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1. </w:t>
            </w:r>
            <w:r>
              <w:rPr>
                <w:rFonts w:hint="eastAsia" w:ascii="仿宋_GB2312" w:hAnsi="宋体" w:eastAsia="仿宋_GB2312"/>
                <w:color w:val="auto"/>
                <w:szCs w:val="21"/>
                <w:highlight w:val="none"/>
              </w:rPr>
              <w:t>设备用房</w:t>
            </w:r>
          </w:p>
        </w:tc>
        <w:tc>
          <w:tcPr>
            <w:tcW w:w="2130" w:type="dxa"/>
            <w:noWrap w:val="0"/>
            <w:vAlign w:val="top"/>
          </w:tcPr>
          <w:p w14:paraId="2076718F">
            <w:pPr>
              <w:spacing w:line="360" w:lineRule="auto"/>
              <w:ind w:firstLine="210" w:firstLineChars="100"/>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p>
        </w:tc>
        <w:tc>
          <w:tcPr>
            <w:tcW w:w="2130" w:type="dxa"/>
            <w:noWrap w:val="0"/>
            <w:vAlign w:val="top"/>
          </w:tcPr>
          <w:p w14:paraId="5057FC63">
            <w:pPr>
              <w:spacing w:line="360" w:lineRule="auto"/>
              <w:ind w:firstLine="210" w:firstLineChars="100"/>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p>
        </w:tc>
        <w:tc>
          <w:tcPr>
            <w:tcW w:w="1860" w:type="dxa"/>
            <w:noWrap w:val="0"/>
            <w:vAlign w:val="top"/>
          </w:tcPr>
          <w:p w14:paraId="42C40C87">
            <w:pPr>
              <w:spacing w:line="360" w:lineRule="auto"/>
              <w:outlineLvl w:val="9"/>
              <w:rPr>
                <w:rFonts w:hint="eastAsia" w:ascii="仿宋_GB2312" w:eastAsia="仿宋_GB2312"/>
                <w:color w:val="auto"/>
                <w:szCs w:val="21"/>
                <w:highlight w:val="none"/>
              </w:rPr>
            </w:pPr>
          </w:p>
        </w:tc>
      </w:tr>
      <w:tr w14:paraId="7E04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6AF79CC5">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2. </w:t>
            </w:r>
            <w:r>
              <w:rPr>
                <w:rFonts w:hint="eastAsia" w:ascii="仿宋_GB2312" w:hAnsi="宋体" w:eastAsia="仿宋_GB2312"/>
                <w:color w:val="auto"/>
                <w:szCs w:val="21"/>
                <w:highlight w:val="none"/>
              </w:rPr>
              <w:t>样品用房</w:t>
            </w:r>
          </w:p>
        </w:tc>
        <w:tc>
          <w:tcPr>
            <w:tcW w:w="2130" w:type="dxa"/>
            <w:noWrap w:val="0"/>
            <w:vAlign w:val="top"/>
          </w:tcPr>
          <w:p w14:paraId="00AB3044">
            <w:pPr>
              <w:spacing w:line="360" w:lineRule="auto"/>
              <w:outlineLvl w:val="9"/>
              <w:rPr>
                <w:rFonts w:hint="eastAsia" w:ascii="仿宋_GB2312" w:eastAsia="仿宋_GB2312"/>
                <w:color w:val="auto"/>
                <w:szCs w:val="21"/>
                <w:highlight w:val="none"/>
              </w:rPr>
            </w:pPr>
          </w:p>
        </w:tc>
        <w:tc>
          <w:tcPr>
            <w:tcW w:w="2130" w:type="dxa"/>
            <w:noWrap w:val="0"/>
            <w:vAlign w:val="top"/>
          </w:tcPr>
          <w:p w14:paraId="76686577">
            <w:pPr>
              <w:spacing w:line="360" w:lineRule="auto"/>
              <w:outlineLvl w:val="9"/>
              <w:rPr>
                <w:rFonts w:hint="eastAsia" w:ascii="仿宋_GB2312" w:eastAsia="仿宋_GB2312"/>
                <w:color w:val="auto"/>
                <w:szCs w:val="21"/>
                <w:highlight w:val="none"/>
              </w:rPr>
            </w:pPr>
          </w:p>
        </w:tc>
        <w:tc>
          <w:tcPr>
            <w:tcW w:w="1860" w:type="dxa"/>
            <w:noWrap w:val="0"/>
            <w:vAlign w:val="top"/>
          </w:tcPr>
          <w:p w14:paraId="221974BA">
            <w:pPr>
              <w:spacing w:line="360" w:lineRule="auto"/>
              <w:outlineLvl w:val="9"/>
              <w:rPr>
                <w:rFonts w:hint="eastAsia" w:ascii="仿宋_GB2312" w:eastAsia="仿宋_GB2312"/>
                <w:color w:val="auto"/>
                <w:szCs w:val="21"/>
                <w:highlight w:val="none"/>
              </w:rPr>
            </w:pPr>
          </w:p>
        </w:tc>
      </w:tr>
      <w:tr w14:paraId="5F3D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2F8E61D5">
            <w:pPr>
              <w:spacing w:line="360" w:lineRule="auto"/>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3. 设备场地</w:t>
            </w:r>
          </w:p>
        </w:tc>
        <w:tc>
          <w:tcPr>
            <w:tcW w:w="2130" w:type="dxa"/>
            <w:noWrap w:val="0"/>
            <w:vAlign w:val="top"/>
          </w:tcPr>
          <w:p w14:paraId="57B8444C">
            <w:pPr>
              <w:spacing w:line="360" w:lineRule="auto"/>
              <w:outlineLvl w:val="9"/>
              <w:rPr>
                <w:rFonts w:hint="eastAsia" w:ascii="仿宋_GB2312" w:hAnsi="宋体" w:eastAsia="仿宋_GB2312"/>
                <w:color w:val="auto"/>
                <w:szCs w:val="21"/>
                <w:highlight w:val="none"/>
              </w:rPr>
            </w:pPr>
          </w:p>
        </w:tc>
        <w:tc>
          <w:tcPr>
            <w:tcW w:w="2130" w:type="dxa"/>
            <w:noWrap w:val="0"/>
            <w:vAlign w:val="top"/>
          </w:tcPr>
          <w:p w14:paraId="26FABA10">
            <w:pPr>
              <w:spacing w:line="360" w:lineRule="auto"/>
              <w:outlineLvl w:val="9"/>
              <w:rPr>
                <w:rFonts w:hint="eastAsia" w:ascii="仿宋_GB2312" w:hAnsi="宋体" w:eastAsia="仿宋_GB2312"/>
                <w:color w:val="auto"/>
                <w:szCs w:val="21"/>
                <w:highlight w:val="none"/>
              </w:rPr>
            </w:pPr>
          </w:p>
        </w:tc>
        <w:tc>
          <w:tcPr>
            <w:tcW w:w="1860" w:type="dxa"/>
            <w:noWrap w:val="0"/>
            <w:vAlign w:val="top"/>
          </w:tcPr>
          <w:p w14:paraId="29A585AB">
            <w:pPr>
              <w:spacing w:line="360" w:lineRule="auto"/>
              <w:outlineLvl w:val="9"/>
              <w:rPr>
                <w:rFonts w:hint="eastAsia" w:ascii="仿宋_GB2312" w:hAnsi="宋体" w:eastAsia="仿宋_GB2312"/>
                <w:color w:val="auto"/>
                <w:szCs w:val="21"/>
                <w:highlight w:val="none"/>
              </w:rPr>
            </w:pPr>
          </w:p>
        </w:tc>
      </w:tr>
      <w:tr w14:paraId="6BF5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7399777D">
            <w:pPr>
              <w:spacing w:line="360" w:lineRule="auto"/>
              <w:outlineLvl w:val="9"/>
              <w:rPr>
                <w:rFonts w:hint="eastAsia" w:ascii="仿宋_GB2312" w:hAnsi="宋体" w:eastAsia="仿宋_GB2312"/>
                <w:color w:val="auto"/>
                <w:szCs w:val="21"/>
                <w:highlight w:val="none"/>
              </w:rPr>
            </w:pPr>
          </w:p>
        </w:tc>
        <w:tc>
          <w:tcPr>
            <w:tcW w:w="2130" w:type="dxa"/>
            <w:noWrap w:val="0"/>
            <w:vAlign w:val="top"/>
          </w:tcPr>
          <w:p w14:paraId="485F9AAC">
            <w:pPr>
              <w:spacing w:line="360" w:lineRule="auto"/>
              <w:outlineLvl w:val="9"/>
              <w:rPr>
                <w:rFonts w:hint="eastAsia" w:ascii="仿宋_GB2312" w:hAnsi="宋体" w:eastAsia="仿宋_GB2312"/>
                <w:color w:val="auto"/>
                <w:szCs w:val="21"/>
                <w:highlight w:val="none"/>
              </w:rPr>
            </w:pPr>
          </w:p>
        </w:tc>
        <w:tc>
          <w:tcPr>
            <w:tcW w:w="2130" w:type="dxa"/>
            <w:noWrap w:val="0"/>
            <w:vAlign w:val="top"/>
          </w:tcPr>
          <w:p w14:paraId="6E28CFEE">
            <w:pPr>
              <w:spacing w:line="360" w:lineRule="auto"/>
              <w:outlineLvl w:val="9"/>
              <w:rPr>
                <w:rFonts w:hint="eastAsia" w:ascii="仿宋_GB2312" w:hAnsi="宋体" w:eastAsia="仿宋_GB2312"/>
                <w:color w:val="auto"/>
                <w:szCs w:val="21"/>
                <w:highlight w:val="none"/>
              </w:rPr>
            </w:pPr>
          </w:p>
        </w:tc>
        <w:tc>
          <w:tcPr>
            <w:tcW w:w="1860" w:type="dxa"/>
            <w:noWrap w:val="0"/>
            <w:vAlign w:val="top"/>
          </w:tcPr>
          <w:p w14:paraId="181A62D1">
            <w:pPr>
              <w:spacing w:line="360" w:lineRule="auto"/>
              <w:outlineLvl w:val="9"/>
              <w:rPr>
                <w:rFonts w:hint="eastAsia" w:ascii="仿宋_GB2312" w:hAnsi="宋体" w:eastAsia="仿宋_GB2312"/>
                <w:color w:val="auto"/>
                <w:szCs w:val="21"/>
                <w:highlight w:val="none"/>
              </w:rPr>
            </w:pPr>
          </w:p>
        </w:tc>
      </w:tr>
      <w:tr w14:paraId="7E0F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395C9DC7">
            <w:pPr>
              <w:spacing w:line="360" w:lineRule="auto"/>
              <w:outlineLvl w:val="9"/>
              <w:rPr>
                <w:rFonts w:hint="eastAsia" w:ascii="仿宋_GB2312" w:hAnsi="宋体" w:eastAsia="仿宋_GB2312"/>
                <w:color w:val="auto"/>
                <w:szCs w:val="21"/>
                <w:highlight w:val="none"/>
              </w:rPr>
            </w:pPr>
          </w:p>
        </w:tc>
        <w:tc>
          <w:tcPr>
            <w:tcW w:w="2130" w:type="dxa"/>
            <w:noWrap w:val="0"/>
            <w:vAlign w:val="top"/>
          </w:tcPr>
          <w:p w14:paraId="30925F37">
            <w:pPr>
              <w:spacing w:line="360" w:lineRule="auto"/>
              <w:outlineLvl w:val="9"/>
              <w:rPr>
                <w:rFonts w:hint="eastAsia" w:ascii="仿宋_GB2312" w:hAnsi="宋体" w:eastAsia="仿宋_GB2312"/>
                <w:color w:val="auto"/>
                <w:szCs w:val="21"/>
                <w:highlight w:val="none"/>
              </w:rPr>
            </w:pPr>
          </w:p>
        </w:tc>
        <w:tc>
          <w:tcPr>
            <w:tcW w:w="2130" w:type="dxa"/>
            <w:noWrap w:val="0"/>
            <w:vAlign w:val="top"/>
          </w:tcPr>
          <w:p w14:paraId="095E9331">
            <w:pPr>
              <w:spacing w:line="360" w:lineRule="auto"/>
              <w:outlineLvl w:val="9"/>
              <w:rPr>
                <w:rFonts w:hint="eastAsia" w:ascii="仿宋_GB2312" w:hAnsi="宋体" w:eastAsia="仿宋_GB2312"/>
                <w:color w:val="auto"/>
                <w:szCs w:val="21"/>
                <w:highlight w:val="none"/>
              </w:rPr>
            </w:pPr>
          </w:p>
        </w:tc>
        <w:tc>
          <w:tcPr>
            <w:tcW w:w="1860" w:type="dxa"/>
            <w:noWrap w:val="0"/>
            <w:vAlign w:val="top"/>
          </w:tcPr>
          <w:p w14:paraId="41440CE5">
            <w:pPr>
              <w:spacing w:line="360" w:lineRule="auto"/>
              <w:outlineLvl w:val="9"/>
              <w:rPr>
                <w:rFonts w:hint="eastAsia" w:ascii="仿宋_GB2312" w:hAnsi="宋体" w:eastAsia="仿宋_GB2312"/>
                <w:color w:val="auto"/>
                <w:szCs w:val="21"/>
                <w:highlight w:val="none"/>
              </w:rPr>
            </w:pPr>
          </w:p>
        </w:tc>
      </w:tr>
    </w:tbl>
    <w:p w14:paraId="04588C51">
      <w:pPr>
        <w:spacing w:before="120" w:beforeLines="50" w:line="360" w:lineRule="auto"/>
        <w:outlineLvl w:val="9"/>
        <w:rPr>
          <w:rFonts w:hint="eastAsia" w:ascii="仿宋_GB2312" w:eastAsia="仿宋_GB2312"/>
          <w:b/>
          <w:color w:val="auto"/>
          <w:kern w:val="0"/>
          <w:szCs w:val="21"/>
          <w:highlight w:val="none"/>
        </w:rPr>
      </w:pPr>
      <w:r>
        <w:rPr>
          <w:rFonts w:hint="eastAsia" w:ascii="仿宋_GB2312" w:eastAsia="仿宋_GB2312"/>
          <w:b/>
          <w:color w:val="auto"/>
          <w:kern w:val="0"/>
          <w:szCs w:val="21"/>
          <w:highlight w:val="none"/>
        </w:rPr>
        <w:t xml:space="preserve">B-3  </w:t>
      </w:r>
      <w:r>
        <w:rPr>
          <w:rFonts w:hint="eastAsia" w:ascii="仿宋_GB2312" w:hAnsi="宋体" w:eastAsia="仿宋_GB2312"/>
          <w:b/>
          <w:color w:val="auto"/>
          <w:kern w:val="0"/>
          <w:szCs w:val="21"/>
          <w:highlight w:val="none"/>
        </w:rPr>
        <w:t>甲方提供的资料</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491"/>
        <w:gridCol w:w="2147"/>
        <w:gridCol w:w="2082"/>
      </w:tblGrid>
      <w:tr w14:paraId="7896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14:paraId="4D2E8A93">
            <w:pPr>
              <w:spacing w:line="360" w:lineRule="auto"/>
              <w:jc w:val="center"/>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名称</w:t>
            </w:r>
          </w:p>
        </w:tc>
        <w:tc>
          <w:tcPr>
            <w:tcW w:w="1491" w:type="dxa"/>
            <w:noWrap w:val="0"/>
            <w:vAlign w:val="top"/>
          </w:tcPr>
          <w:p w14:paraId="04D321A6">
            <w:pPr>
              <w:spacing w:line="360" w:lineRule="auto"/>
              <w:jc w:val="center"/>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份数</w:t>
            </w:r>
          </w:p>
        </w:tc>
        <w:tc>
          <w:tcPr>
            <w:tcW w:w="2147" w:type="dxa"/>
            <w:noWrap w:val="0"/>
            <w:vAlign w:val="top"/>
          </w:tcPr>
          <w:p w14:paraId="3823EA6F">
            <w:pPr>
              <w:spacing w:line="360" w:lineRule="auto"/>
              <w:jc w:val="center"/>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提供时间</w:t>
            </w:r>
          </w:p>
        </w:tc>
        <w:tc>
          <w:tcPr>
            <w:tcW w:w="2082" w:type="dxa"/>
            <w:noWrap w:val="0"/>
            <w:vAlign w:val="top"/>
          </w:tcPr>
          <w:p w14:paraId="7815F0C3">
            <w:pPr>
              <w:spacing w:line="360" w:lineRule="auto"/>
              <w:jc w:val="center"/>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备注</w:t>
            </w:r>
          </w:p>
        </w:tc>
      </w:tr>
      <w:tr w14:paraId="6C96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14:paraId="192AA792">
            <w:pPr>
              <w:spacing w:line="360" w:lineRule="auto"/>
              <w:outlineLvl w:val="9"/>
              <w:rPr>
                <w:rFonts w:hint="eastAsia" w:ascii="仿宋_GB2312" w:eastAsia="仿宋_GB2312"/>
                <w:color w:val="auto"/>
                <w:kern w:val="0"/>
                <w:szCs w:val="21"/>
                <w:highlight w:val="none"/>
              </w:rPr>
            </w:pPr>
            <w:r>
              <w:rPr>
                <w:rFonts w:hint="eastAsia" w:ascii="仿宋_GB2312" w:eastAsia="仿宋_GB2312"/>
                <w:color w:val="auto"/>
                <w:kern w:val="0"/>
                <w:szCs w:val="21"/>
                <w:highlight w:val="none"/>
              </w:rPr>
              <w:t xml:space="preserve">1. </w:t>
            </w:r>
            <w:r>
              <w:rPr>
                <w:rFonts w:hint="eastAsia" w:ascii="仿宋_GB2312" w:hAnsi="宋体" w:eastAsia="仿宋_GB2312"/>
                <w:color w:val="auto"/>
                <w:kern w:val="0"/>
                <w:szCs w:val="21"/>
                <w:highlight w:val="none"/>
              </w:rPr>
              <w:t>工程设计及施工图纸</w:t>
            </w:r>
          </w:p>
        </w:tc>
        <w:tc>
          <w:tcPr>
            <w:tcW w:w="1491" w:type="dxa"/>
            <w:noWrap w:val="0"/>
            <w:vAlign w:val="top"/>
          </w:tcPr>
          <w:p w14:paraId="72FCDBBC">
            <w:pPr>
              <w:spacing w:line="360" w:lineRule="auto"/>
              <w:outlineLvl w:val="9"/>
              <w:rPr>
                <w:rFonts w:hint="eastAsia" w:ascii="仿宋_GB2312" w:eastAsia="仿宋_GB2312"/>
                <w:color w:val="auto"/>
                <w:kern w:val="0"/>
                <w:szCs w:val="21"/>
                <w:highlight w:val="none"/>
              </w:rPr>
            </w:pPr>
          </w:p>
        </w:tc>
        <w:tc>
          <w:tcPr>
            <w:tcW w:w="2147" w:type="dxa"/>
            <w:noWrap w:val="0"/>
            <w:vAlign w:val="top"/>
          </w:tcPr>
          <w:p w14:paraId="5CC303F6">
            <w:pPr>
              <w:spacing w:line="360" w:lineRule="auto"/>
              <w:outlineLvl w:val="9"/>
              <w:rPr>
                <w:rFonts w:hint="eastAsia" w:ascii="仿宋_GB2312" w:eastAsia="仿宋_GB2312"/>
                <w:color w:val="auto"/>
                <w:kern w:val="0"/>
                <w:szCs w:val="21"/>
                <w:highlight w:val="none"/>
              </w:rPr>
            </w:pPr>
          </w:p>
        </w:tc>
        <w:tc>
          <w:tcPr>
            <w:tcW w:w="2082" w:type="dxa"/>
            <w:noWrap w:val="0"/>
            <w:vAlign w:val="top"/>
          </w:tcPr>
          <w:p w14:paraId="2C5608E9">
            <w:pPr>
              <w:spacing w:line="360" w:lineRule="auto"/>
              <w:outlineLvl w:val="9"/>
              <w:rPr>
                <w:rFonts w:hint="eastAsia" w:ascii="仿宋_GB2312" w:eastAsia="仿宋_GB2312"/>
                <w:color w:val="auto"/>
                <w:kern w:val="0"/>
                <w:szCs w:val="21"/>
                <w:highlight w:val="none"/>
              </w:rPr>
            </w:pPr>
          </w:p>
        </w:tc>
      </w:tr>
      <w:tr w14:paraId="6DD2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14:paraId="5BDE68E0">
            <w:pPr>
              <w:spacing w:line="360" w:lineRule="auto"/>
              <w:outlineLvl w:val="9"/>
              <w:rPr>
                <w:rFonts w:hint="eastAsia" w:ascii="仿宋_GB2312" w:eastAsia="仿宋_GB2312"/>
                <w:color w:val="auto"/>
                <w:kern w:val="0"/>
                <w:szCs w:val="21"/>
                <w:highlight w:val="none"/>
              </w:rPr>
            </w:pPr>
            <w:r>
              <w:rPr>
                <w:rFonts w:hint="eastAsia" w:ascii="仿宋_GB2312" w:eastAsia="仿宋_GB2312"/>
                <w:color w:val="auto"/>
                <w:kern w:val="0"/>
                <w:szCs w:val="21"/>
                <w:highlight w:val="none"/>
              </w:rPr>
              <w:t>2</w:t>
            </w: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施工资料</w:t>
            </w:r>
          </w:p>
        </w:tc>
        <w:tc>
          <w:tcPr>
            <w:tcW w:w="1491" w:type="dxa"/>
            <w:noWrap w:val="0"/>
            <w:vAlign w:val="top"/>
          </w:tcPr>
          <w:p w14:paraId="57E289B5">
            <w:pPr>
              <w:spacing w:line="360" w:lineRule="auto"/>
              <w:outlineLvl w:val="9"/>
              <w:rPr>
                <w:rFonts w:hint="eastAsia" w:ascii="仿宋_GB2312" w:eastAsia="仿宋_GB2312"/>
                <w:color w:val="auto"/>
                <w:kern w:val="0"/>
                <w:szCs w:val="21"/>
                <w:highlight w:val="none"/>
              </w:rPr>
            </w:pPr>
          </w:p>
        </w:tc>
        <w:tc>
          <w:tcPr>
            <w:tcW w:w="2147" w:type="dxa"/>
            <w:noWrap w:val="0"/>
            <w:vAlign w:val="top"/>
          </w:tcPr>
          <w:p w14:paraId="3D1B4CDE">
            <w:pPr>
              <w:spacing w:line="360" w:lineRule="auto"/>
              <w:outlineLvl w:val="9"/>
              <w:rPr>
                <w:rFonts w:hint="eastAsia" w:ascii="仿宋_GB2312" w:eastAsia="仿宋_GB2312"/>
                <w:color w:val="auto"/>
                <w:kern w:val="0"/>
                <w:szCs w:val="21"/>
                <w:highlight w:val="none"/>
              </w:rPr>
            </w:pPr>
          </w:p>
        </w:tc>
        <w:tc>
          <w:tcPr>
            <w:tcW w:w="2082" w:type="dxa"/>
            <w:noWrap w:val="0"/>
            <w:vAlign w:val="top"/>
          </w:tcPr>
          <w:p w14:paraId="35C23319">
            <w:pPr>
              <w:spacing w:line="360" w:lineRule="auto"/>
              <w:outlineLvl w:val="9"/>
              <w:rPr>
                <w:rFonts w:hint="eastAsia" w:ascii="仿宋_GB2312" w:eastAsia="仿宋_GB2312"/>
                <w:color w:val="auto"/>
                <w:kern w:val="0"/>
                <w:szCs w:val="21"/>
                <w:highlight w:val="none"/>
              </w:rPr>
            </w:pPr>
          </w:p>
        </w:tc>
      </w:tr>
      <w:tr w14:paraId="3445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14:paraId="38ECD611">
            <w:pPr>
              <w:spacing w:line="360" w:lineRule="auto"/>
              <w:outlineLvl w:val="9"/>
              <w:rPr>
                <w:rFonts w:hint="eastAsia" w:ascii="仿宋_GB2312" w:eastAsia="仿宋_GB2312"/>
                <w:color w:val="auto"/>
                <w:kern w:val="0"/>
                <w:szCs w:val="21"/>
                <w:highlight w:val="none"/>
              </w:rPr>
            </w:pPr>
            <w:r>
              <w:rPr>
                <w:rFonts w:hint="eastAsia" w:ascii="仿宋_GB2312" w:eastAsia="仿宋_GB2312"/>
                <w:color w:val="auto"/>
                <w:kern w:val="0"/>
                <w:szCs w:val="21"/>
                <w:highlight w:val="none"/>
              </w:rPr>
              <w:t>3</w:t>
            </w:r>
            <w:r>
              <w:rPr>
                <w:rFonts w:hint="eastAsia" w:ascii="仿宋_GB2312" w:hAnsi="宋体" w:eastAsia="仿宋_GB2312"/>
                <w:color w:val="auto"/>
                <w:kern w:val="0"/>
                <w:szCs w:val="21"/>
                <w:highlight w:val="none"/>
              </w:rPr>
              <w:t xml:space="preserve">. </w:t>
            </w:r>
            <w:r>
              <w:rPr>
                <w:rFonts w:hint="eastAsia" w:ascii="仿宋_GB2312" w:eastAsia="仿宋_GB2312"/>
                <w:color w:val="auto"/>
                <w:kern w:val="0"/>
                <w:szCs w:val="21"/>
                <w:highlight w:val="none"/>
              </w:rPr>
              <w:t>监理资料</w:t>
            </w:r>
          </w:p>
        </w:tc>
        <w:tc>
          <w:tcPr>
            <w:tcW w:w="1491" w:type="dxa"/>
            <w:noWrap w:val="0"/>
            <w:vAlign w:val="top"/>
          </w:tcPr>
          <w:p w14:paraId="3EBFB99A">
            <w:pPr>
              <w:spacing w:line="360" w:lineRule="auto"/>
              <w:outlineLvl w:val="9"/>
              <w:rPr>
                <w:rFonts w:hint="eastAsia" w:ascii="仿宋_GB2312" w:eastAsia="仿宋_GB2312"/>
                <w:color w:val="auto"/>
                <w:kern w:val="0"/>
                <w:szCs w:val="21"/>
                <w:highlight w:val="none"/>
              </w:rPr>
            </w:pPr>
          </w:p>
        </w:tc>
        <w:tc>
          <w:tcPr>
            <w:tcW w:w="2147" w:type="dxa"/>
            <w:noWrap w:val="0"/>
            <w:vAlign w:val="top"/>
          </w:tcPr>
          <w:p w14:paraId="457C6BC5">
            <w:pPr>
              <w:spacing w:line="360" w:lineRule="auto"/>
              <w:outlineLvl w:val="9"/>
              <w:rPr>
                <w:rFonts w:hint="eastAsia" w:ascii="仿宋_GB2312" w:eastAsia="仿宋_GB2312"/>
                <w:color w:val="auto"/>
                <w:kern w:val="0"/>
                <w:szCs w:val="21"/>
                <w:highlight w:val="none"/>
              </w:rPr>
            </w:pPr>
          </w:p>
        </w:tc>
        <w:tc>
          <w:tcPr>
            <w:tcW w:w="2082" w:type="dxa"/>
            <w:noWrap w:val="0"/>
            <w:vAlign w:val="top"/>
          </w:tcPr>
          <w:p w14:paraId="579AEA00">
            <w:pPr>
              <w:spacing w:line="360" w:lineRule="auto"/>
              <w:outlineLvl w:val="9"/>
              <w:rPr>
                <w:rFonts w:hint="eastAsia" w:ascii="仿宋_GB2312" w:eastAsia="仿宋_GB2312"/>
                <w:color w:val="auto"/>
                <w:kern w:val="0"/>
                <w:szCs w:val="21"/>
                <w:highlight w:val="none"/>
              </w:rPr>
            </w:pPr>
          </w:p>
        </w:tc>
      </w:tr>
      <w:tr w14:paraId="280E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14:paraId="59DD2E25">
            <w:pPr>
              <w:spacing w:line="360" w:lineRule="auto"/>
              <w:outlineLvl w:val="9"/>
              <w:rPr>
                <w:rFonts w:hint="eastAsia" w:ascii="仿宋_GB2312" w:eastAsia="仿宋_GB2312"/>
                <w:color w:val="auto"/>
                <w:kern w:val="0"/>
                <w:szCs w:val="21"/>
                <w:highlight w:val="none"/>
              </w:rPr>
            </w:pPr>
            <w:r>
              <w:rPr>
                <w:rFonts w:hint="eastAsia" w:ascii="仿宋_GB2312" w:hAnsi="宋体" w:eastAsia="仿宋_GB2312"/>
                <w:color w:val="auto"/>
                <w:kern w:val="0"/>
                <w:szCs w:val="21"/>
                <w:highlight w:val="none"/>
              </w:rPr>
              <w:t>其他文件</w:t>
            </w:r>
          </w:p>
        </w:tc>
        <w:tc>
          <w:tcPr>
            <w:tcW w:w="1491" w:type="dxa"/>
            <w:noWrap w:val="0"/>
            <w:vAlign w:val="top"/>
          </w:tcPr>
          <w:p w14:paraId="191BB9ED">
            <w:pPr>
              <w:spacing w:line="360" w:lineRule="auto"/>
              <w:outlineLvl w:val="9"/>
              <w:rPr>
                <w:rFonts w:hint="eastAsia" w:ascii="仿宋_GB2312" w:eastAsia="仿宋_GB2312"/>
                <w:color w:val="auto"/>
                <w:kern w:val="0"/>
                <w:szCs w:val="21"/>
                <w:highlight w:val="none"/>
              </w:rPr>
            </w:pPr>
          </w:p>
        </w:tc>
        <w:tc>
          <w:tcPr>
            <w:tcW w:w="2147" w:type="dxa"/>
            <w:noWrap w:val="0"/>
            <w:vAlign w:val="top"/>
          </w:tcPr>
          <w:p w14:paraId="2A344B12">
            <w:pPr>
              <w:spacing w:line="360" w:lineRule="auto"/>
              <w:outlineLvl w:val="9"/>
              <w:rPr>
                <w:rFonts w:hint="eastAsia" w:ascii="仿宋_GB2312" w:eastAsia="仿宋_GB2312"/>
                <w:color w:val="auto"/>
                <w:kern w:val="0"/>
                <w:szCs w:val="21"/>
                <w:highlight w:val="none"/>
              </w:rPr>
            </w:pPr>
          </w:p>
        </w:tc>
        <w:tc>
          <w:tcPr>
            <w:tcW w:w="2082" w:type="dxa"/>
            <w:noWrap w:val="0"/>
            <w:vAlign w:val="top"/>
          </w:tcPr>
          <w:p w14:paraId="1F46C7D9">
            <w:pPr>
              <w:spacing w:line="360" w:lineRule="auto"/>
              <w:outlineLvl w:val="9"/>
              <w:rPr>
                <w:rFonts w:hint="eastAsia" w:ascii="仿宋_GB2312" w:eastAsia="仿宋_GB2312"/>
                <w:color w:val="auto"/>
                <w:kern w:val="0"/>
                <w:szCs w:val="21"/>
                <w:highlight w:val="none"/>
              </w:rPr>
            </w:pPr>
          </w:p>
        </w:tc>
      </w:tr>
    </w:tbl>
    <w:p w14:paraId="10D8356A">
      <w:pPr>
        <w:spacing w:before="120" w:beforeLines="50" w:line="360" w:lineRule="auto"/>
        <w:outlineLvl w:val="9"/>
        <w:rPr>
          <w:rFonts w:hint="eastAsia" w:ascii="仿宋_GB2312" w:eastAsia="仿宋_GB2312"/>
          <w:b/>
          <w:color w:val="auto"/>
          <w:kern w:val="0"/>
          <w:szCs w:val="21"/>
          <w:highlight w:val="none"/>
        </w:rPr>
      </w:pPr>
      <w:r>
        <w:rPr>
          <w:rFonts w:hint="eastAsia" w:ascii="仿宋_GB2312" w:eastAsia="仿宋_GB2312"/>
          <w:b/>
          <w:color w:val="auto"/>
          <w:kern w:val="0"/>
          <w:szCs w:val="21"/>
          <w:highlight w:val="none"/>
        </w:rPr>
        <w:t xml:space="preserve">B-4 </w:t>
      </w:r>
      <w:r>
        <w:rPr>
          <w:rFonts w:hint="eastAsia" w:ascii="仿宋_GB2312" w:hAnsi="宋体" w:eastAsia="仿宋_GB2312"/>
          <w:b/>
          <w:color w:val="auto"/>
          <w:kern w:val="0"/>
          <w:szCs w:val="21"/>
          <w:highlight w:val="none"/>
        </w:rPr>
        <w:t>甲方提供的设备</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590"/>
        <w:gridCol w:w="2130"/>
        <w:gridCol w:w="1860"/>
      </w:tblGrid>
      <w:tr w14:paraId="1BF5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14:paraId="52BD6F1C">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名称</w:t>
            </w:r>
          </w:p>
        </w:tc>
        <w:tc>
          <w:tcPr>
            <w:tcW w:w="1590" w:type="dxa"/>
            <w:noWrap w:val="0"/>
            <w:vAlign w:val="top"/>
          </w:tcPr>
          <w:p w14:paraId="50BC3D6E">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数量</w:t>
            </w:r>
          </w:p>
        </w:tc>
        <w:tc>
          <w:tcPr>
            <w:tcW w:w="2130" w:type="dxa"/>
            <w:noWrap w:val="0"/>
            <w:vAlign w:val="top"/>
          </w:tcPr>
          <w:p w14:paraId="01E55BA5">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型号与规格</w:t>
            </w:r>
          </w:p>
        </w:tc>
        <w:tc>
          <w:tcPr>
            <w:tcW w:w="1860" w:type="dxa"/>
            <w:noWrap w:val="0"/>
            <w:vAlign w:val="top"/>
          </w:tcPr>
          <w:p w14:paraId="09DAA781">
            <w:pPr>
              <w:spacing w:line="360" w:lineRule="auto"/>
              <w:jc w:val="center"/>
              <w:outlineLvl w:val="9"/>
              <w:rPr>
                <w:rFonts w:hint="eastAsia" w:ascii="仿宋_GB2312" w:eastAsia="仿宋_GB2312"/>
                <w:color w:val="auto"/>
                <w:szCs w:val="21"/>
                <w:highlight w:val="none"/>
              </w:rPr>
            </w:pPr>
            <w:r>
              <w:rPr>
                <w:rFonts w:hint="eastAsia" w:ascii="仿宋_GB2312" w:hAnsi="宋体" w:eastAsia="仿宋_GB2312"/>
                <w:color w:val="auto"/>
                <w:szCs w:val="21"/>
                <w:highlight w:val="none"/>
              </w:rPr>
              <w:t>提供时间</w:t>
            </w:r>
          </w:p>
        </w:tc>
      </w:tr>
      <w:tr w14:paraId="7B6C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14:paraId="1B8AA625">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1. </w:t>
            </w:r>
            <w:r>
              <w:rPr>
                <w:rFonts w:hint="eastAsia" w:ascii="仿宋_GB2312" w:hAnsi="宋体" w:eastAsia="仿宋_GB2312"/>
                <w:color w:val="auto"/>
                <w:szCs w:val="21"/>
                <w:highlight w:val="none"/>
              </w:rPr>
              <w:t>办公设备</w:t>
            </w:r>
          </w:p>
        </w:tc>
        <w:tc>
          <w:tcPr>
            <w:tcW w:w="1590" w:type="dxa"/>
            <w:noWrap w:val="0"/>
            <w:vAlign w:val="top"/>
          </w:tcPr>
          <w:p w14:paraId="7F3BF81B">
            <w:pPr>
              <w:spacing w:line="360" w:lineRule="auto"/>
              <w:outlineLvl w:val="9"/>
              <w:rPr>
                <w:rFonts w:hint="eastAsia" w:ascii="仿宋_GB2312" w:eastAsia="仿宋_GB2312"/>
                <w:color w:val="auto"/>
                <w:szCs w:val="21"/>
                <w:highlight w:val="none"/>
              </w:rPr>
            </w:pPr>
          </w:p>
        </w:tc>
        <w:tc>
          <w:tcPr>
            <w:tcW w:w="2130" w:type="dxa"/>
            <w:noWrap w:val="0"/>
            <w:vAlign w:val="top"/>
          </w:tcPr>
          <w:p w14:paraId="5690CDE5">
            <w:pPr>
              <w:spacing w:line="360" w:lineRule="auto"/>
              <w:outlineLvl w:val="9"/>
              <w:rPr>
                <w:rFonts w:hint="eastAsia" w:ascii="仿宋_GB2312" w:eastAsia="仿宋_GB2312"/>
                <w:color w:val="auto"/>
                <w:szCs w:val="21"/>
                <w:highlight w:val="none"/>
              </w:rPr>
            </w:pPr>
          </w:p>
        </w:tc>
        <w:tc>
          <w:tcPr>
            <w:tcW w:w="1860" w:type="dxa"/>
            <w:noWrap w:val="0"/>
            <w:vAlign w:val="top"/>
          </w:tcPr>
          <w:p w14:paraId="0938952B">
            <w:pPr>
              <w:spacing w:line="360" w:lineRule="auto"/>
              <w:outlineLvl w:val="9"/>
              <w:rPr>
                <w:rFonts w:hint="eastAsia" w:ascii="仿宋_GB2312" w:eastAsia="仿宋_GB2312"/>
                <w:color w:val="auto"/>
                <w:szCs w:val="21"/>
                <w:highlight w:val="none"/>
              </w:rPr>
            </w:pPr>
          </w:p>
        </w:tc>
      </w:tr>
      <w:tr w14:paraId="2643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14:paraId="4AE9EDBA">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 xml:space="preserve">2. </w:t>
            </w:r>
            <w:r>
              <w:rPr>
                <w:rFonts w:hint="eastAsia" w:ascii="仿宋_GB2312" w:hAnsi="宋体" w:eastAsia="仿宋_GB2312"/>
                <w:color w:val="auto"/>
                <w:szCs w:val="21"/>
                <w:highlight w:val="none"/>
              </w:rPr>
              <w:t>交通工具</w:t>
            </w:r>
          </w:p>
        </w:tc>
        <w:tc>
          <w:tcPr>
            <w:tcW w:w="1590" w:type="dxa"/>
            <w:noWrap w:val="0"/>
            <w:vAlign w:val="top"/>
          </w:tcPr>
          <w:p w14:paraId="4BB2171D">
            <w:pPr>
              <w:spacing w:line="360" w:lineRule="auto"/>
              <w:outlineLvl w:val="9"/>
              <w:rPr>
                <w:rFonts w:hint="eastAsia" w:ascii="仿宋_GB2312" w:eastAsia="仿宋_GB2312"/>
                <w:color w:val="auto"/>
                <w:szCs w:val="21"/>
                <w:highlight w:val="none"/>
              </w:rPr>
            </w:pPr>
          </w:p>
        </w:tc>
        <w:tc>
          <w:tcPr>
            <w:tcW w:w="2130" w:type="dxa"/>
            <w:noWrap w:val="0"/>
            <w:vAlign w:val="top"/>
          </w:tcPr>
          <w:p w14:paraId="4A7B0D47">
            <w:pPr>
              <w:spacing w:line="360" w:lineRule="auto"/>
              <w:outlineLvl w:val="9"/>
              <w:rPr>
                <w:rFonts w:hint="eastAsia" w:ascii="仿宋_GB2312" w:eastAsia="仿宋_GB2312"/>
                <w:color w:val="auto"/>
                <w:szCs w:val="21"/>
                <w:highlight w:val="none"/>
              </w:rPr>
            </w:pPr>
          </w:p>
        </w:tc>
        <w:tc>
          <w:tcPr>
            <w:tcW w:w="1860" w:type="dxa"/>
            <w:noWrap w:val="0"/>
            <w:vAlign w:val="top"/>
          </w:tcPr>
          <w:p w14:paraId="0C834A44">
            <w:pPr>
              <w:spacing w:line="360" w:lineRule="auto"/>
              <w:outlineLvl w:val="9"/>
              <w:rPr>
                <w:rFonts w:hint="eastAsia" w:ascii="仿宋_GB2312" w:eastAsia="仿宋_GB2312"/>
                <w:color w:val="auto"/>
                <w:szCs w:val="21"/>
                <w:highlight w:val="none"/>
              </w:rPr>
            </w:pPr>
          </w:p>
        </w:tc>
      </w:tr>
      <w:tr w14:paraId="2A77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14:paraId="0B8F9551">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3. 水</w:t>
            </w:r>
          </w:p>
        </w:tc>
        <w:tc>
          <w:tcPr>
            <w:tcW w:w="1590" w:type="dxa"/>
            <w:noWrap w:val="0"/>
            <w:vAlign w:val="top"/>
          </w:tcPr>
          <w:p w14:paraId="129953AA">
            <w:pPr>
              <w:spacing w:line="360" w:lineRule="auto"/>
              <w:outlineLvl w:val="9"/>
              <w:rPr>
                <w:rFonts w:hint="eastAsia" w:ascii="仿宋_GB2312" w:eastAsia="仿宋_GB2312"/>
                <w:color w:val="auto"/>
                <w:szCs w:val="21"/>
                <w:highlight w:val="none"/>
              </w:rPr>
            </w:pPr>
          </w:p>
        </w:tc>
        <w:tc>
          <w:tcPr>
            <w:tcW w:w="2130" w:type="dxa"/>
            <w:noWrap w:val="0"/>
            <w:vAlign w:val="top"/>
          </w:tcPr>
          <w:p w14:paraId="342E8265">
            <w:pPr>
              <w:spacing w:line="360" w:lineRule="auto"/>
              <w:outlineLvl w:val="9"/>
              <w:rPr>
                <w:rFonts w:hint="eastAsia" w:ascii="仿宋_GB2312" w:eastAsia="仿宋_GB2312"/>
                <w:color w:val="auto"/>
                <w:szCs w:val="21"/>
                <w:highlight w:val="none"/>
              </w:rPr>
            </w:pPr>
          </w:p>
        </w:tc>
        <w:tc>
          <w:tcPr>
            <w:tcW w:w="1860" w:type="dxa"/>
            <w:noWrap w:val="0"/>
            <w:vAlign w:val="top"/>
          </w:tcPr>
          <w:p w14:paraId="5B51E140">
            <w:pPr>
              <w:spacing w:line="360" w:lineRule="auto"/>
              <w:outlineLvl w:val="9"/>
              <w:rPr>
                <w:rFonts w:hint="eastAsia" w:ascii="仿宋_GB2312" w:eastAsia="仿宋_GB2312"/>
                <w:color w:val="auto"/>
                <w:szCs w:val="21"/>
                <w:highlight w:val="none"/>
              </w:rPr>
            </w:pPr>
          </w:p>
        </w:tc>
      </w:tr>
      <w:tr w14:paraId="1674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14:paraId="701458D1">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4. 电</w:t>
            </w:r>
          </w:p>
        </w:tc>
        <w:tc>
          <w:tcPr>
            <w:tcW w:w="1590" w:type="dxa"/>
            <w:noWrap w:val="0"/>
            <w:vAlign w:val="top"/>
          </w:tcPr>
          <w:p w14:paraId="2526FFEB">
            <w:pPr>
              <w:spacing w:line="360" w:lineRule="auto"/>
              <w:outlineLvl w:val="9"/>
              <w:rPr>
                <w:rFonts w:hint="eastAsia" w:ascii="仿宋_GB2312" w:eastAsia="仿宋_GB2312"/>
                <w:color w:val="auto"/>
                <w:szCs w:val="21"/>
                <w:highlight w:val="none"/>
              </w:rPr>
            </w:pPr>
          </w:p>
        </w:tc>
        <w:tc>
          <w:tcPr>
            <w:tcW w:w="2130" w:type="dxa"/>
            <w:noWrap w:val="0"/>
            <w:vAlign w:val="top"/>
          </w:tcPr>
          <w:p w14:paraId="288DCD83">
            <w:pPr>
              <w:spacing w:line="360" w:lineRule="auto"/>
              <w:outlineLvl w:val="9"/>
              <w:rPr>
                <w:rFonts w:hint="eastAsia" w:ascii="仿宋_GB2312" w:eastAsia="仿宋_GB2312"/>
                <w:color w:val="auto"/>
                <w:szCs w:val="21"/>
                <w:highlight w:val="none"/>
              </w:rPr>
            </w:pPr>
          </w:p>
        </w:tc>
        <w:tc>
          <w:tcPr>
            <w:tcW w:w="1860" w:type="dxa"/>
            <w:noWrap w:val="0"/>
            <w:vAlign w:val="top"/>
          </w:tcPr>
          <w:p w14:paraId="05C0DD99">
            <w:pPr>
              <w:spacing w:line="360" w:lineRule="auto"/>
              <w:outlineLvl w:val="9"/>
              <w:rPr>
                <w:rFonts w:hint="eastAsia" w:ascii="仿宋_GB2312" w:eastAsia="仿宋_GB2312"/>
                <w:color w:val="auto"/>
                <w:szCs w:val="21"/>
                <w:highlight w:val="none"/>
              </w:rPr>
            </w:pPr>
          </w:p>
        </w:tc>
      </w:tr>
      <w:tr w14:paraId="53FF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14:paraId="4CB133DB">
            <w:pPr>
              <w:spacing w:line="360" w:lineRule="auto"/>
              <w:outlineLvl w:val="9"/>
              <w:rPr>
                <w:rFonts w:hint="eastAsia" w:ascii="仿宋_GB2312" w:eastAsia="仿宋_GB2312"/>
                <w:color w:val="auto"/>
                <w:szCs w:val="21"/>
                <w:highlight w:val="none"/>
              </w:rPr>
            </w:pPr>
            <w:r>
              <w:rPr>
                <w:rFonts w:hint="eastAsia" w:ascii="仿宋_GB2312" w:eastAsia="仿宋_GB2312"/>
                <w:color w:val="auto"/>
                <w:szCs w:val="21"/>
                <w:highlight w:val="none"/>
              </w:rPr>
              <w:t>5. 照明</w:t>
            </w:r>
          </w:p>
        </w:tc>
        <w:tc>
          <w:tcPr>
            <w:tcW w:w="1590" w:type="dxa"/>
            <w:noWrap w:val="0"/>
            <w:vAlign w:val="top"/>
          </w:tcPr>
          <w:p w14:paraId="682FC7F8">
            <w:pPr>
              <w:spacing w:line="360" w:lineRule="auto"/>
              <w:outlineLvl w:val="9"/>
              <w:rPr>
                <w:rFonts w:hint="eastAsia" w:ascii="仿宋_GB2312" w:eastAsia="仿宋_GB2312"/>
                <w:color w:val="auto"/>
                <w:szCs w:val="21"/>
                <w:highlight w:val="none"/>
              </w:rPr>
            </w:pPr>
          </w:p>
        </w:tc>
        <w:tc>
          <w:tcPr>
            <w:tcW w:w="2130" w:type="dxa"/>
            <w:noWrap w:val="0"/>
            <w:vAlign w:val="top"/>
          </w:tcPr>
          <w:p w14:paraId="35972E5B">
            <w:pPr>
              <w:spacing w:line="360" w:lineRule="auto"/>
              <w:outlineLvl w:val="9"/>
              <w:rPr>
                <w:rFonts w:hint="eastAsia" w:ascii="仿宋_GB2312" w:eastAsia="仿宋_GB2312"/>
                <w:color w:val="auto"/>
                <w:szCs w:val="21"/>
                <w:highlight w:val="none"/>
              </w:rPr>
            </w:pPr>
          </w:p>
        </w:tc>
        <w:tc>
          <w:tcPr>
            <w:tcW w:w="1860" w:type="dxa"/>
            <w:noWrap w:val="0"/>
            <w:vAlign w:val="top"/>
          </w:tcPr>
          <w:p w14:paraId="7B0554DA">
            <w:pPr>
              <w:spacing w:line="360" w:lineRule="auto"/>
              <w:outlineLvl w:val="9"/>
              <w:rPr>
                <w:rFonts w:hint="eastAsia" w:ascii="仿宋_GB2312" w:eastAsia="仿宋_GB2312"/>
                <w:color w:val="auto"/>
                <w:szCs w:val="21"/>
                <w:highlight w:val="none"/>
              </w:rPr>
            </w:pPr>
          </w:p>
        </w:tc>
      </w:tr>
      <w:tr w14:paraId="547B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14:paraId="095C225C">
            <w:pPr>
              <w:spacing w:line="360" w:lineRule="auto"/>
              <w:outlineLvl w:val="9"/>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6. 爬梯</w:t>
            </w:r>
          </w:p>
        </w:tc>
        <w:tc>
          <w:tcPr>
            <w:tcW w:w="1590" w:type="dxa"/>
            <w:noWrap w:val="0"/>
            <w:vAlign w:val="top"/>
          </w:tcPr>
          <w:p w14:paraId="7007AA9D">
            <w:pPr>
              <w:spacing w:line="360" w:lineRule="auto"/>
              <w:outlineLvl w:val="9"/>
              <w:rPr>
                <w:rFonts w:hint="eastAsia" w:ascii="仿宋_GB2312" w:hAnsi="宋体" w:eastAsia="仿宋_GB2312"/>
                <w:color w:val="auto"/>
                <w:szCs w:val="21"/>
                <w:highlight w:val="none"/>
              </w:rPr>
            </w:pPr>
          </w:p>
        </w:tc>
        <w:tc>
          <w:tcPr>
            <w:tcW w:w="2130" w:type="dxa"/>
            <w:noWrap w:val="0"/>
            <w:vAlign w:val="top"/>
          </w:tcPr>
          <w:p w14:paraId="0F87A10D">
            <w:pPr>
              <w:spacing w:line="360" w:lineRule="auto"/>
              <w:outlineLvl w:val="9"/>
              <w:rPr>
                <w:rFonts w:hint="eastAsia" w:ascii="仿宋_GB2312" w:hAnsi="宋体" w:eastAsia="仿宋_GB2312"/>
                <w:color w:val="auto"/>
                <w:szCs w:val="21"/>
                <w:highlight w:val="none"/>
              </w:rPr>
            </w:pPr>
          </w:p>
        </w:tc>
        <w:tc>
          <w:tcPr>
            <w:tcW w:w="1860" w:type="dxa"/>
            <w:noWrap w:val="0"/>
            <w:vAlign w:val="top"/>
          </w:tcPr>
          <w:p w14:paraId="6EFD6751">
            <w:pPr>
              <w:spacing w:line="360" w:lineRule="auto"/>
              <w:outlineLvl w:val="9"/>
              <w:rPr>
                <w:rFonts w:hint="eastAsia" w:ascii="仿宋_GB2312" w:hAnsi="宋体" w:eastAsia="仿宋_GB2312"/>
                <w:color w:val="auto"/>
                <w:szCs w:val="21"/>
                <w:highlight w:val="none"/>
              </w:rPr>
            </w:pPr>
          </w:p>
        </w:tc>
      </w:tr>
    </w:tbl>
    <w:p w14:paraId="110BC1DE">
      <w:pPr>
        <w:spacing w:before="120" w:beforeLines="50" w:line="360" w:lineRule="auto"/>
        <w:outlineLvl w:val="9"/>
        <w:rPr>
          <w:rFonts w:hint="eastAsia" w:ascii="仿宋_GB2312" w:hAnsi="宋体" w:eastAsia="仿宋_GB2312"/>
          <w:b/>
          <w:color w:val="auto"/>
          <w:kern w:val="0"/>
          <w:szCs w:val="21"/>
          <w:highlight w:val="none"/>
        </w:rPr>
      </w:pPr>
    </w:p>
    <w:p w14:paraId="55F67E79">
      <w:pPr>
        <w:spacing w:line="600" w:lineRule="exact"/>
        <w:ind w:firstLine="432" w:firstLineChars="205"/>
        <w:outlineLvl w:val="9"/>
        <w:rPr>
          <w:rFonts w:hint="eastAsia" w:ascii="仿宋_GB2312" w:hAnsi="宋体" w:eastAsia="仿宋_GB2312"/>
          <w:b/>
          <w:color w:val="auto"/>
          <w:kern w:val="0"/>
          <w:szCs w:val="21"/>
          <w:highlight w:val="none"/>
        </w:rPr>
      </w:pPr>
      <w:bookmarkStart w:id="330" w:name="_Toc36049344"/>
      <w:r>
        <w:rPr>
          <w:rFonts w:hint="eastAsia" w:ascii="仿宋_GB2312" w:hAnsi="宋体" w:eastAsia="仿宋_GB2312"/>
          <w:b/>
          <w:color w:val="auto"/>
          <w:kern w:val="0"/>
          <w:szCs w:val="21"/>
          <w:highlight w:val="none"/>
        </w:rPr>
        <w:t>B-5甲方负责修复乙方为实施检测工作所</w:t>
      </w:r>
      <w:r>
        <w:rPr>
          <w:rFonts w:hint="eastAsia" w:ascii="仿宋_GB2312" w:hAnsi="宋体" w:eastAsia="仿宋_GB2312"/>
          <w:b/>
          <w:color w:val="auto"/>
          <w:kern w:val="0"/>
          <w:szCs w:val="21"/>
          <w:highlight w:val="none"/>
          <w:lang w:eastAsia="zh-CN"/>
        </w:rPr>
        <w:t>必须对</w:t>
      </w:r>
      <w:r>
        <w:rPr>
          <w:rFonts w:hint="eastAsia" w:ascii="仿宋_GB2312" w:hAnsi="宋体" w:eastAsia="仿宋_GB2312"/>
          <w:b/>
          <w:color w:val="auto"/>
          <w:kern w:val="0"/>
          <w:szCs w:val="21"/>
          <w:highlight w:val="none"/>
        </w:rPr>
        <w:t>工程进行破拆的部位。</w:t>
      </w:r>
      <w:bookmarkEnd w:id="330"/>
    </w:p>
    <w:p w14:paraId="257B2AE2">
      <w:pPr>
        <w:spacing w:line="600" w:lineRule="exact"/>
        <w:ind w:firstLine="432" w:firstLineChars="205"/>
        <w:outlineLvl w:val="9"/>
        <w:rPr>
          <w:rFonts w:hint="eastAsia" w:ascii="仿宋_GB2312" w:hAnsi="宋体" w:eastAsia="仿宋_GB2312"/>
          <w:b/>
          <w:color w:val="auto"/>
          <w:kern w:val="0"/>
          <w:szCs w:val="21"/>
          <w:highlight w:val="none"/>
        </w:rPr>
      </w:pPr>
    </w:p>
    <w:p w14:paraId="16F559D1">
      <w:pPr>
        <w:spacing w:line="600" w:lineRule="exact"/>
        <w:ind w:firstLine="432" w:firstLineChars="205"/>
        <w:outlineLvl w:val="9"/>
        <w:rPr>
          <w:rFonts w:hint="eastAsia" w:ascii="仿宋_GB2312" w:hAnsi="宋体" w:eastAsia="仿宋_GB2312"/>
          <w:b/>
          <w:color w:val="auto"/>
          <w:kern w:val="0"/>
          <w:szCs w:val="21"/>
          <w:highlight w:val="none"/>
        </w:rPr>
      </w:pPr>
      <w:bookmarkStart w:id="331" w:name="_Toc36049345"/>
      <w:r>
        <w:rPr>
          <w:rFonts w:hint="eastAsia" w:ascii="仿宋_GB2312" w:hAnsi="宋体" w:eastAsia="仿宋_GB2312"/>
          <w:b/>
          <w:color w:val="auto"/>
          <w:kern w:val="0"/>
          <w:szCs w:val="21"/>
          <w:highlight w:val="none"/>
        </w:rPr>
        <w:t>B-6甲方负责修筑乙方车辆在检测场地内为实施检测工作所必需的简易道路。</w:t>
      </w:r>
      <w:bookmarkEnd w:id="331"/>
    </w:p>
    <w:p w14:paraId="694410B8">
      <w:pPr>
        <w:spacing w:line="600" w:lineRule="exact"/>
        <w:ind w:firstLine="432" w:firstLineChars="205"/>
        <w:outlineLvl w:val="9"/>
        <w:rPr>
          <w:rFonts w:hint="eastAsia" w:ascii="仿宋_GB2312" w:hAnsi="宋体" w:eastAsia="仿宋_GB2312"/>
          <w:b/>
          <w:color w:val="auto"/>
          <w:kern w:val="0"/>
          <w:szCs w:val="21"/>
          <w:highlight w:val="none"/>
        </w:rPr>
      </w:pPr>
    </w:p>
    <w:p w14:paraId="5681EF04">
      <w:pPr>
        <w:spacing w:line="600" w:lineRule="exact"/>
        <w:ind w:firstLine="432" w:firstLineChars="205"/>
        <w:outlineLvl w:val="9"/>
        <w:rPr>
          <w:rFonts w:hint="eastAsia" w:ascii="仿宋_GB2312" w:hAnsi="宋体" w:eastAsia="仿宋_GB2312"/>
          <w:b/>
          <w:color w:val="auto"/>
          <w:kern w:val="0"/>
          <w:szCs w:val="21"/>
          <w:highlight w:val="none"/>
        </w:rPr>
      </w:pPr>
      <w:r>
        <w:rPr>
          <w:rFonts w:hint="eastAsia" w:ascii="仿宋_GB2312" w:hAnsi="宋体" w:eastAsia="仿宋_GB2312"/>
          <w:b/>
          <w:color w:val="auto"/>
          <w:kern w:val="0"/>
          <w:szCs w:val="21"/>
          <w:highlight w:val="none"/>
        </w:rPr>
        <w:t>B-7甲方负责在检测场地内提供为乙方实施检测工作所必需的工作环境（含检测工作面、水电条件等）。</w:t>
      </w:r>
    </w:p>
    <w:p w14:paraId="1004C9F0">
      <w:pPr>
        <w:spacing w:line="600" w:lineRule="exact"/>
        <w:ind w:firstLine="432" w:firstLineChars="205"/>
        <w:outlineLvl w:val="9"/>
        <w:rPr>
          <w:rFonts w:hint="eastAsia" w:ascii="仿宋_GB2312" w:hAnsi="宋体" w:eastAsia="仿宋_GB2312"/>
          <w:b/>
          <w:color w:val="auto"/>
          <w:kern w:val="0"/>
          <w:szCs w:val="21"/>
          <w:highlight w:val="none"/>
        </w:rPr>
      </w:pPr>
    </w:p>
    <w:p w14:paraId="19DC138E">
      <w:pPr>
        <w:spacing w:line="600" w:lineRule="exact"/>
        <w:ind w:firstLine="432" w:firstLineChars="205"/>
        <w:outlineLvl w:val="9"/>
        <w:rPr>
          <w:rFonts w:hint="eastAsia" w:ascii="仿宋_GB2312" w:hAnsi="宋体" w:eastAsia="仿宋_GB2312"/>
          <w:b/>
          <w:color w:val="auto"/>
          <w:kern w:val="0"/>
          <w:szCs w:val="21"/>
          <w:highlight w:val="none"/>
        </w:rPr>
      </w:pPr>
    </w:p>
    <w:p w14:paraId="4FF489D5">
      <w:pPr>
        <w:spacing w:line="600" w:lineRule="exact"/>
        <w:ind w:firstLine="432" w:firstLineChars="205"/>
        <w:jc w:val="left"/>
        <w:outlineLvl w:val="9"/>
        <w:rPr>
          <w:rFonts w:hint="eastAsia" w:ascii="宋体" w:hAnsi="宋体" w:cs="宋体"/>
          <w:b w:val="0"/>
          <w:color w:val="auto"/>
          <w:highlight w:val="none"/>
        </w:rPr>
      </w:pPr>
      <w:r>
        <w:rPr>
          <w:rFonts w:hint="eastAsia" w:ascii="仿宋_GB2312" w:hAnsi="宋体" w:eastAsia="仿宋_GB2312"/>
          <w:b/>
          <w:color w:val="auto"/>
          <w:kern w:val="0"/>
          <w:szCs w:val="21"/>
          <w:highlight w:val="none"/>
        </w:rPr>
        <w:t>B-8乙方与甲方约定的其他内容：</w:t>
      </w:r>
      <w:r>
        <w:rPr>
          <w:rFonts w:hint="eastAsia" w:ascii="仿宋_GB2312" w:hAnsi="宋体" w:eastAsia="仿宋_GB2312"/>
          <w:b/>
          <w:color w:val="auto"/>
          <w:kern w:val="0"/>
          <w:szCs w:val="21"/>
          <w:highlight w:val="none"/>
          <w:u w:val="single"/>
        </w:rPr>
        <w:t xml:space="preserve">                  </w:t>
      </w:r>
      <w:r>
        <w:rPr>
          <w:rFonts w:hint="eastAsia" w:ascii="仿宋_GB2312" w:hAnsi="宋体" w:eastAsia="仿宋_GB2312"/>
          <w:b/>
          <w:color w:val="auto"/>
          <w:kern w:val="0"/>
          <w:szCs w:val="21"/>
          <w:highlight w:val="none"/>
        </w:rPr>
        <w:t>。</w:t>
      </w:r>
      <w:bookmarkStart w:id="332" w:name="_Toc27474"/>
      <w:bookmarkEnd w:id="332"/>
      <w:bookmarkStart w:id="333" w:name="_Toc20652"/>
    </w:p>
    <w:p w14:paraId="6F40E29E">
      <w:pPr>
        <w:pStyle w:val="4"/>
        <w:spacing w:before="0" w:after="0" w:line="360" w:lineRule="auto"/>
        <w:jc w:val="center"/>
        <w:rPr>
          <w:rFonts w:hint="eastAsia" w:ascii="宋体" w:hAnsi="宋体" w:cs="宋体"/>
          <w:color w:val="auto"/>
          <w:highlight w:val="none"/>
          <w:lang w:val="en-US" w:eastAsia="zh-CN"/>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222130AC">
      <w:pPr>
        <w:pStyle w:val="4"/>
        <w:spacing w:before="0" w:after="0" w:line="360" w:lineRule="auto"/>
        <w:jc w:val="center"/>
        <w:rPr>
          <w:rFonts w:hint="eastAsia" w:ascii="宋体" w:hAnsi="宋体" w:cs="宋体"/>
          <w:color w:val="auto"/>
          <w:highlight w:val="none"/>
        </w:rPr>
      </w:pPr>
      <w:r>
        <w:rPr>
          <w:rFonts w:hint="eastAsia" w:ascii="宋体" w:hAnsi="宋体" w:cs="宋体"/>
          <w:color w:val="auto"/>
          <w:highlight w:val="none"/>
          <w:lang w:val="en-US" w:eastAsia="zh-CN"/>
        </w:rPr>
        <w:t>第七章 质疑、投诉材料格式</w:t>
      </w:r>
      <w:bookmarkEnd w:id="333"/>
    </w:p>
    <w:p w14:paraId="6A689015">
      <w:pPr>
        <w:widowControl/>
        <w:jc w:val="left"/>
        <w:rPr>
          <w:rFonts w:hint="eastAsia" w:ascii="宋体" w:hAnsi="宋体" w:cs="宋体"/>
          <w:b/>
          <w:bCs/>
          <w:color w:val="auto"/>
          <w:kern w:val="44"/>
          <w:sz w:val="44"/>
          <w:szCs w:val="4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pPr>
    </w:p>
    <w:p w14:paraId="51F0D925">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质疑函（格式）</w:t>
      </w:r>
    </w:p>
    <w:p w14:paraId="02553B7F">
      <w:pPr>
        <w:pStyle w:val="14"/>
        <w:spacing w:line="360" w:lineRule="auto"/>
        <w:ind w:firstLine="482" w:firstLineChars="200"/>
        <w:outlineLvl w:val="9"/>
        <w:rPr>
          <w:rFonts w:hint="eastAsia" w:hAnsi="宋体" w:cs="宋体"/>
          <w:b/>
          <w:bCs/>
          <w:color w:val="auto"/>
          <w:sz w:val="24"/>
          <w:szCs w:val="24"/>
          <w:highlight w:val="none"/>
        </w:rPr>
      </w:pPr>
      <w:bookmarkStart w:id="334" w:name="_Toc14190"/>
      <w:bookmarkStart w:id="335" w:name="_Toc12158"/>
      <w:bookmarkStart w:id="336" w:name="_Toc20602"/>
      <w:r>
        <w:rPr>
          <w:rFonts w:hint="eastAsia" w:hAnsi="宋体" w:cs="宋体"/>
          <w:b/>
          <w:bCs/>
          <w:color w:val="auto"/>
          <w:sz w:val="24"/>
          <w:szCs w:val="24"/>
          <w:highlight w:val="none"/>
        </w:rPr>
        <w:t>一、质疑供应商基本信息：</w:t>
      </w:r>
      <w:bookmarkEnd w:id="334"/>
      <w:bookmarkEnd w:id="335"/>
      <w:bookmarkEnd w:id="336"/>
    </w:p>
    <w:p w14:paraId="03BD22C2">
      <w:pPr>
        <w:pStyle w:val="14"/>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BB2040E">
      <w:pPr>
        <w:pStyle w:val="14"/>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DE9FCC5">
      <w:pPr>
        <w:pStyle w:val="14"/>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3342A9AC">
      <w:pPr>
        <w:pStyle w:val="14"/>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459F3A7F">
      <w:pPr>
        <w:pStyle w:val="14"/>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5104A901">
      <w:pPr>
        <w:pStyle w:val="14"/>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D748937">
      <w:pPr>
        <w:pStyle w:val="14"/>
        <w:spacing w:line="360" w:lineRule="auto"/>
        <w:ind w:firstLine="482" w:firstLineChars="200"/>
        <w:outlineLvl w:val="9"/>
        <w:rPr>
          <w:rFonts w:hint="eastAsia" w:hAnsi="宋体" w:cs="宋体"/>
          <w:b/>
          <w:bCs/>
          <w:color w:val="auto"/>
          <w:sz w:val="24"/>
          <w:szCs w:val="24"/>
          <w:highlight w:val="none"/>
        </w:rPr>
      </w:pPr>
      <w:bookmarkStart w:id="337" w:name="_Toc21803"/>
      <w:bookmarkStart w:id="338" w:name="_Toc16333"/>
      <w:bookmarkStart w:id="339" w:name="_Toc1176"/>
      <w:r>
        <w:rPr>
          <w:rFonts w:hint="eastAsia" w:hAnsi="宋体" w:cs="宋体"/>
          <w:b/>
          <w:bCs/>
          <w:color w:val="auto"/>
          <w:sz w:val="24"/>
          <w:szCs w:val="24"/>
          <w:highlight w:val="none"/>
        </w:rPr>
        <w:t>二、质疑项目基本情况：</w:t>
      </w:r>
      <w:bookmarkEnd w:id="337"/>
      <w:bookmarkEnd w:id="338"/>
      <w:bookmarkEnd w:id="339"/>
    </w:p>
    <w:p w14:paraId="7714C54C">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6FFC486C">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bookmarkStart w:id="340" w:name="PO_3000001868_PM001_13"/>
      <w:bookmarkEnd w:id="340"/>
      <w:r>
        <w:rPr>
          <w:rFonts w:hint="eastAsia" w:hAnsi="宋体" w:cs="宋体"/>
          <w:bCs/>
          <w:color w:val="auto"/>
          <w:sz w:val="24"/>
          <w:szCs w:val="24"/>
          <w:highlight w:val="none"/>
          <w:u w:val="single"/>
        </w:rPr>
        <w:t xml:space="preserve">                   </w:t>
      </w:r>
    </w:p>
    <w:p w14:paraId="72DF7E01">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0BCCEED6">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质疑事项：</w:t>
      </w:r>
    </w:p>
    <w:p w14:paraId="4A8D89D2">
      <w:pPr>
        <w:pStyle w:val="14"/>
        <w:spacing w:line="360" w:lineRule="auto"/>
        <w:ind w:left="25" w:leftChars="12" w:firstLine="352" w:firstLineChars="147"/>
        <w:contextualSpacing/>
        <w:outlineLvl w:val="9"/>
        <w:rPr>
          <w:rFonts w:hint="eastAsia" w:hAnsi="宋体" w:cs="宋体"/>
          <w:color w:val="auto"/>
          <w:sz w:val="24"/>
          <w:szCs w:val="24"/>
          <w:highlight w:val="none"/>
        </w:rPr>
      </w:pPr>
      <w:r>
        <w:rPr>
          <w:rFonts w:hint="eastAsia" w:hAnsi="宋体" w:cs="宋体"/>
          <w:color w:val="auto"/>
          <w:sz w:val="24"/>
          <w:szCs w:val="24"/>
          <w:highlight w:val="none"/>
        </w:rPr>
        <w:t>□采购文件   采购文件获取日期：</w:t>
      </w:r>
      <w:r>
        <w:rPr>
          <w:rFonts w:hint="eastAsia" w:hAnsi="宋体" w:cs="宋体"/>
          <w:bCs/>
          <w:color w:val="auto"/>
          <w:sz w:val="24"/>
          <w:szCs w:val="24"/>
          <w:highlight w:val="none"/>
          <w:u w:val="single"/>
        </w:rPr>
        <w:t xml:space="preserve">                                   </w:t>
      </w:r>
    </w:p>
    <w:p w14:paraId="543B894C">
      <w:pPr>
        <w:pStyle w:val="14"/>
        <w:spacing w:line="360" w:lineRule="auto"/>
        <w:ind w:left="25" w:leftChars="12" w:firstLine="352" w:firstLineChars="147"/>
        <w:contextualSpacing/>
        <w:outlineLvl w:val="9"/>
        <w:rPr>
          <w:rFonts w:hint="eastAsia" w:hAnsi="宋体" w:cs="宋体"/>
          <w:color w:val="auto"/>
          <w:sz w:val="24"/>
          <w:szCs w:val="24"/>
          <w:highlight w:val="none"/>
        </w:rPr>
      </w:pPr>
      <w:r>
        <w:rPr>
          <w:rFonts w:hint="eastAsia" w:hAnsi="宋体" w:cs="宋体"/>
          <w:color w:val="auto"/>
          <w:sz w:val="24"/>
          <w:szCs w:val="24"/>
          <w:highlight w:val="none"/>
        </w:rPr>
        <w:t xml:space="preserve">□采购过程   </w:t>
      </w:r>
    </w:p>
    <w:p w14:paraId="4331A170">
      <w:pPr>
        <w:pStyle w:val="14"/>
        <w:spacing w:line="360" w:lineRule="auto"/>
        <w:ind w:left="25" w:leftChars="12" w:firstLine="352" w:firstLineChars="147"/>
        <w:contextualSpacing/>
        <w:outlineLvl w:val="9"/>
        <w:rPr>
          <w:rFonts w:hint="eastAsia" w:hAnsi="宋体" w:cs="宋体"/>
          <w:bCs/>
          <w:color w:val="auto"/>
          <w:sz w:val="24"/>
          <w:szCs w:val="24"/>
          <w:highlight w:val="none"/>
          <w:u w:val="single"/>
        </w:rPr>
      </w:pPr>
      <w:r>
        <w:rPr>
          <w:rFonts w:hint="eastAsia" w:hAnsi="宋体" w:cs="宋体"/>
          <w:color w:val="auto"/>
          <w:sz w:val="24"/>
          <w:szCs w:val="24"/>
          <w:highlight w:val="none"/>
        </w:rPr>
        <w:t xml:space="preserve">□成交结果   </w:t>
      </w:r>
    </w:p>
    <w:p w14:paraId="61299AEE">
      <w:pPr>
        <w:pStyle w:val="14"/>
        <w:spacing w:line="360" w:lineRule="auto"/>
        <w:ind w:left="25" w:leftChars="12" w:firstLine="472" w:firstLineChars="196"/>
        <w:contextualSpacing/>
        <w:outlineLvl w:val="9"/>
        <w:rPr>
          <w:rFonts w:hint="eastAsia" w:hAnsi="宋体" w:cs="宋体"/>
          <w:b/>
          <w:color w:val="auto"/>
          <w:sz w:val="24"/>
          <w:szCs w:val="24"/>
          <w:highlight w:val="none"/>
        </w:rPr>
      </w:pPr>
      <w:bookmarkStart w:id="341" w:name="_Toc30854"/>
      <w:bookmarkStart w:id="342" w:name="_Toc7173"/>
      <w:bookmarkStart w:id="343" w:name="_Toc24599"/>
      <w:r>
        <w:rPr>
          <w:rFonts w:hint="eastAsia" w:hAnsi="宋体" w:cs="宋体"/>
          <w:b/>
          <w:color w:val="auto"/>
          <w:sz w:val="24"/>
          <w:szCs w:val="24"/>
          <w:highlight w:val="none"/>
        </w:rPr>
        <w:t>三、质疑事项具体内容</w:t>
      </w:r>
      <w:bookmarkEnd w:id="341"/>
      <w:bookmarkEnd w:id="342"/>
      <w:bookmarkEnd w:id="343"/>
    </w:p>
    <w:p w14:paraId="34CA00B4">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1E154471">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6A684002">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14:paraId="6B8FFCF3">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质疑事项2</w:t>
      </w:r>
    </w:p>
    <w:p w14:paraId="63F9DDA8">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w:t>
      </w:r>
    </w:p>
    <w:p w14:paraId="4BAFFA69">
      <w:pPr>
        <w:pStyle w:val="14"/>
        <w:spacing w:line="360" w:lineRule="auto"/>
        <w:ind w:left="25" w:leftChars="12" w:firstLine="472" w:firstLineChars="197"/>
        <w:contextualSpacing/>
        <w:outlineLvl w:val="9"/>
        <w:rPr>
          <w:rFonts w:hint="eastAsia" w:hAnsi="宋体" w:cs="宋体"/>
          <w:color w:val="auto"/>
          <w:sz w:val="24"/>
          <w:szCs w:val="24"/>
          <w:highlight w:val="none"/>
        </w:rPr>
      </w:pPr>
      <w:bookmarkStart w:id="344" w:name="_Toc11064"/>
      <w:bookmarkStart w:id="345" w:name="_Toc29366"/>
      <w:bookmarkStart w:id="346" w:name="_Toc29013"/>
      <w:r>
        <w:rPr>
          <w:rFonts w:hint="eastAsia" w:hAnsi="宋体" w:cs="宋体"/>
          <w:color w:val="auto"/>
          <w:sz w:val="24"/>
          <w:szCs w:val="24"/>
          <w:highlight w:val="none"/>
        </w:rPr>
        <w:t>四、与质疑事项相关的质疑请求：</w:t>
      </w:r>
      <w:bookmarkEnd w:id="344"/>
      <w:bookmarkEnd w:id="345"/>
      <w:bookmarkEnd w:id="346"/>
    </w:p>
    <w:p w14:paraId="725C132F">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7895B3F9">
      <w:pPr>
        <w:pStyle w:val="14"/>
        <w:spacing w:line="360" w:lineRule="auto"/>
        <w:ind w:left="25" w:leftChars="12" w:firstLine="352" w:firstLineChars="147"/>
        <w:contextualSpacing/>
        <w:outlineLvl w:val="9"/>
        <w:rPr>
          <w:rFonts w:hint="eastAsia" w:hAnsi="宋体" w:cs="宋体"/>
          <w:color w:val="auto"/>
          <w:sz w:val="24"/>
          <w:szCs w:val="24"/>
          <w:highlight w:val="none"/>
        </w:rPr>
      </w:pPr>
      <w:r>
        <w:rPr>
          <w:rFonts w:hint="eastAsia" w:hAnsi="宋体" w:cs="宋体"/>
          <w:color w:val="auto"/>
          <w:sz w:val="24"/>
          <w:szCs w:val="24"/>
          <w:highlight w:val="none"/>
        </w:rPr>
        <w:t xml:space="preserve"> </w:t>
      </w:r>
    </w:p>
    <w:p w14:paraId="2ABD384D">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03522E48">
      <w:pPr>
        <w:pStyle w:val="14"/>
        <w:spacing w:line="360" w:lineRule="auto"/>
        <w:ind w:left="25" w:leftChars="12" w:firstLine="352" w:firstLineChars="147"/>
        <w:contextualSpacing/>
        <w:outlineLvl w:val="9"/>
        <w:rPr>
          <w:rFonts w:hint="eastAsia" w:hAnsi="宋体" w:cs="宋体"/>
          <w:color w:val="auto"/>
          <w:sz w:val="24"/>
          <w:szCs w:val="24"/>
          <w:highlight w:val="none"/>
        </w:rPr>
      </w:pPr>
      <w:r>
        <w:rPr>
          <w:rFonts w:hint="eastAsia" w:hAnsi="宋体" w:cs="宋体"/>
          <w:color w:val="auto"/>
          <w:sz w:val="24"/>
          <w:szCs w:val="24"/>
          <w:highlight w:val="none"/>
        </w:rPr>
        <w:t xml:space="preserve"> </w:t>
      </w:r>
    </w:p>
    <w:p w14:paraId="2D7EE470">
      <w:pPr>
        <w:pStyle w:val="14"/>
        <w:spacing w:line="360" w:lineRule="auto"/>
        <w:ind w:left="25" w:leftChars="12" w:firstLine="472" w:firstLineChars="197"/>
        <w:contextualSpacing/>
        <w:outlineLvl w:val="9"/>
        <w:rPr>
          <w:rFonts w:hint="eastAsia" w:hAnsi="宋体" w:cs="宋体"/>
          <w:color w:val="auto"/>
          <w:sz w:val="24"/>
          <w:szCs w:val="24"/>
          <w:highlight w:val="none"/>
        </w:rPr>
      </w:pPr>
      <w:r>
        <w:rPr>
          <w:rFonts w:hint="eastAsia" w:hAnsi="宋体" w:cs="宋体"/>
          <w:color w:val="auto"/>
          <w:sz w:val="24"/>
          <w:szCs w:val="24"/>
          <w:highlight w:val="none"/>
        </w:rPr>
        <w:t>日期：</w:t>
      </w:r>
    </w:p>
    <w:p w14:paraId="42C1DF57">
      <w:pPr>
        <w:pStyle w:val="14"/>
        <w:spacing w:line="360" w:lineRule="auto"/>
        <w:outlineLvl w:val="9"/>
        <w:rPr>
          <w:rFonts w:hint="eastAsia" w:hAnsi="宋体" w:cs="宋体"/>
          <w:b/>
          <w:color w:val="auto"/>
          <w:sz w:val="24"/>
          <w:szCs w:val="24"/>
          <w:highlight w:val="none"/>
        </w:rPr>
      </w:pPr>
      <w:r>
        <w:rPr>
          <w:rFonts w:hint="eastAsia" w:hAnsi="宋体" w:cs="宋体"/>
          <w:b/>
          <w:color w:val="auto"/>
          <w:sz w:val="24"/>
          <w:szCs w:val="24"/>
          <w:highlight w:val="none"/>
        </w:rPr>
        <w:t xml:space="preserve"> </w:t>
      </w:r>
    </w:p>
    <w:p w14:paraId="01DAC1B6">
      <w:pPr>
        <w:pStyle w:val="14"/>
        <w:spacing w:line="360" w:lineRule="auto"/>
        <w:outlineLvl w:val="9"/>
        <w:rPr>
          <w:rFonts w:hint="eastAsia" w:hAnsi="宋体" w:cs="宋体"/>
          <w:b/>
          <w:color w:val="auto"/>
          <w:sz w:val="24"/>
          <w:szCs w:val="24"/>
          <w:highlight w:val="none"/>
        </w:rPr>
      </w:pPr>
      <w:r>
        <w:rPr>
          <w:rFonts w:hint="eastAsia" w:hAnsi="宋体" w:cs="宋体"/>
          <w:b/>
          <w:color w:val="auto"/>
          <w:sz w:val="24"/>
          <w:szCs w:val="24"/>
          <w:highlight w:val="none"/>
        </w:rPr>
        <w:t xml:space="preserve"> 说明：</w:t>
      </w:r>
    </w:p>
    <w:p w14:paraId="4C5B4940">
      <w:pPr>
        <w:pStyle w:val="14"/>
        <w:spacing w:line="360" w:lineRule="auto"/>
        <w:ind w:left="25" w:leftChars="12" w:firstLine="354" w:firstLineChars="147"/>
        <w:contextualSpacing/>
        <w:outlineLvl w:val="9"/>
        <w:rPr>
          <w:rFonts w:hint="eastAsia" w:hAnsi="宋体" w:cs="宋体"/>
          <w:b/>
          <w:bCs/>
          <w:color w:val="auto"/>
          <w:sz w:val="24"/>
          <w:szCs w:val="24"/>
          <w:highlight w:val="none"/>
        </w:rPr>
      </w:pPr>
      <w:r>
        <w:rPr>
          <w:rFonts w:hint="eastAsia" w:hAnsi="宋体" w:cs="宋体"/>
          <w:b/>
          <w:color w:val="auto"/>
          <w:sz w:val="24"/>
          <w:szCs w:val="24"/>
          <w:highlight w:val="none"/>
        </w:rPr>
        <w:t>1.供应商提出质疑时，应提交质疑函和必要的证明材料</w:t>
      </w:r>
      <w:r>
        <w:rPr>
          <w:rFonts w:hint="eastAsia" w:hAnsi="宋体" w:cs="宋体"/>
          <w:b/>
          <w:bCs/>
          <w:color w:val="auto"/>
          <w:sz w:val="24"/>
          <w:szCs w:val="24"/>
          <w:highlight w:val="none"/>
        </w:rPr>
        <w:t>。</w:t>
      </w:r>
    </w:p>
    <w:p w14:paraId="048DC810">
      <w:pPr>
        <w:pStyle w:val="14"/>
        <w:spacing w:line="360" w:lineRule="auto"/>
        <w:ind w:left="25" w:leftChars="12" w:firstLine="354" w:firstLineChars="147"/>
        <w:contextualSpacing/>
        <w:outlineLvl w:val="9"/>
        <w:rPr>
          <w:rFonts w:hint="eastAsia" w:hAnsi="宋体" w:cs="宋体"/>
          <w:b/>
          <w:color w:val="auto"/>
          <w:sz w:val="24"/>
          <w:szCs w:val="24"/>
          <w:highlight w:val="none"/>
        </w:rPr>
      </w:pPr>
      <w:r>
        <w:rPr>
          <w:rFonts w:hint="eastAsia" w:hAnsi="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53FA5D8">
      <w:pPr>
        <w:pStyle w:val="14"/>
        <w:spacing w:line="360" w:lineRule="auto"/>
        <w:ind w:left="25" w:leftChars="12" w:firstLine="354" w:firstLineChars="147"/>
        <w:contextualSpacing/>
        <w:outlineLvl w:val="9"/>
        <w:rPr>
          <w:rFonts w:hint="eastAsia" w:hAnsi="宋体" w:cs="宋体"/>
          <w:b/>
          <w:color w:val="auto"/>
          <w:sz w:val="24"/>
          <w:szCs w:val="24"/>
          <w:highlight w:val="none"/>
        </w:rPr>
      </w:pPr>
      <w:r>
        <w:rPr>
          <w:rFonts w:hint="eastAsia" w:hAnsi="宋体" w:cs="宋体"/>
          <w:b/>
          <w:color w:val="auto"/>
          <w:sz w:val="24"/>
          <w:szCs w:val="24"/>
          <w:highlight w:val="none"/>
        </w:rPr>
        <w:t>3.质疑函的质疑事项应具体、明确，并有必要的事实依据和法律依据。</w:t>
      </w:r>
    </w:p>
    <w:p w14:paraId="17DBA13E">
      <w:pPr>
        <w:pStyle w:val="14"/>
        <w:spacing w:line="360" w:lineRule="auto"/>
        <w:ind w:left="25" w:leftChars="12" w:firstLine="354" w:firstLineChars="147"/>
        <w:contextualSpacing/>
        <w:outlineLvl w:val="9"/>
        <w:rPr>
          <w:rFonts w:hint="eastAsia" w:hAnsi="宋体" w:cs="宋体"/>
          <w:b/>
          <w:color w:val="auto"/>
          <w:sz w:val="24"/>
          <w:szCs w:val="24"/>
          <w:highlight w:val="none"/>
        </w:rPr>
      </w:pPr>
      <w:r>
        <w:rPr>
          <w:rFonts w:hint="eastAsia" w:hAnsi="宋体" w:cs="宋体"/>
          <w:b/>
          <w:color w:val="auto"/>
          <w:sz w:val="24"/>
          <w:szCs w:val="24"/>
          <w:highlight w:val="none"/>
        </w:rPr>
        <w:t>4.质疑函的质疑请求应与质疑事项相关。</w:t>
      </w:r>
    </w:p>
    <w:p w14:paraId="4AAF9E6C">
      <w:pPr>
        <w:pStyle w:val="14"/>
        <w:spacing w:line="360" w:lineRule="auto"/>
        <w:ind w:left="25" w:leftChars="12" w:firstLine="354" w:firstLineChars="147"/>
        <w:contextualSpacing/>
        <w:outlineLvl w:val="9"/>
        <w:rPr>
          <w:rFonts w:hint="eastAsia" w:hAnsi="宋体" w:cs="宋体"/>
          <w:b/>
          <w:color w:val="auto"/>
          <w:sz w:val="24"/>
          <w:szCs w:val="24"/>
          <w:highlight w:val="none"/>
        </w:rPr>
      </w:pPr>
      <w:r>
        <w:rPr>
          <w:rFonts w:hint="eastAsia" w:hAnsi="宋体" w:cs="宋体"/>
          <w:b/>
          <w:color w:val="auto"/>
          <w:sz w:val="24"/>
          <w:szCs w:val="24"/>
          <w:highlight w:val="none"/>
        </w:rPr>
        <w:t>5.质疑供应商为法人或者其他组织的，质疑函应由法定代表人、主要负责人，或者其授权代表签字或者盖章，并加盖公章。</w:t>
      </w:r>
    </w:p>
    <w:p w14:paraId="4B2A5BA0">
      <w:pPr>
        <w:pStyle w:val="14"/>
        <w:snapToGrid w:val="0"/>
        <w:outlineLvl w:val="9"/>
        <w:rPr>
          <w:rFonts w:hint="eastAsia" w:hAnsi="宋体" w:cs="宋体"/>
          <w:b/>
          <w:color w:val="auto"/>
          <w:sz w:val="24"/>
          <w:szCs w:val="24"/>
          <w:highlight w:val="none"/>
        </w:rPr>
      </w:pPr>
      <w:r>
        <w:rPr>
          <w:rFonts w:hint="eastAsia" w:hAnsi="宋体" w:cs="宋体"/>
          <w:b/>
          <w:color w:val="auto"/>
          <w:sz w:val="24"/>
          <w:szCs w:val="24"/>
          <w:highlight w:val="none"/>
        </w:rPr>
        <w:t xml:space="preserve"> </w:t>
      </w:r>
    </w:p>
    <w:p w14:paraId="54D4EBBE">
      <w:pPr>
        <w:spacing w:line="460" w:lineRule="exact"/>
        <w:jc w:val="center"/>
        <w:outlineLvl w:val="9"/>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r>
    </w:p>
    <w:p w14:paraId="1FF205D8">
      <w:pPr>
        <w:spacing w:line="360" w:lineRule="auto"/>
        <w:jc w:val="center"/>
        <w:outlineLvl w:val="9"/>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投诉书（格式）</w:t>
      </w:r>
    </w:p>
    <w:p w14:paraId="69A4B716">
      <w:pPr>
        <w:pStyle w:val="14"/>
        <w:snapToGrid w:val="0"/>
        <w:spacing w:line="360" w:lineRule="auto"/>
        <w:ind w:firstLine="482" w:firstLineChars="200"/>
        <w:outlineLvl w:val="9"/>
        <w:rPr>
          <w:rFonts w:hint="eastAsia" w:hAnsi="宋体" w:cs="宋体"/>
          <w:b/>
          <w:bCs/>
          <w:color w:val="auto"/>
          <w:sz w:val="24"/>
          <w:szCs w:val="24"/>
          <w:highlight w:val="none"/>
        </w:rPr>
      </w:pPr>
      <w:bookmarkStart w:id="347" w:name="_Toc28449"/>
      <w:bookmarkStart w:id="348" w:name="_Toc19527"/>
      <w:bookmarkStart w:id="349" w:name="_Toc11971"/>
      <w:r>
        <w:rPr>
          <w:rFonts w:hint="eastAsia" w:hAnsi="宋体" w:cs="宋体"/>
          <w:b/>
          <w:bCs/>
          <w:color w:val="auto"/>
          <w:sz w:val="24"/>
          <w:szCs w:val="24"/>
          <w:highlight w:val="none"/>
        </w:rPr>
        <w:t>一、投诉相关主体基本情况：</w:t>
      </w:r>
      <w:bookmarkEnd w:id="347"/>
      <w:bookmarkEnd w:id="348"/>
      <w:bookmarkEnd w:id="349"/>
    </w:p>
    <w:p w14:paraId="26451767">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6BCDC72C">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2879836">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6D1CFFEC">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7272BFF">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7321340C">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1540B043">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3F6CA641">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被投诉人1：</w:t>
      </w:r>
    </w:p>
    <w:p w14:paraId="26E0D6B0">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2ED08AE8">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2BFA132">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73EBC363">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被投诉人2：</w:t>
      </w:r>
    </w:p>
    <w:p w14:paraId="788008F5">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w:t>
      </w:r>
    </w:p>
    <w:p w14:paraId="6E295942">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7297F87E">
      <w:pPr>
        <w:pStyle w:val="14"/>
        <w:snapToGrid w:val="0"/>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2E8C8201">
      <w:pPr>
        <w:pStyle w:val="14"/>
        <w:snapToGrid w:val="0"/>
        <w:spacing w:line="360" w:lineRule="auto"/>
        <w:ind w:firstLine="480" w:firstLineChars="200"/>
        <w:outlineLvl w:val="9"/>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0B5EB00A">
      <w:pPr>
        <w:pStyle w:val="14"/>
        <w:snapToGrid w:val="0"/>
        <w:spacing w:line="360" w:lineRule="auto"/>
        <w:ind w:firstLine="482" w:firstLineChars="200"/>
        <w:outlineLvl w:val="9"/>
        <w:rPr>
          <w:rFonts w:hint="eastAsia" w:hAnsi="宋体" w:cs="宋体"/>
          <w:b/>
          <w:bCs/>
          <w:color w:val="auto"/>
          <w:sz w:val="24"/>
          <w:szCs w:val="24"/>
          <w:highlight w:val="none"/>
        </w:rPr>
      </w:pPr>
      <w:bookmarkStart w:id="350" w:name="_Toc14617"/>
      <w:bookmarkStart w:id="351" w:name="_Toc29614"/>
      <w:bookmarkStart w:id="352" w:name="_Toc24926"/>
      <w:r>
        <w:rPr>
          <w:rFonts w:hint="eastAsia" w:hAnsi="宋体" w:cs="宋体"/>
          <w:b/>
          <w:bCs/>
          <w:color w:val="auto"/>
          <w:sz w:val="24"/>
          <w:szCs w:val="24"/>
          <w:highlight w:val="none"/>
        </w:rPr>
        <w:t>二、投诉项目基本情况：</w:t>
      </w:r>
      <w:bookmarkEnd w:id="350"/>
      <w:bookmarkEnd w:id="351"/>
      <w:bookmarkEnd w:id="352"/>
    </w:p>
    <w:p w14:paraId="77F31D86">
      <w:pPr>
        <w:pStyle w:val="14"/>
        <w:spacing w:line="360" w:lineRule="auto"/>
        <w:ind w:left="25" w:leftChars="12" w:firstLine="472" w:firstLineChars="197"/>
        <w:outlineLvl w:val="9"/>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74C107F5">
      <w:pPr>
        <w:pStyle w:val="14"/>
        <w:spacing w:line="360" w:lineRule="auto"/>
        <w:ind w:left="25" w:leftChars="12" w:firstLine="472" w:firstLineChars="197"/>
        <w:outlineLvl w:val="9"/>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46F84A3D">
      <w:pPr>
        <w:pStyle w:val="14"/>
        <w:spacing w:line="360" w:lineRule="auto"/>
        <w:ind w:left="25" w:leftChars="12" w:firstLine="472" w:firstLineChars="197"/>
        <w:outlineLvl w:val="9"/>
        <w:rPr>
          <w:rFonts w:hint="eastAsia"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33240585">
      <w:pPr>
        <w:pStyle w:val="14"/>
        <w:spacing w:line="360" w:lineRule="auto"/>
        <w:ind w:left="25" w:leftChars="12" w:firstLine="472" w:firstLineChars="197"/>
        <w:outlineLvl w:val="9"/>
        <w:rPr>
          <w:rFonts w:hint="eastAsia"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14:paraId="56D59079">
      <w:pPr>
        <w:pStyle w:val="14"/>
        <w:spacing w:line="360" w:lineRule="auto"/>
        <w:ind w:left="25" w:leftChars="12" w:firstLine="472" w:firstLineChars="197"/>
        <w:outlineLvl w:val="9"/>
        <w:rPr>
          <w:rFonts w:hint="eastAsia" w:hAnsi="宋体" w:cs="宋体"/>
          <w:bCs/>
          <w:color w:val="auto"/>
          <w:sz w:val="24"/>
          <w:szCs w:val="24"/>
          <w:highlight w:val="none"/>
          <w:u w:val="single"/>
        </w:rPr>
      </w:pPr>
      <w:r>
        <w:rPr>
          <w:rFonts w:hint="eastAsia" w:hAnsi="宋体" w:cs="宋体"/>
          <w:bCs/>
          <w:color w:val="auto"/>
          <w:sz w:val="24"/>
          <w:szCs w:val="24"/>
          <w:highlight w:val="none"/>
          <w:lang w:eastAsia="zh-CN"/>
        </w:rPr>
        <w:t>采购文件</w:t>
      </w:r>
      <w:r>
        <w:rPr>
          <w:rFonts w:hint="eastAsia" w:hAnsi="宋体" w:cs="宋体"/>
          <w:bCs/>
          <w:color w:val="auto"/>
          <w:sz w:val="24"/>
          <w:szCs w:val="24"/>
          <w:highlight w:val="none"/>
        </w:rPr>
        <w:t>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3E79CCAE">
      <w:pPr>
        <w:pStyle w:val="14"/>
        <w:spacing w:line="360" w:lineRule="auto"/>
        <w:ind w:left="25" w:leftChars="12" w:firstLine="472" w:firstLineChars="197"/>
        <w:outlineLvl w:val="9"/>
        <w:rPr>
          <w:rFonts w:hint="eastAsia"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28789A9A">
      <w:pPr>
        <w:pStyle w:val="14"/>
        <w:spacing w:line="360" w:lineRule="auto"/>
        <w:ind w:left="25" w:leftChars="12" w:firstLine="472" w:firstLineChars="196"/>
        <w:outlineLvl w:val="9"/>
        <w:rPr>
          <w:rFonts w:hint="eastAsia" w:hAnsi="宋体" w:cs="宋体"/>
          <w:b/>
          <w:color w:val="auto"/>
          <w:sz w:val="24"/>
          <w:szCs w:val="24"/>
          <w:highlight w:val="none"/>
        </w:rPr>
      </w:pPr>
      <w:bookmarkStart w:id="353" w:name="_Toc23815"/>
      <w:bookmarkStart w:id="354" w:name="_Toc19818"/>
      <w:bookmarkStart w:id="355" w:name="_Toc31364"/>
      <w:r>
        <w:rPr>
          <w:rFonts w:hint="eastAsia" w:hAnsi="宋体" w:cs="宋体"/>
          <w:b/>
          <w:color w:val="auto"/>
          <w:sz w:val="24"/>
          <w:szCs w:val="24"/>
          <w:highlight w:val="none"/>
        </w:rPr>
        <w:t>三、质疑基本情况</w:t>
      </w:r>
      <w:bookmarkEnd w:id="353"/>
      <w:bookmarkEnd w:id="354"/>
      <w:bookmarkEnd w:id="355"/>
    </w:p>
    <w:p w14:paraId="05038750">
      <w:pPr>
        <w:pStyle w:val="14"/>
        <w:spacing w:line="360" w:lineRule="auto"/>
        <w:ind w:firstLine="480" w:firstLineChars="200"/>
        <w:outlineLvl w:val="9"/>
        <w:rPr>
          <w:rFonts w:hint="eastAsia"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14:paraId="62D24867">
      <w:pPr>
        <w:pStyle w:val="14"/>
        <w:spacing w:line="360" w:lineRule="auto"/>
        <w:ind w:firstLine="241"/>
        <w:outlineLvl w:val="9"/>
        <w:rPr>
          <w:rFonts w:hint="eastAsia" w:hAnsi="宋体" w:cs="宋体"/>
          <w:bCs/>
          <w:color w:val="auto"/>
          <w:sz w:val="24"/>
          <w:szCs w:val="24"/>
          <w:highlight w:val="none"/>
          <w:u w:val="single"/>
        </w:rPr>
      </w:pP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4E817FD8">
      <w:pPr>
        <w:pStyle w:val="14"/>
        <w:spacing w:line="360" w:lineRule="auto"/>
        <w:ind w:firstLine="241"/>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26DA05CD">
      <w:pPr>
        <w:pStyle w:val="14"/>
        <w:spacing w:line="360" w:lineRule="auto"/>
        <w:ind w:firstLine="480" w:firstLineChars="200"/>
        <w:outlineLvl w:val="9"/>
        <w:rPr>
          <w:rFonts w:hint="eastAsia"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1DDA5D2E">
      <w:pPr>
        <w:pStyle w:val="14"/>
        <w:spacing w:line="360" w:lineRule="auto"/>
        <w:ind w:left="25" w:leftChars="12" w:firstLine="472" w:firstLineChars="196"/>
        <w:outlineLvl w:val="9"/>
        <w:rPr>
          <w:rFonts w:hint="eastAsia" w:hAnsi="宋体" w:cs="宋体"/>
          <w:b/>
          <w:color w:val="auto"/>
          <w:sz w:val="24"/>
          <w:szCs w:val="24"/>
          <w:highlight w:val="none"/>
        </w:rPr>
      </w:pPr>
      <w:bookmarkStart w:id="356" w:name="_Toc25329"/>
      <w:bookmarkStart w:id="357" w:name="_Toc1860"/>
      <w:bookmarkStart w:id="358" w:name="_Toc19375"/>
      <w:r>
        <w:rPr>
          <w:rFonts w:hint="eastAsia" w:hAnsi="宋体" w:cs="宋体"/>
          <w:b/>
          <w:color w:val="auto"/>
          <w:sz w:val="24"/>
          <w:szCs w:val="24"/>
          <w:highlight w:val="none"/>
        </w:rPr>
        <w:t>四、投诉事项具体内容</w:t>
      </w:r>
      <w:bookmarkEnd w:id="356"/>
      <w:bookmarkEnd w:id="357"/>
      <w:bookmarkEnd w:id="358"/>
    </w:p>
    <w:p w14:paraId="43368986">
      <w:pPr>
        <w:pStyle w:val="14"/>
        <w:spacing w:line="360" w:lineRule="auto"/>
        <w:ind w:left="25" w:leftChars="12" w:firstLine="472" w:firstLineChars="197"/>
        <w:outlineLvl w:val="9"/>
        <w:rPr>
          <w:rFonts w:hint="eastAsia"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14:paraId="02E5468B">
      <w:pPr>
        <w:pStyle w:val="14"/>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456D52D8">
      <w:pPr>
        <w:pStyle w:val="14"/>
        <w:spacing w:line="360" w:lineRule="auto"/>
        <w:ind w:left="25" w:leftChars="12" w:firstLine="472" w:firstLineChars="197"/>
        <w:outlineLvl w:val="9"/>
        <w:rPr>
          <w:rFonts w:hint="eastAsia" w:hAnsi="宋体" w:cs="宋体"/>
          <w:color w:val="auto"/>
          <w:sz w:val="24"/>
          <w:szCs w:val="24"/>
          <w:highlight w:val="none"/>
        </w:rPr>
      </w:pPr>
      <w:r>
        <w:rPr>
          <w:rFonts w:hint="eastAsia" w:hAnsi="宋体" w:cs="宋体"/>
          <w:bCs/>
          <w:color w:val="auto"/>
          <w:sz w:val="24"/>
          <w:szCs w:val="24"/>
          <w:highlight w:val="none"/>
          <w:u w:val="single"/>
        </w:rPr>
        <w:t xml:space="preserve">                                                                                        </w:t>
      </w:r>
    </w:p>
    <w:p w14:paraId="0BDA83E3">
      <w:pPr>
        <w:pStyle w:val="14"/>
        <w:spacing w:line="360" w:lineRule="auto"/>
        <w:ind w:firstLine="480" w:firstLineChars="200"/>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623B07B9">
      <w:pPr>
        <w:pStyle w:val="14"/>
        <w:spacing w:line="360" w:lineRule="auto"/>
        <w:ind w:left="25" w:leftChars="12" w:firstLine="352" w:firstLineChars="147"/>
        <w:outlineLvl w:val="9"/>
        <w:rPr>
          <w:rFonts w:hint="eastAsia"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19D67052">
      <w:pPr>
        <w:pStyle w:val="14"/>
        <w:spacing w:line="360" w:lineRule="auto"/>
        <w:ind w:left="25" w:leftChars="12" w:firstLine="472" w:firstLineChars="197"/>
        <w:outlineLvl w:val="9"/>
        <w:rPr>
          <w:rFonts w:hint="eastAsia" w:hAnsi="宋体" w:cs="宋体"/>
          <w:bCs/>
          <w:color w:val="auto"/>
          <w:sz w:val="24"/>
          <w:szCs w:val="24"/>
          <w:highlight w:val="none"/>
        </w:rPr>
      </w:pPr>
      <w:r>
        <w:rPr>
          <w:rFonts w:hint="eastAsia" w:hAnsi="宋体" w:cs="宋体"/>
          <w:color w:val="auto"/>
          <w:sz w:val="24"/>
          <w:szCs w:val="24"/>
          <w:highlight w:val="none"/>
        </w:rPr>
        <w:t xml:space="preserve">投诉事项2  </w:t>
      </w:r>
      <w:r>
        <w:rPr>
          <w:rFonts w:hint="eastAsia" w:hAnsi="宋体" w:cs="宋体"/>
          <w:bCs/>
          <w:color w:val="auto"/>
          <w:sz w:val="24"/>
          <w:szCs w:val="24"/>
          <w:highlight w:val="none"/>
        </w:rPr>
        <w:t xml:space="preserve">   </w:t>
      </w:r>
    </w:p>
    <w:p w14:paraId="480BA906">
      <w:pPr>
        <w:pStyle w:val="14"/>
        <w:spacing w:line="360" w:lineRule="auto"/>
        <w:ind w:left="25" w:leftChars="12" w:firstLine="472" w:firstLineChars="197"/>
        <w:outlineLvl w:val="9"/>
        <w:rPr>
          <w:rFonts w:hint="eastAsia" w:hAnsi="宋体" w:cs="宋体"/>
          <w:bCs/>
          <w:color w:val="auto"/>
          <w:sz w:val="24"/>
          <w:szCs w:val="24"/>
          <w:highlight w:val="none"/>
        </w:rPr>
      </w:pPr>
      <w:r>
        <w:rPr>
          <w:rFonts w:hint="eastAsia" w:hAnsi="宋体" w:cs="宋体"/>
          <w:bCs/>
          <w:color w:val="auto"/>
          <w:sz w:val="24"/>
          <w:szCs w:val="24"/>
          <w:highlight w:val="none"/>
        </w:rPr>
        <w:t>……</w:t>
      </w:r>
    </w:p>
    <w:p w14:paraId="485D262C">
      <w:pPr>
        <w:pStyle w:val="14"/>
        <w:spacing w:line="360" w:lineRule="auto"/>
        <w:ind w:left="25" w:leftChars="12" w:firstLine="472" w:firstLineChars="196"/>
        <w:outlineLvl w:val="9"/>
        <w:rPr>
          <w:rFonts w:hint="eastAsia" w:hAnsi="宋体" w:cs="宋体"/>
          <w:b/>
          <w:color w:val="auto"/>
          <w:sz w:val="24"/>
          <w:szCs w:val="24"/>
          <w:highlight w:val="none"/>
        </w:rPr>
      </w:pPr>
      <w:bookmarkStart w:id="359" w:name="_Toc29721"/>
      <w:bookmarkStart w:id="360" w:name="_Toc22150"/>
      <w:bookmarkStart w:id="361" w:name="_Toc24481"/>
      <w:r>
        <w:rPr>
          <w:rFonts w:hint="eastAsia" w:hAnsi="宋体" w:cs="宋体"/>
          <w:b/>
          <w:color w:val="auto"/>
          <w:sz w:val="24"/>
          <w:szCs w:val="24"/>
          <w:highlight w:val="none"/>
        </w:rPr>
        <w:t>五、与投诉事项相关的投诉请求：</w:t>
      </w:r>
      <w:bookmarkEnd w:id="359"/>
      <w:bookmarkEnd w:id="360"/>
      <w:bookmarkEnd w:id="361"/>
    </w:p>
    <w:p w14:paraId="663F3035">
      <w:pPr>
        <w:pStyle w:val="14"/>
        <w:spacing w:line="360" w:lineRule="auto"/>
        <w:ind w:left="25" w:leftChars="12" w:firstLine="472" w:firstLineChars="197"/>
        <w:outlineLvl w:val="9"/>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43A5BB20">
      <w:pPr>
        <w:pStyle w:val="14"/>
        <w:spacing w:line="360" w:lineRule="auto"/>
        <w:ind w:left="25" w:leftChars="12" w:firstLine="352" w:firstLineChars="147"/>
        <w:outlineLvl w:val="9"/>
        <w:rPr>
          <w:rFonts w:hint="eastAsia" w:hAnsi="宋体" w:cs="宋体"/>
          <w:color w:val="auto"/>
          <w:sz w:val="24"/>
          <w:szCs w:val="24"/>
          <w:highlight w:val="none"/>
        </w:rPr>
      </w:pPr>
      <w:r>
        <w:rPr>
          <w:rFonts w:hint="eastAsia" w:hAnsi="宋体" w:cs="宋体"/>
          <w:color w:val="auto"/>
          <w:sz w:val="24"/>
          <w:szCs w:val="24"/>
          <w:highlight w:val="none"/>
        </w:rPr>
        <w:t xml:space="preserve"> </w:t>
      </w:r>
    </w:p>
    <w:p w14:paraId="0D103B6D">
      <w:pPr>
        <w:pStyle w:val="14"/>
        <w:spacing w:line="360" w:lineRule="auto"/>
        <w:ind w:left="25" w:leftChars="12" w:firstLine="472" w:firstLineChars="197"/>
        <w:outlineLvl w:val="9"/>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59FF9B2A">
      <w:pPr>
        <w:pStyle w:val="14"/>
        <w:spacing w:line="360" w:lineRule="auto"/>
        <w:ind w:left="25" w:leftChars="12" w:firstLine="352" w:firstLineChars="147"/>
        <w:outlineLvl w:val="9"/>
        <w:rPr>
          <w:rFonts w:hint="eastAsia" w:hAnsi="宋体" w:cs="宋体"/>
          <w:color w:val="auto"/>
          <w:sz w:val="24"/>
          <w:szCs w:val="24"/>
          <w:highlight w:val="none"/>
        </w:rPr>
      </w:pPr>
      <w:r>
        <w:rPr>
          <w:rFonts w:hint="eastAsia" w:hAnsi="宋体" w:cs="宋体"/>
          <w:color w:val="auto"/>
          <w:sz w:val="24"/>
          <w:szCs w:val="24"/>
          <w:highlight w:val="none"/>
        </w:rPr>
        <w:t xml:space="preserve"> </w:t>
      </w:r>
    </w:p>
    <w:p w14:paraId="7F8160D9">
      <w:pPr>
        <w:pStyle w:val="14"/>
        <w:spacing w:line="360" w:lineRule="auto"/>
        <w:ind w:left="25" w:leftChars="12" w:firstLine="472" w:firstLineChars="197"/>
        <w:outlineLvl w:val="9"/>
        <w:rPr>
          <w:rFonts w:hint="eastAsia" w:hAnsi="宋体" w:cs="宋体"/>
          <w:color w:val="auto"/>
          <w:sz w:val="24"/>
          <w:szCs w:val="24"/>
          <w:highlight w:val="none"/>
        </w:rPr>
      </w:pPr>
      <w:r>
        <w:rPr>
          <w:rFonts w:hint="eastAsia" w:hAnsi="宋体" w:cs="宋体"/>
          <w:color w:val="auto"/>
          <w:sz w:val="24"/>
          <w:szCs w:val="24"/>
          <w:highlight w:val="none"/>
        </w:rPr>
        <w:t>日期：</w:t>
      </w:r>
    </w:p>
    <w:p w14:paraId="0A110565">
      <w:pPr>
        <w:pStyle w:val="14"/>
        <w:spacing w:line="360" w:lineRule="auto"/>
        <w:ind w:left="25" w:leftChars="12" w:firstLine="472" w:firstLineChars="197"/>
        <w:outlineLvl w:val="9"/>
        <w:rPr>
          <w:rFonts w:hint="eastAsia" w:hAnsi="宋体" w:cs="宋体"/>
          <w:color w:val="auto"/>
          <w:sz w:val="24"/>
          <w:szCs w:val="24"/>
          <w:highlight w:val="none"/>
        </w:rPr>
      </w:pPr>
      <w:r>
        <w:rPr>
          <w:rFonts w:hint="eastAsia" w:hAnsi="宋体" w:cs="宋体"/>
          <w:bCs/>
          <w:color w:val="auto"/>
          <w:sz w:val="24"/>
          <w:szCs w:val="24"/>
          <w:highlight w:val="none"/>
        </w:rPr>
        <w:t xml:space="preserve">                                                                                 </w:t>
      </w:r>
    </w:p>
    <w:p w14:paraId="25CF3178">
      <w:pPr>
        <w:pStyle w:val="14"/>
        <w:snapToGrid w:val="0"/>
        <w:spacing w:line="360" w:lineRule="auto"/>
        <w:outlineLvl w:val="9"/>
        <w:rPr>
          <w:rFonts w:hint="eastAsia" w:hAnsi="宋体" w:cs="宋体"/>
          <w:b/>
          <w:color w:val="auto"/>
          <w:sz w:val="24"/>
          <w:szCs w:val="24"/>
          <w:highlight w:val="none"/>
        </w:rPr>
      </w:pPr>
      <w:r>
        <w:rPr>
          <w:rFonts w:hint="eastAsia" w:hAnsi="宋体" w:cs="宋体"/>
          <w:b/>
          <w:color w:val="auto"/>
          <w:sz w:val="24"/>
          <w:szCs w:val="24"/>
          <w:highlight w:val="none"/>
        </w:rPr>
        <w:t xml:space="preserve"> </w:t>
      </w:r>
    </w:p>
    <w:p w14:paraId="205E69D0">
      <w:pPr>
        <w:pStyle w:val="14"/>
        <w:snapToGrid w:val="0"/>
        <w:spacing w:line="360" w:lineRule="auto"/>
        <w:outlineLvl w:val="9"/>
        <w:rPr>
          <w:rFonts w:hint="eastAsia" w:hAnsi="宋体" w:cs="宋体"/>
          <w:b/>
          <w:color w:val="auto"/>
          <w:sz w:val="24"/>
          <w:szCs w:val="24"/>
          <w:highlight w:val="none"/>
        </w:rPr>
      </w:pPr>
      <w:r>
        <w:rPr>
          <w:rFonts w:hint="eastAsia" w:hAnsi="宋体" w:cs="宋体"/>
          <w:b/>
          <w:color w:val="auto"/>
          <w:sz w:val="24"/>
          <w:szCs w:val="24"/>
          <w:highlight w:val="none"/>
        </w:rPr>
        <w:t>说明：</w:t>
      </w:r>
    </w:p>
    <w:p w14:paraId="29E20569">
      <w:pPr>
        <w:pStyle w:val="14"/>
        <w:spacing w:line="360" w:lineRule="auto"/>
        <w:ind w:left="25" w:leftChars="12" w:firstLine="354" w:firstLineChars="147"/>
        <w:outlineLvl w:val="9"/>
        <w:rPr>
          <w:rFonts w:hint="eastAsia" w:hAnsi="宋体" w:cs="宋体"/>
          <w:b/>
          <w:bCs/>
          <w:color w:val="auto"/>
          <w:sz w:val="24"/>
          <w:szCs w:val="24"/>
          <w:highlight w:val="none"/>
        </w:rPr>
      </w:pPr>
      <w:r>
        <w:rPr>
          <w:rFonts w:hint="eastAsia" w:hAnsi="宋体" w:cs="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cs="宋体"/>
          <w:b/>
          <w:bCs/>
          <w:color w:val="auto"/>
          <w:sz w:val="24"/>
          <w:szCs w:val="24"/>
          <w:highlight w:val="none"/>
        </w:rPr>
        <w:t>。</w:t>
      </w:r>
    </w:p>
    <w:p w14:paraId="68FD9522">
      <w:pPr>
        <w:pStyle w:val="14"/>
        <w:spacing w:line="360" w:lineRule="auto"/>
        <w:ind w:left="25" w:leftChars="12" w:firstLine="354" w:firstLineChars="147"/>
        <w:outlineLvl w:val="9"/>
        <w:rPr>
          <w:rFonts w:hint="eastAsia" w:hAnsi="宋体" w:cs="宋体"/>
          <w:b/>
          <w:color w:val="auto"/>
          <w:sz w:val="24"/>
          <w:szCs w:val="24"/>
          <w:highlight w:val="none"/>
        </w:rPr>
      </w:pPr>
      <w:r>
        <w:rPr>
          <w:rFonts w:hint="eastAsia" w:hAnsi="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77B53FE">
      <w:pPr>
        <w:pStyle w:val="14"/>
        <w:spacing w:line="360" w:lineRule="auto"/>
        <w:ind w:left="25" w:leftChars="12" w:firstLine="354" w:firstLineChars="147"/>
        <w:outlineLvl w:val="9"/>
        <w:rPr>
          <w:rFonts w:hint="eastAsia" w:hAnsi="宋体" w:cs="宋体"/>
          <w:b/>
          <w:color w:val="auto"/>
          <w:sz w:val="24"/>
          <w:szCs w:val="24"/>
          <w:highlight w:val="none"/>
        </w:rPr>
      </w:pPr>
      <w:r>
        <w:rPr>
          <w:rFonts w:hint="eastAsia" w:hAnsi="宋体" w:cs="宋体"/>
          <w:b/>
          <w:color w:val="auto"/>
          <w:sz w:val="24"/>
          <w:szCs w:val="24"/>
          <w:highlight w:val="none"/>
        </w:rPr>
        <w:t>3.投诉书应简要列明质疑事项，质疑函、质疑答复等作为附件材料提供。</w:t>
      </w:r>
    </w:p>
    <w:p w14:paraId="04C48A0A">
      <w:pPr>
        <w:pStyle w:val="14"/>
        <w:spacing w:line="360" w:lineRule="auto"/>
        <w:ind w:left="25" w:leftChars="12" w:firstLine="354" w:firstLineChars="147"/>
        <w:outlineLvl w:val="9"/>
        <w:rPr>
          <w:rFonts w:hint="eastAsia" w:hAnsi="宋体" w:cs="宋体"/>
          <w:b/>
          <w:color w:val="auto"/>
          <w:sz w:val="24"/>
          <w:szCs w:val="24"/>
          <w:highlight w:val="none"/>
        </w:rPr>
      </w:pPr>
      <w:r>
        <w:rPr>
          <w:rFonts w:hint="eastAsia" w:hAnsi="宋体" w:cs="宋体"/>
          <w:b/>
          <w:color w:val="auto"/>
          <w:sz w:val="24"/>
          <w:szCs w:val="24"/>
          <w:highlight w:val="none"/>
        </w:rPr>
        <w:t>4.投诉书的投诉事项应具体、明确，并有必要的事实依据和法律依据。</w:t>
      </w:r>
    </w:p>
    <w:p w14:paraId="601B360C">
      <w:pPr>
        <w:pStyle w:val="14"/>
        <w:spacing w:line="360" w:lineRule="auto"/>
        <w:ind w:left="25" w:leftChars="12" w:firstLine="354" w:firstLineChars="147"/>
        <w:outlineLvl w:val="9"/>
        <w:rPr>
          <w:rFonts w:hint="eastAsia" w:hAnsi="宋体" w:cs="宋体"/>
          <w:b/>
          <w:color w:val="auto"/>
          <w:sz w:val="24"/>
          <w:szCs w:val="24"/>
          <w:highlight w:val="none"/>
        </w:rPr>
      </w:pPr>
      <w:r>
        <w:rPr>
          <w:rFonts w:hint="eastAsia" w:hAnsi="宋体" w:cs="宋体"/>
          <w:b/>
          <w:color w:val="auto"/>
          <w:sz w:val="24"/>
          <w:szCs w:val="24"/>
          <w:highlight w:val="none"/>
        </w:rPr>
        <w:t>5.投诉书的投诉请求应与投诉事项相关。</w:t>
      </w:r>
    </w:p>
    <w:p w14:paraId="6177DD9F">
      <w:pPr>
        <w:pStyle w:val="14"/>
        <w:spacing w:line="360" w:lineRule="auto"/>
        <w:ind w:left="25" w:leftChars="12" w:firstLine="354" w:firstLineChars="147"/>
        <w:outlineLvl w:val="9"/>
      </w:pPr>
      <w:r>
        <w:rPr>
          <w:rFonts w:hint="eastAsia" w:hAnsi="宋体" w:cs="宋体"/>
          <w:b/>
          <w:color w:val="auto"/>
          <w:sz w:val="24"/>
          <w:szCs w:val="24"/>
          <w:highlight w:val="none"/>
        </w:rPr>
        <w:t>6.投诉人为法人或者其他组织的，投诉书应由法定代表人、主要负责人，或者其授权代表签字或者盖章，并加盖公章。</w:t>
      </w:r>
    </w:p>
    <w:sectPr>
      <w:footerReference r:id="rId7" w:type="first"/>
      <w:footerReference r:id="rId6" w:type="default"/>
      <w:pgSz w:w="11910" w:h="16840"/>
      <w:pgMar w:top="1440" w:right="1440" w:bottom="1440" w:left="1440" w:header="720" w:footer="720" w:gutter="0"/>
      <w:pgBorders>
        <w:top w:val="none" w:sz="0" w:space="0"/>
        <w:left w:val="none" w:sz="0" w:space="0"/>
        <w:bottom w:val="none" w:sz="0" w:space="0"/>
        <w:right w:val="none" w:sz="0" w:space="0"/>
      </w:pgBorders>
      <w:pgNumType w:fmt="decimal"/>
      <w:cols w:space="0" w:num="1"/>
      <w:rtlGutter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方正小标宋简体">
    <w:altName w:val="黑体"/>
    <w:panose1 w:val="02000000000000000000"/>
    <w:charset w:val="86"/>
    <w:family w:val="script"/>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等线">
    <w:altName w:val="微软雅黑"/>
    <w:panose1 w:val="02010600030101010101"/>
    <w:charset w:val="86"/>
    <w:family w:val="auto"/>
    <w:pitch w:val="default"/>
    <w:sig w:usb0="00000000" w:usb1="00000000" w:usb2="00000016" w:usb3="00000000" w:csb0="0004000F"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ˎ̥">
    <w:altName w:val="Times New Roman"/>
    <w:panose1 w:val="00000000000000000000"/>
    <w:charset w:val="00"/>
    <w:family w:val="roman"/>
    <w:pitch w:val="default"/>
    <w:sig w:usb0="00000000" w:usb1="00000000" w:usb2="00000000"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BatangChe">
    <w:panose1 w:val="02030609000101010101"/>
    <w:charset w:val="81"/>
    <w:family w:val="modern"/>
    <w:pitch w:val="default"/>
    <w:sig w:usb0="B00002AF" w:usb1="69D77CFB" w:usb2="00000030" w:usb3="00000000" w:csb0="4008009F" w:csb1="DFD7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F6823">
    <w:pPr>
      <w:pStyle w:val="15"/>
      <w:tabs>
        <w:tab w:val="center" w:pos="4536"/>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50E17">
    <w:pPr>
      <w:pStyle w:val="15"/>
      <w:tabs>
        <w:tab w:val="center" w:pos="4536"/>
        <w:tab w:val="clear" w:pos="41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977F7">
    <w:pPr>
      <w:pStyle w:val="15"/>
      <w:tabs>
        <w:tab w:val="center" w:pos="4536"/>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8E49D">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68E49D">
                    <w:pPr>
                      <w:pStyle w:val="1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1C16C">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1DE0C0">
                          <w:pPr>
                            <w:pStyle w:val="15"/>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1DE0C0">
                    <w:pPr>
                      <w:pStyle w:val="15"/>
                    </w:pPr>
                    <w:r>
                      <w:fldChar w:fldCharType="begin"/>
                    </w:r>
                    <w:r>
                      <w:instrText xml:space="preserve"> PAGE  \* MERGEFORMAT </w:instrText>
                    </w:r>
                    <w:r>
                      <w:fldChar w:fldCharType="separate"/>
                    </w:r>
                    <w:r>
                      <w:t>118</w:t>
                    </w:r>
                    <w:r>
                      <w:fldChar w:fldCharType="end"/>
                    </w:r>
                  </w:p>
                </w:txbxContent>
              </v:textbox>
            </v:shape>
          </w:pict>
        </mc:Fallback>
      </mc:AlternateContent>
    </w:r>
  </w:p>
  <w:p w14:paraId="65FADBB1">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3E6F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DD68D0">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4DD68D0">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C5B36"/>
    <w:multiLevelType w:val="singleLevel"/>
    <w:tmpl w:val="934C5B36"/>
    <w:lvl w:ilvl="0" w:tentative="0">
      <w:start w:val="1"/>
      <w:numFmt w:val="decimal"/>
      <w:pStyle w:val="8"/>
      <w:lvlText w:val="%1."/>
      <w:lvlJc w:val="left"/>
      <w:pPr>
        <w:tabs>
          <w:tab w:val="left" w:pos="360"/>
        </w:tabs>
        <w:ind w:left="360" w:hanging="360"/>
      </w:pPr>
    </w:lvl>
  </w:abstractNum>
  <w:abstractNum w:abstractNumId="1">
    <w:nsid w:val="72B97209"/>
    <w:multiLevelType w:val="multilevel"/>
    <w:tmpl w:val="72B9720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B6F85"/>
    <w:rsid w:val="06707E5D"/>
    <w:rsid w:val="0C005ABF"/>
    <w:rsid w:val="0C677741"/>
    <w:rsid w:val="0D657632"/>
    <w:rsid w:val="0E24646B"/>
    <w:rsid w:val="11330D0E"/>
    <w:rsid w:val="11CF55BE"/>
    <w:rsid w:val="14787D52"/>
    <w:rsid w:val="16AE2CDE"/>
    <w:rsid w:val="1BA02664"/>
    <w:rsid w:val="1C6C0241"/>
    <w:rsid w:val="1E0A1A0C"/>
    <w:rsid w:val="1FA12BC9"/>
    <w:rsid w:val="227C3CF2"/>
    <w:rsid w:val="294908B1"/>
    <w:rsid w:val="2D875411"/>
    <w:rsid w:val="33430512"/>
    <w:rsid w:val="34F24EC2"/>
    <w:rsid w:val="3AA83F11"/>
    <w:rsid w:val="3EDB58FE"/>
    <w:rsid w:val="414C2F42"/>
    <w:rsid w:val="42EB114D"/>
    <w:rsid w:val="46A461DD"/>
    <w:rsid w:val="47081247"/>
    <w:rsid w:val="49F631AC"/>
    <w:rsid w:val="4B6372B9"/>
    <w:rsid w:val="5C2D3FFE"/>
    <w:rsid w:val="64FC6CB9"/>
    <w:rsid w:val="677D4716"/>
    <w:rsid w:val="70495453"/>
    <w:rsid w:val="71CE60A3"/>
    <w:rsid w:val="721C4157"/>
    <w:rsid w:val="79B47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iPriority="99"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9"/>
    <w:pPr>
      <w:keepNext/>
      <w:keepLines/>
      <w:spacing w:before="340" w:after="330" w:line="578" w:lineRule="auto"/>
      <w:outlineLvl w:val="0"/>
    </w:pPr>
    <w:rPr>
      <w:b/>
      <w:bCs/>
      <w:kern w:val="44"/>
      <w:sz w:val="44"/>
      <w:szCs w:val="44"/>
    </w:rPr>
  </w:style>
  <w:style w:type="paragraph" w:styleId="5">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99"/>
    <w:pPr>
      <w:keepNext/>
      <w:keepLines/>
      <w:spacing w:before="260" w:after="260" w:line="416" w:lineRule="auto"/>
      <w:outlineLvl w:val="2"/>
    </w:pPr>
    <w:rPr>
      <w:b/>
      <w:bCs/>
      <w:sz w:val="32"/>
      <w:szCs w:val="32"/>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style>
  <w:style w:type="paragraph" w:styleId="7">
    <w:name w:val="index 8"/>
    <w:basedOn w:val="1"/>
    <w:next w:val="1"/>
    <w:unhideWhenUsed/>
    <w:qFormat/>
    <w:uiPriority w:val="99"/>
    <w:pPr>
      <w:spacing w:before="100" w:beforeAutospacing="1" w:after="100" w:afterAutospacing="1"/>
      <w:ind w:left="1400" w:leftChars="1400"/>
    </w:pPr>
    <w:rPr>
      <w:szCs w:val="21"/>
    </w:rPr>
  </w:style>
  <w:style w:type="paragraph" w:styleId="8">
    <w:name w:val="List Number"/>
    <w:basedOn w:val="1"/>
    <w:qFormat/>
    <w:uiPriority w:val="0"/>
    <w:pPr>
      <w:numPr>
        <w:ilvl w:val="0"/>
        <w:numId w:val="1"/>
      </w:numPr>
    </w:pPr>
  </w:style>
  <w:style w:type="paragraph" w:styleId="9">
    <w:name w:val="Normal Indent"/>
    <w:basedOn w:val="1"/>
    <w:qFormat/>
    <w:uiPriority w:val="99"/>
    <w:pPr>
      <w:ind w:firstLine="420"/>
    </w:pPr>
    <w:rPr>
      <w:szCs w:val="20"/>
    </w:rPr>
  </w:style>
  <w:style w:type="paragraph" w:styleId="10">
    <w:name w:val="annotation text"/>
    <w:basedOn w:val="1"/>
    <w:qFormat/>
    <w:uiPriority w:val="99"/>
    <w:pPr>
      <w:jc w:val="left"/>
    </w:pPr>
  </w:style>
  <w:style w:type="paragraph" w:styleId="11">
    <w:name w:val="Body Text 3"/>
    <w:basedOn w:val="1"/>
    <w:unhideWhenUsed/>
    <w:qFormat/>
    <w:uiPriority w:val="99"/>
    <w:pPr>
      <w:spacing w:after="120"/>
    </w:pPr>
    <w:rPr>
      <w:sz w:val="16"/>
      <w:szCs w:val="16"/>
    </w:rPr>
  </w:style>
  <w:style w:type="paragraph" w:styleId="12">
    <w:name w:val="Body Text Indent"/>
    <w:basedOn w:val="1"/>
    <w:qFormat/>
    <w:uiPriority w:val="99"/>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Plain Text"/>
    <w:basedOn w:val="1"/>
    <w:next w:val="1"/>
    <w:qFormat/>
    <w:uiPriority w:val="0"/>
    <w:rPr>
      <w:rFonts w:ascii="宋体" w:hAnsi="Courier New"/>
      <w:kern w:val="0"/>
      <w:sz w:val="20"/>
      <w:szCs w:val="21"/>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unhideWhenUsed/>
    <w:qFormat/>
    <w:uiPriority w:val="99"/>
  </w:style>
  <w:style w:type="paragraph" w:styleId="18">
    <w:name w:val="toc 2"/>
    <w:basedOn w:val="1"/>
    <w:next w:val="1"/>
    <w:unhideWhenUsed/>
    <w:qFormat/>
    <w:uiPriority w:val="99"/>
    <w:pPr>
      <w:tabs>
        <w:tab w:val="right" w:leader="dot" w:pos="8296"/>
      </w:tabs>
      <w:ind w:left="420" w:leftChars="200"/>
    </w:pPr>
  </w:style>
  <w:style w:type="paragraph" w:styleId="19">
    <w:name w:val="Normal (Web)"/>
    <w:basedOn w:val="1"/>
    <w:unhideWhenUsed/>
    <w:qFormat/>
    <w:uiPriority w:val="99"/>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0">
    <w:name w:val="Title"/>
    <w:basedOn w:val="1"/>
    <w:next w:val="1"/>
    <w:qFormat/>
    <w:uiPriority w:val="0"/>
    <w:pPr>
      <w:jc w:val="center"/>
    </w:pPr>
    <w:rPr>
      <w:sz w:val="30"/>
    </w:rPr>
  </w:style>
  <w:style w:type="paragraph" w:customStyle="1" w:styleId="23">
    <w:name w:val="_Style 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Title1"/>
    <w:basedOn w:val="1"/>
    <w:next w:val="1"/>
    <w:qFormat/>
    <w:uiPriority w:val="0"/>
    <w:pPr>
      <w:jc w:val="center"/>
      <w:outlineLvl w:val="0"/>
    </w:pPr>
    <w:rPr>
      <w:rFonts w:ascii="Calibri Light" w:hAnsi="Calibri Light"/>
      <w:b/>
      <w:szCs w:val="21"/>
    </w:rPr>
  </w:style>
  <w:style w:type="paragraph" w:customStyle="1" w:styleId="25">
    <w:name w:val="Default"/>
    <w:basedOn w:val="20"/>
    <w:qFormat/>
    <w:uiPriority w:val="99"/>
    <w:pPr>
      <w:widowControl w:val="0"/>
      <w:autoSpaceDE w:val="0"/>
      <w:autoSpaceDN w:val="0"/>
      <w:adjustRightInd w:val="0"/>
    </w:pPr>
    <w:rPr>
      <w:rFonts w:ascii="黑体" w:eastAsia="黑体" w:cs="黑体"/>
      <w:color w:val="000000"/>
      <w:sz w:val="24"/>
      <w:szCs w:val="24"/>
      <w:lang w:val="en-US" w:eastAsia="zh-CN" w:bidi="ar-SA"/>
    </w:rPr>
  </w:style>
  <w:style w:type="paragraph" w:customStyle="1" w:styleId="26">
    <w:name w:val="正文2"/>
    <w:basedOn w:val="1"/>
    <w:qFormat/>
    <w:uiPriority w:val="0"/>
    <w:pPr>
      <w:adjustRightInd w:val="0"/>
      <w:spacing w:before="156" w:line="360" w:lineRule="auto"/>
      <w:ind w:firstLine="510" w:firstLineChars="200"/>
    </w:pPr>
    <w:rPr>
      <w:kern w:val="0"/>
      <w:sz w:val="24"/>
      <w:szCs w:val="20"/>
    </w:rPr>
  </w:style>
  <w:style w:type="character" w:customStyle="1" w:styleId="27">
    <w:name w:val="15"/>
    <w:qFormat/>
    <w:uiPriority w:val="0"/>
    <w:rPr>
      <w:rFonts w:hint="default" w:ascii="Times New Roman" w:hAnsi="Times New Roman" w:cs="Times New Roman"/>
      <w:color w:val="0000FF"/>
      <w:u w:val="single"/>
    </w:rPr>
  </w:style>
  <w:style w:type="paragraph" w:customStyle="1" w:styleId="28">
    <w:name w:val="正文缩进1"/>
    <w:basedOn w:val="1"/>
    <w:next w:val="12"/>
    <w:qFormat/>
    <w:uiPriority w:val="0"/>
    <w:pPr>
      <w:autoSpaceDE w:val="0"/>
      <w:autoSpaceDN w:val="0"/>
      <w:adjustRightInd w:val="0"/>
      <w:snapToGrid w:val="0"/>
      <w:spacing w:after="120" w:line="360" w:lineRule="auto"/>
      <w:ind w:left="420" w:leftChars="200" w:firstLine="480" w:firstLineChars="200"/>
    </w:pPr>
    <w:rPr>
      <w:sz w:val="24"/>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122</Pages>
  <Words>12687</Words>
  <Characters>13784</Characters>
  <Lines>0</Lines>
  <Paragraphs>0</Paragraphs>
  <TotalTime>48</TotalTime>
  <ScaleCrop>false</ScaleCrop>
  <LinksUpToDate>false</LinksUpToDate>
  <CharactersWithSpaces>13942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2026-09-09T02:17:00Z</dcterms:created>
  <dc:creator>Administrator</dc:creator>
  <cp:lastModifiedBy>盛元华梁连莲</cp:lastModifiedBy>
  <cp:lastPrinted>2026-09-11T09:49:00Z</cp:lastPrinted>
  <dcterms:modified xsi:type="dcterms:W3CDTF">2026-09-11T09:56:24Z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eyJoZGlkIjoiNmQ1MmRmNjg3MTA2NzgxNTRmYTMwNzM5MGYxZWFiZWYiLCJ1c2VySWQiOiIyMzU2MjMzOTEifQ==</vt:lpwstr>
  </property>
  <property fmtid="{D5CDD505-2E9C-101B-9397-08002B2CF9AE}" pid="4" name="ICV">
    <vt:lpwstr>0292886254634788AE05D69DB135EEE0_13</vt:lpwstr>
  </property>
</Properties>
</file>