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98BCC">
      <w:pPr>
        <w:spacing w:line="360" w:lineRule="auto"/>
        <w:jc w:val="center"/>
        <w:rPr>
          <w:rFonts w:hint="eastAsia" w:ascii="方正小标宋简体" w:hAnsi="方正小标宋简体" w:eastAsia="方正小标宋简体" w:cs="方正小标宋简体"/>
          <w:b/>
          <w:color w:val="auto"/>
          <w:sz w:val="44"/>
          <w:szCs w:val="44"/>
          <w:highlight w:val="none"/>
        </w:rPr>
      </w:pPr>
      <w:bookmarkStart w:id="258" w:name="_GoBack"/>
      <w:r>
        <w:rPr>
          <w:rFonts w:hint="eastAsia" w:ascii="宋体" w:hAnsi="宋体"/>
          <w:b/>
          <w:color w:val="auto"/>
          <w:sz w:val="84"/>
          <w:szCs w:val="84"/>
          <w:highlight w:val="none"/>
          <w:lang w:val="en-US" w:eastAsia="zh-CN"/>
        </w:rPr>
        <w:drawing>
          <wp:inline distT="0" distB="0" distL="114300" distR="114300">
            <wp:extent cx="6226810" cy="859790"/>
            <wp:effectExtent l="0" t="0" r="6350" b="8890"/>
            <wp:docPr id="1" name="图片 1" descr="41fd7b8b5be361e43b4d14451564ed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1fd7b8b5be361e43b4d14451564edba"/>
                    <pic:cNvPicPr>
                      <a:picLocks noChangeAspect="1"/>
                    </pic:cNvPicPr>
                  </pic:nvPicPr>
                  <pic:blipFill>
                    <a:blip r:embed="rId14"/>
                    <a:srcRect l="14482"/>
                    <a:stretch>
                      <a:fillRect/>
                    </a:stretch>
                  </pic:blipFill>
                  <pic:spPr>
                    <a:xfrm>
                      <a:off x="0" y="0"/>
                      <a:ext cx="6226810" cy="859790"/>
                    </a:xfrm>
                    <a:prstGeom prst="rect">
                      <a:avLst/>
                    </a:prstGeom>
                    <a:noFill/>
                    <a:ln>
                      <a:noFill/>
                    </a:ln>
                  </pic:spPr>
                </pic:pic>
              </a:graphicData>
            </a:graphic>
          </wp:inline>
        </w:drawing>
      </w:r>
    </w:p>
    <w:p w14:paraId="41917887">
      <w:pPr>
        <w:snapToGrid w:val="0"/>
        <w:spacing w:before="156" w:beforeLines="50" w:line="360" w:lineRule="auto"/>
        <w:jc w:val="center"/>
        <w:rPr>
          <w:rFonts w:hint="eastAsia" w:ascii="华文新魏" w:hAnsi="宋体" w:eastAsia="华文新魏"/>
          <w:color w:val="auto"/>
          <w:sz w:val="120"/>
          <w:szCs w:val="120"/>
          <w:highlight w:val="none"/>
          <w:lang w:val="en-US" w:eastAsia="zh-CN"/>
        </w:rPr>
      </w:pPr>
    </w:p>
    <w:p w14:paraId="55FCB36B">
      <w:pPr>
        <w:snapToGrid w:val="0"/>
        <w:spacing w:before="156" w:beforeLines="50" w:line="360" w:lineRule="auto"/>
        <w:jc w:val="center"/>
        <w:rPr>
          <w:rFonts w:hint="eastAsia" w:ascii="华文新魏" w:hAnsi="宋体" w:eastAsia="华文新魏"/>
          <w:color w:val="auto"/>
          <w:sz w:val="112"/>
          <w:szCs w:val="112"/>
          <w:highlight w:val="none"/>
        </w:rPr>
      </w:pPr>
      <w:r>
        <w:rPr>
          <w:rFonts w:hint="eastAsia" w:ascii="华文新魏" w:hAnsi="宋体" w:eastAsia="华文新魏"/>
          <w:color w:val="auto"/>
          <w:sz w:val="112"/>
          <w:szCs w:val="112"/>
          <w:highlight w:val="none"/>
        </w:rPr>
        <w:t>竞争性磋商文件</w:t>
      </w:r>
    </w:p>
    <w:p w14:paraId="43866D9F">
      <w:pPr>
        <w:snapToGrid w:val="0"/>
        <w:spacing w:before="156" w:beforeLines="50" w:line="360" w:lineRule="auto"/>
        <w:jc w:val="center"/>
        <w:rPr>
          <w:rFonts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23CA0A2D">
      <w:pPr>
        <w:snapToGrid w:val="0"/>
        <w:spacing w:line="360" w:lineRule="auto"/>
        <w:rPr>
          <w:rFonts w:hint="eastAsia" w:ascii="仿宋_GB2312" w:hAnsi="宋体" w:eastAsia="仿宋_GB2312"/>
          <w:color w:val="auto"/>
          <w:sz w:val="30"/>
          <w:szCs w:val="72"/>
          <w:highlight w:val="none"/>
        </w:rPr>
      </w:pPr>
    </w:p>
    <w:p w14:paraId="0F88A467">
      <w:pPr>
        <w:pStyle w:val="19"/>
        <w:snapToGrid w:val="0"/>
        <w:spacing w:line="360" w:lineRule="auto"/>
        <w:ind w:firstLine="1205" w:firstLineChars="4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广西物流职业技术学院灾后装饰装修修缮项目</w:t>
      </w:r>
    </w:p>
    <w:p w14:paraId="76D5841F">
      <w:pPr>
        <w:pStyle w:val="19"/>
        <w:snapToGrid w:val="0"/>
        <w:spacing w:line="360" w:lineRule="auto"/>
        <w:ind w:firstLine="1145" w:firstLineChars="400"/>
        <w:rPr>
          <w:rFonts w:hint="eastAsia" w:ascii="仿宋_GB2312" w:hAnsi="宋体" w:eastAsia="仿宋_GB2312"/>
          <w:color w:val="auto"/>
          <w:sz w:val="30"/>
          <w:szCs w:val="72"/>
          <w:highlight w:val="none"/>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w:t>
      </w:r>
      <w:r>
        <w:rPr>
          <w:rFonts w:hint="eastAsia" w:ascii="仿宋_GB2312" w:hAnsi="宋体" w:eastAsia="仿宋_GB2312" w:cs="Courier New"/>
          <w:b/>
          <w:bCs/>
          <w:color w:val="auto"/>
          <w:w w:val="95"/>
          <w:sz w:val="30"/>
          <w:szCs w:val="30"/>
          <w:highlight w:val="none"/>
          <w:lang w:eastAsia="zh-CN"/>
        </w:rPr>
        <w:t>GXZC2026-C2-002777-JGJD</w:t>
      </w:r>
      <w:r>
        <w:rPr>
          <w:rFonts w:hint="eastAsia" w:ascii="仿宋_GB2312" w:hAnsi="宋体" w:eastAsia="仿宋_GB2312"/>
          <w:b/>
          <w:color w:val="auto"/>
          <w:sz w:val="30"/>
          <w:szCs w:val="48"/>
          <w:highlight w:val="none"/>
        </w:rPr>
        <w:t xml:space="preserve"> </w:t>
      </w:r>
    </w:p>
    <w:p w14:paraId="0EB9A0B1">
      <w:pPr>
        <w:pStyle w:val="19"/>
        <w:snapToGrid w:val="0"/>
        <w:spacing w:line="360" w:lineRule="auto"/>
        <w:ind w:firstLine="1125" w:firstLineChars="393"/>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 购 人：</w:t>
      </w:r>
      <w:r>
        <w:rPr>
          <w:rFonts w:hint="eastAsia" w:ascii="仿宋_GB2312" w:hAnsi="宋体" w:eastAsia="仿宋_GB2312"/>
          <w:b/>
          <w:bCs/>
          <w:color w:val="auto"/>
          <w:w w:val="95"/>
          <w:sz w:val="30"/>
          <w:szCs w:val="30"/>
          <w:highlight w:val="none"/>
          <w:lang w:eastAsia="zh-CN"/>
        </w:rPr>
        <w:t>广西物流职业技术学院</w:t>
      </w:r>
    </w:p>
    <w:p w14:paraId="4920B760">
      <w:pPr>
        <w:pStyle w:val="19"/>
        <w:snapToGrid w:val="0"/>
        <w:spacing w:line="360" w:lineRule="auto"/>
        <w:ind w:firstLine="1125" w:firstLineChars="393"/>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lang w:eastAsia="zh-CN"/>
        </w:rPr>
        <w:t>广西建设工程机电设备招标中心有限公司</w:t>
      </w:r>
    </w:p>
    <w:p w14:paraId="3D4BC8BF">
      <w:pPr>
        <w:pStyle w:val="19"/>
        <w:snapToGrid w:val="0"/>
        <w:spacing w:line="360" w:lineRule="auto"/>
        <w:ind w:firstLine="1125" w:firstLineChars="393"/>
        <w:rPr>
          <w:rFonts w:hint="eastAsia" w:ascii="仿宋_GB2312" w:hAnsi="宋体" w:eastAsia="仿宋_GB2312"/>
          <w:b/>
          <w:bCs/>
          <w:color w:val="auto"/>
          <w:w w:val="95"/>
          <w:sz w:val="30"/>
          <w:szCs w:val="30"/>
          <w:highlight w:val="none"/>
        </w:rPr>
      </w:pPr>
    </w:p>
    <w:p w14:paraId="4C064225">
      <w:pPr>
        <w:pStyle w:val="19"/>
        <w:snapToGrid w:val="0"/>
        <w:spacing w:line="360" w:lineRule="auto"/>
        <w:ind w:left="420" w:firstLine="841" w:firstLineChars="294"/>
        <w:rPr>
          <w:rFonts w:hint="eastAsia" w:ascii="仿宋_GB2312" w:hAnsi="宋体" w:eastAsia="仿宋_GB2312"/>
          <w:b/>
          <w:bCs/>
          <w:color w:val="auto"/>
          <w:w w:val="95"/>
          <w:sz w:val="30"/>
          <w:szCs w:val="30"/>
          <w:highlight w:val="none"/>
          <w:lang w:val="en-US" w:eastAsia="zh-CN"/>
        </w:rPr>
      </w:pPr>
      <w:r>
        <w:rPr>
          <w:rFonts w:hint="eastAsia" w:ascii="仿宋_GB2312" w:hAnsi="宋体" w:eastAsia="仿宋_GB2312"/>
          <w:b/>
          <w:bCs/>
          <w:color w:val="auto"/>
          <w:w w:val="95"/>
          <w:sz w:val="30"/>
          <w:szCs w:val="30"/>
          <w:highlight w:val="none"/>
        </w:rPr>
        <w:t xml:space="preserve">               </w:t>
      </w:r>
      <w:r>
        <w:rPr>
          <w:rFonts w:ascii="仿宋_GB2312" w:hAnsi="宋体" w:eastAsia="仿宋_GB2312"/>
          <w:b/>
          <w:bCs/>
          <w:color w:val="auto"/>
          <w:w w:val="95"/>
          <w:sz w:val="30"/>
          <w:szCs w:val="30"/>
          <w:highlight w:val="none"/>
        </w:rPr>
        <w:t>202</w:t>
      </w:r>
      <w:r>
        <w:rPr>
          <w:rFonts w:hint="eastAsia" w:ascii="仿宋_GB2312" w:hAnsi="宋体" w:eastAsia="仿宋_GB2312"/>
          <w:b/>
          <w:bCs/>
          <w:color w:val="auto"/>
          <w:w w:val="95"/>
          <w:sz w:val="30"/>
          <w:szCs w:val="30"/>
          <w:highlight w:val="none"/>
          <w:lang w:val="en-US" w:eastAsia="zh-CN"/>
        </w:rPr>
        <w:t>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8</w:t>
      </w:r>
      <w:r>
        <w:rPr>
          <w:rFonts w:hint="eastAsia" w:ascii="仿宋_GB2312" w:hAnsi="宋体" w:eastAsia="仿宋_GB2312"/>
          <w:b/>
          <w:bCs/>
          <w:color w:val="auto"/>
          <w:w w:val="95"/>
          <w:sz w:val="30"/>
          <w:szCs w:val="30"/>
          <w:highlight w:val="none"/>
        </w:rPr>
        <w:t>月</w:t>
      </w:r>
    </w:p>
    <w:p w14:paraId="56FC18F1">
      <w:pPr>
        <w:spacing w:line="360" w:lineRule="auto"/>
        <w:jc w:val="center"/>
        <w:rPr>
          <w:rFonts w:hint="eastAsia" w:ascii="宋体" w:hAnsi="宋体"/>
          <w:b/>
          <w:color w:val="auto"/>
          <w:sz w:val="44"/>
          <w:szCs w:val="44"/>
          <w:highlight w:val="none"/>
        </w:rPr>
      </w:pPr>
      <w:r>
        <w:rPr>
          <w:rFonts w:ascii="黑体" w:hAnsi="黑体" w:eastAsia="黑体" w:cs="宋体"/>
          <w:b/>
          <w:bCs/>
          <w:color w:val="auto"/>
          <w:kern w:val="0"/>
          <w:sz w:val="32"/>
          <w:szCs w:val="32"/>
          <w:highlight w:val="none"/>
        </w:rPr>
        <w:br w:type="page"/>
      </w:r>
    </w:p>
    <w:p w14:paraId="37186EEC">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5B6A01DD">
      <w:pPr>
        <w:spacing w:line="400" w:lineRule="exact"/>
        <w:jc w:val="center"/>
        <w:rPr>
          <w:rFonts w:hint="eastAsia" w:ascii="宋体" w:hAnsi="宋体"/>
          <w:b/>
          <w:color w:val="auto"/>
          <w:sz w:val="44"/>
          <w:szCs w:val="44"/>
          <w:highlight w:val="none"/>
        </w:rPr>
      </w:pPr>
    </w:p>
    <w:p w14:paraId="51054392">
      <w:pPr>
        <w:pStyle w:val="2"/>
        <w:tabs>
          <w:tab w:val="right" w:leader="dot" w:pos="9638"/>
        </w:tabs>
        <w:spacing w:line="360" w:lineRule="auto"/>
        <w:rPr>
          <w:color w:val="auto"/>
          <w:sz w:val="21"/>
          <w:szCs w:val="24"/>
          <w:highlight w:val="none"/>
        </w:rPr>
      </w:pPr>
      <w:r>
        <w:rPr>
          <w:rFonts w:ascii="宋体" w:hAnsi="宋体"/>
          <w:b/>
          <w:color w:val="auto"/>
          <w:sz w:val="24"/>
          <w:szCs w:val="24"/>
          <w:highlight w:val="none"/>
        </w:rPr>
        <w:fldChar w:fldCharType="begin"/>
      </w:r>
      <w:r>
        <w:rPr>
          <w:rFonts w:ascii="宋体" w:hAnsi="宋体"/>
          <w:b/>
          <w:color w:val="auto"/>
          <w:sz w:val="24"/>
          <w:szCs w:val="24"/>
          <w:highlight w:val="none"/>
        </w:rPr>
        <w:instrText xml:space="preserve"> </w:instrText>
      </w:r>
      <w:r>
        <w:rPr>
          <w:rFonts w:hint="eastAsia" w:ascii="宋体" w:hAnsi="宋体"/>
          <w:b/>
          <w:color w:val="auto"/>
          <w:sz w:val="24"/>
          <w:szCs w:val="24"/>
          <w:highlight w:val="none"/>
        </w:rPr>
        <w:instrText xml:space="preserve">TOC \o "1-3" \h \z \u</w:instrText>
      </w:r>
      <w:r>
        <w:rPr>
          <w:rFonts w:ascii="宋体" w:hAnsi="宋体"/>
          <w:b/>
          <w:color w:val="auto"/>
          <w:sz w:val="24"/>
          <w:szCs w:val="24"/>
          <w:highlight w:val="none"/>
        </w:rPr>
        <w:instrText xml:space="preserve"> </w:instrText>
      </w:r>
      <w:r>
        <w:rPr>
          <w:rFonts w:ascii="宋体" w:hAnsi="宋体"/>
          <w:b/>
          <w:color w:val="auto"/>
          <w:sz w:val="24"/>
          <w:szCs w:val="24"/>
          <w:highlight w:val="none"/>
        </w:rPr>
        <w:fldChar w:fldCharType="separate"/>
      </w: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_Toc8014 </w:instrText>
      </w:r>
      <w:r>
        <w:rPr>
          <w:rFonts w:ascii="宋体" w:hAnsi="宋体"/>
          <w:color w:val="auto"/>
          <w:sz w:val="21"/>
          <w:szCs w:val="24"/>
          <w:highlight w:val="none"/>
        </w:rPr>
        <w:fldChar w:fldCharType="separate"/>
      </w:r>
      <w:r>
        <w:rPr>
          <w:rFonts w:hint="eastAsia"/>
          <w:color w:val="auto"/>
          <w:sz w:val="21"/>
          <w:szCs w:val="24"/>
          <w:highlight w:val="none"/>
        </w:rPr>
        <w:t>第一章 竞争性磋商公告</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_Toc8014 \h </w:instrText>
      </w:r>
      <w:r>
        <w:rPr>
          <w:color w:val="auto"/>
          <w:sz w:val="21"/>
          <w:szCs w:val="24"/>
          <w:highlight w:val="none"/>
        </w:rPr>
        <w:fldChar w:fldCharType="separate"/>
      </w:r>
      <w:r>
        <w:rPr>
          <w:color w:val="auto"/>
          <w:sz w:val="21"/>
          <w:szCs w:val="24"/>
          <w:highlight w:val="none"/>
        </w:rPr>
        <w:t>1</w:t>
      </w:r>
      <w:r>
        <w:rPr>
          <w:color w:val="auto"/>
          <w:sz w:val="21"/>
          <w:szCs w:val="24"/>
          <w:highlight w:val="none"/>
        </w:rPr>
        <w:fldChar w:fldCharType="end"/>
      </w:r>
      <w:r>
        <w:rPr>
          <w:rFonts w:ascii="宋体" w:hAnsi="宋体"/>
          <w:color w:val="auto"/>
          <w:sz w:val="21"/>
          <w:szCs w:val="24"/>
          <w:highlight w:val="none"/>
        </w:rPr>
        <w:fldChar w:fldCharType="end"/>
      </w:r>
    </w:p>
    <w:p w14:paraId="41659807">
      <w:pPr>
        <w:pStyle w:val="2"/>
        <w:tabs>
          <w:tab w:val="right" w:leader="dot" w:pos="9638"/>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_Toc21103 </w:instrText>
      </w:r>
      <w:r>
        <w:rPr>
          <w:rFonts w:ascii="宋体" w:hAnsi="宋体"/>
          <w:color w:val="auto"/>
          <w:sz w:val="21"/>
          <w:szCs w:val="24"/>
          <w:highlight w:val="none"/>
        </w:rPr>
        <w:fldChar w:fldCharType="separate"/>
      </w:r>
      <w:r>
        <w:rPr>
          <w:rFonts w:hint="eastAsia"/>
          <w:color w:val="auto"/>
          <w:sz w:val="21"/>
          <w:szCs w:val="24"/>
          <w:highlight w:val="none"/>
        </w:rPr>
        <w:t>第二章 供应商须知</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_Toc21103 \h </w:instrText>
      </w:r>
      <w:r>
        <w:rPr>
          <w:color w:val="auto"/>
          <w:sz w:val="21"/>
          <w:szCs w:val="24"/>
          <w:highlight w:val="none"/>
        </w:rPr>
        <w:fldChar w:fldCharType="separate"/>
      </w:r>
      <w:r>
        <w:rPr>
          <w:color w:val="auto"/>
          <w:sz w:val="21"/>
          <w:szCs w:val="24"/>
          <w:highlight w:val="none"/>
        </w:rPr>
        <w:t>4</w:t>
      </w:r>
      <w:r>
        <w:rPr>
          <w:color w:val="auto"/>
          <w:sz w:val="21"/>
          <w:szCs w:val="24"/>
          <w:highlight w:val="none"/>
        </w:rPr>
        <w:fldChar w:fldCharType="end"/>
      </w:r>
      <w:r>
        <w:rPr>
          <w:rFonts w:ascii="宋体" w:hAnsi="宋体"/>
          <w:color w:val="auto"/>
          <w:sz w:val="21"/>
          <w:szCs w:val="24"/>
          <w:highlight w:val="none"/>
        </w:rPr>
        <w:fldChar w:fldCharType="end"/>
      </w:r>
    </w:p>
    <w:p w14:paraId="026E23C9">
      <w:pPr>
        <w:pStyle w:val="24"/>
        <w:tabs>
          <w:tab w:val="right" w:leader="dot" w:pos="9638"/>
          <w:tab w:val="clear" w:pos="8296"/>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_Toc30988 </w:instrText>
      </w:r>
      <w:r>
        <w:rPr>
          <w:rFonts w:ascii="宋体" w:hAnsi="宋体"/>
          <w:color w:val="auto"/>
          <w:sz w:val="21"/>
          <w:szCs w:val="24"/>
          <w:highlight w:val="none"/>
        </w:rPr>
        <w:fldChar w:fldCharType="separate"/>
      </w:r>
      <w:r>
        <w:rPr>
          <w:rFonts w:hint="eastAsia" w:ascii="宋体" w:hAnsi="宋体"/>
          <w:color w:val="auto"/>
          <w:sz w:val="21"/>
          <w:szCs w:val="32"/>
          <w:highlight w:val="none"/>
        </w:rPr>
        <w:t>供应商须知前附表</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_Toc30988 \h </w:instrText>
      </w:r>
      <w:r>
        <w:rPr>
          <w:color w:val="auto"/>
          <w:sz w:val="21"/>
          <w:szCs w:val="24"/>
          <w:highlight w:val="none"/>
        </w:rPr>
        <w:fldChar w:fldCharType="separate"/>
      </w:r>
      <w:r>
        <w:rPr>
          <w:color w:val="auto"/>
          <w:sz w:val="21"/>
          <w:szCs w:val="24"/>
          <w:highlight w:val="none"/>
        </w:rPr>
        <w:t>4</w:t>
      </w:r>
      <w:r>
        <w:rPr>
          <w:color w:val="auto"/>
          <w:sz w:val="21"/>
          <w:szCs w:val="24"/>
          <w:highlight w:val="none"/>
        </w:rPr>
        <w:fldChar w:fldCharType="end"/>
      </w:r>
      <w:r>
        <w:rPr>
          <w:rFonts w:ascii="宋体" w:hAnsi="宋体"/>
          <w:color w:val="auto"/>
          <w:sz w:val="21"/>
          <w:szCs w:val="24"/>
          <w:highlight w:val="none"/>
        </w:rPr>
        <w:fldChar w:fldCharType="end"/>
      </w:r>
    </w:p>
    <w:p w14:paraId="14819C62">
      <w:pPr>
        <w:pStyle w:val="24"/>
        <w:tabs>
          <w:tab w:val="right" w:leader="dot" w:pos="9638"/>
          <w:tab w:val="clear" w:pos="8296"/>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_Toc9701 </w:instrText>
      </w:r>
      <w:r>
        <w:rPr>
          <w:rFonts w:ascii="宋体" w:hAnsi="宋体"/>
          <w:color w:val="auto"/>
          <w:sz w:val="21"/>
          <w:szCs w:val="24"/>
          <w:highlight w:val="none"/>
        </w:rPr>
        <w:fldChar w:fldCharType="separate"/>
      </w:r>
      <w:r>
        <w:rPr>
          <w:rFonts w:hint="eastAsia" w:ascii="宋体" w:hAnsi="宋体"/>
          <w:color w:val="auto"/>
          <w:sz w:val="21"/>
          <w:szCs w:val="32"/>
          <w:highlight w:val="none"/>
        </w:rPr>
        <w:t>供应商须知正文</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_Toc9701 \h </w:instrText>
      </w:r>
      <w:r>
        <w:rPr>
          <w:color w:val="auto"/>
          <w:sz w:val="21"/>
          <w:szCs w:val="24"/>
          <w:highlight w:val="none"/>
        </w:rPr>
        <w:fldChar w:fldCharType="separate"/>
      </w:r>
      <w:r>
        <w:rPr>
          <w:color w:val="auto"/>
          <w:sz w:val="21"/>
          <w:szCs w:val="24"/>
          <w:highlight w:val="none"/>
        </w:rPr>
        <w:t>10</w:t>
      </w:r>
      <w:r>
        <w:rPr>
          <w:color w:val="auto"/>
          <w:sz w:val="21"/>
          <w:szCs w:val="24"/>
          <w:highlight w:val="none"/>
        </w:rPr>
        <w:fldChar w:fldCharType="end"/>
      </w:r>
      <w:r>
        <w:rPr>
          <w:rFonts w:ascii="宋体" w:hAnsi="宋体"/>
          <w:color w:val="auto"/>
          <w:sz w:val="21"/>
          <w:szCs w:val="24"/>
          <w:highlight w:val="none"/>
        </w:rPr>
        <w:fldChar w:fldCharType="end"/>
      </w:r>
    </w:p>
    <w:p w14:paraId="17B00F8F">
      <w:pPr>
        <w:pStyle w:val="24"/>
        <w:tabs>
          <w:tab w:val="right" w:leader="dot" w:pos="9638"/>
          <w:tab w:val="clear" w:pos="8296"/>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_Toc23357 </w:instrText>
      </w:r>
      <w:r>
        <w:rPr>
          <w:rFonts w:ascii="宋体" w:hAnsi="宋体"/>
          <w:color w:val="auto"/>
          <w:sz w:val="21"/>
          <w:szCs w:val="24"/>
          <w:highlight w:val="none"/>
        </w:rPr>
        <w:fldChar w:fldCharType="separate"/>
      </w:r>
      <w:r>
        <w:rPr>
          <w:rFonts w:hint="eastAsia" w:ascii="宋体" w:hAnsi="宋体"/>
          <w:color w:val="auto"/>
          <w:sz w:val="21"/>
          <w:szCs w:val="32"/>
          <w:highlight w:val="none"/>
        </w:rPr>
        <w:t>一、总则</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_Toc23357 \h </w:instrText>
      </w:r>
      <w:r>
        <w:rPr>
          <w:color w:val="auto"/>
          <w:sz w:val="21"/>
          <w:szCs w:val="24"/>
          <w:highlight w:val="none"/>
        </w:rPr>
        <w:fldChar w:fldCharType="separate"/>
      </w:r>
      <w:r>
        <w:rPr>
          <w:color w:val="auto"/>
          <w:sz w:val="21"/>
          <w:szCs w:val="24"/>
          <w:highlight w:val="none"/>
        </w:rPr>
        <w:t>10</w:t>
      </w:r>
      <w:r>
        <w:rPr>
          <w:color w:val="auto"/>
          <w:sz w:val="21"/>
          <w:szCs w:val="24"/>
          <w:highlight w:val="none"/>
        </w:rPr>
        <w:fldChar w:fldCharType="end"/>
      </w:r>
      <w:r>
        <w:rPr>
          <w:rFonts w:ascii="宋体" w:hAnsi="宋体"/>
          <w:color w:val="auto"/>
          <w:sz w:val="21"/>
          <w:szCs w:val="24"/>
          <w:highlight w:val="none"/>
        </w:rPr>
        <w:fldChar w:fldCharType="end"/>
      </w:r>
    </w:p>
    <w:p w14:paraId="48C24F4A">
      <w:pPr>
        <w:pStyle w:val="24"/>
        <w:tabs>
          <w:tab w:val="right" w:leader="dot" w:pos="9638"/>
          <w:tab w:val="clear" w:pos="8296"/>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_Toc20718 </w:instrText>
      </w:r>
      <w:r>
        <w:rPr>
          <w:rFonts w:ascii="宋体" w:hAnsi="宋体"/>
          <w:color w:val="auto"/>
          <w:sz w:val="21"/>
          <w:szCs w:val="24"/>
          <w:highlight w:val="none"/>
        </w:rPr>
        <w:fldChar w:fldCharType="separate"/>
      </w:r>
      <w:r>
        <w:rPr>
          <w:rFonts w:hint="eastAsia" w:ascii="宋体" w:hAnsi="宋体"/>
          <w:bCs/>
          <w:color w:val="auto"/>
          <w:sz w:val="21"/>
          <w:szCs w:val="32"/>
          <w:highlight w:val="none"/>
        </w:rPr>
        <w:t>二、磋商文件</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_Toc20718 \h </w:instrText>
      </w:r>
      <w:r>
        <w:rPr>
          <w:color w:val="auto"/>
          <w:sz w:val="21"/>
          <w:szCs w:val="24"/>
          <w:highlight w:val="none"/>
        </w:rPr>
        <w:fldChar w:fldCharType="separate"/>
      </w:r>
      <w:r>
        <w:rPr>
          <w:color w:val="auto"/>
          <w:sz w:val="21"/>
          <w:szCs w:val="24"/>
          <w:highlight w:val="none"/>
        </w:rPr>
        <w:t>12</w:t>
      </w:r>
      <w:r>
        <w:rPr>
          <w:color w:val="auto"/>
          <w:sz w:val="21"/>
          <w:szCs w:val="24"/>
          <w:highlight w:val="none"/>
        </w:rPr>
        <w:fldChar w:fldCharType="end"/>
      </w:r>
      <w:r>
        <w:rPr>
          <w:rFonts w:ascii="宋体" w:hAnsi="宋体"/>
          <w:color w:val="auto"/>
          <w:sz w:val="21"/>
          <w:szCs w:val="24"/>
          <w:highlight w:val="none"/>
        </w:rPr>
        <w:fldChar w:fldCharType="end"/>
      </w:r>
    </w:p>
    <w:p w14:paraId="34E6146A">
      <w:pPr>
        <w:pStyle w:val="24"/>
        <w:tabs>
          <w:tab w:val="right" w:leader="dot" w:pos="9638"/>
          <w:tab w:val="clear" w:pos="8296"/>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_Toc8481 </w:instrText>
      </w:r>
      <w:r>
        <w:rPr>
          <w:rFonts w:ascii="宋体" w:hAnsi="宋体"/>
          <w:color w:val="auto"/>
          <w:sz w:val="21"/>
          <w:szCs w:val="24"/>
          <w:highlight w:val="none"/>
        </w:rPr>
        <w:fldChar w:fldCharType="separate"/>
      </w:r>
      <w:r>
        <w:rPr>
          <w:rFonts w:hint="eastAsia" w:ascii="宋体" w:hAnsi="宋体"/>
          <w:bCs/>
          <w:color w:val="auto"/>
          <w:sz w:val="21"/>
          <w:szCs w:val="32"/>
          <w:highlight w:val="none"/>
        </w:rPr>
        <w:t>三、响应文件的编制</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_Toc8481 \h </w:instrText>
      </w:r>
      <w:r>
        <w:rPr>
          <w:color w:val="auto"/>
          <w:sz w:val="21"/>
          <w:szCs w:val="24"/>
          <w:highlight w:val="none"/>
        </w:rPr>
        <w:fldChar w:fldCharType="separate"/>
      </w:r>
      <w:r>
        <w:rPr>
          <w:color w:val="auto"/>
          <w:sz w:val="21"/>
          <w:szCs w:val="24"/>
          <w:highlight w:val="none"/>
        </w:rPr>
        <w:t>13</w:t>
      </w:r>
      <w:r>
        <w:rPr>
          <w:color w:val="auto"/>
          <w:sz w:val="21"/>
          <w:szCs w:val="24"/>
          <w:highlight w:val="none"/>
        </w:rPr>
        <w:fldChar w:fldCharType="end"/>
      </w:r>
      <w:r>
        <w:rPr>
          <w:rFonts w:ascii="宋体" w:hAnsi="宋体"/>
          <w:color w:val="auto"/>
          <w:sz w:val="21"/>
          <w:szCs w:val="24"/>
          <w:highlight w:val="none"/>
        </w:rPr>
        <w:fldChar w:fldCharType="end"/>
      </w:r>
    </w:p>
    <w:p w14:paraId="188010F8">
      <w:pPr>
        <w:pStyle w:val="24"/>
        <w:tabs>
          <w:tab w:val="right" w:leader="dot" w:pos="9638"/>
          <w:tab w:val="clear" w:pos="8296"/>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_Toc24579 </w:instrText>
      </w:r>
      <w:r>
        <w:rPr>
          <w:rFonts w:ascii="宋体" w:hAnsi="宋体"/>
          <w:color w:val="auto"/>
          <w:sz w:val="21"/>
          <w:szCs w:val="24"/>
          <w:highlight w:val="none"/>
        </w:rPr>
        <w:fldChar w:fldCharType="separate"/>
      </w:r>
      <w:r>
        <w:rPr>
          <w:rFonts w:hint="eastAsia" w:ascii="宋体" w:hAnsi="宋体"/>
          <w:bCs/>
          <w:color w:val="auto"/>
          <w:sz w:val="21"/>
          <w:szCs w:val="32"/>
          <w:highlight w:val="none"/>
        </w:rPr>
        <w:t>四、评审及磋商</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_Toc24579 \h </w:instrText>
      </w:r>
      <w:r>
        <w:rPr>
          <w:color w:val="auto"/>
          <w:sz w:val="21"/>
          <w:szCs w:val="24"/>
          <w:highlight w:val="none"/>
        </w:rPr>
        <w:fldChar w:fldCharType="separate"/>
      </w:r>
      <w:r>
        <w:rPr>
          <w:color w:val="auto"/>
          <w:sz w:val="21"/>
          <w:szCs w:val="24"/>
          <w:highlight w:val="none"/>
        </w:rPr>
        <w:t>16</w:t>
      </w:r>
      <w:r>
        <w:rPr>
          <w:color w:val="auto"/>
          <w:sz w:val="21"/>
          <w:szCs w:val="24"/>
          <w:highlight w:val="none"/>
        </w:rPr>
        <w:fldChar w:fldCharType="end"/>
      </w:r>
      <w:r>
        <w:rPr>
          <w:rFonts w:ascii="宋体" w:hAnsi="宋体"/>
          <w:color w:val="auto"/>
          <w:sz w:val="21"/>
          <w:szCs w:val="24"/>
          <w:highlight w:val="none"/>
        </w:rPr>
        <w:fldChar w:fldCharType="end"/>
      </w:r>
    </w:p>
    <w:p w14:paraId="07A6BBFB">
      <w:pPr>
        <w:pStyle w:val="2"/>
        <w:tabs>
          <w:tab w:val="right" w:leader="dot" w:pos="9638"/>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_Toc23562 </w:instrText>
      </w:r>
      <w:r>
        <w:rPr>
          <w:rFonts w:ascii="宋体" w:hAnsi="宋体"/>
          <w:color w:val="auto"/>
          <w:sz w:val="21"/>
          <w:szCs w:val="24"/>
          <w:highlight w:val="none"/>
        </w:rPr>
        <w:fldChar w:fldCharType="separate"/>
      </w:r>
      <w:r>
        <w:rPr>
          <w:rFonts w:hint="eastAsia"/>
          <w:color w:val="auto"/>
          <w:sz w:val="21"/>
          <w:szCs w:val="24"/>
          <w:highlight w:val="none"/>
        </w:rPr>
        <w:t>第三章 采购需求</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_Toc23562 \h </w:instrText>
      </w:r>
      <w:r>
        <w:rPr>
          <w:color w:val="auto"/>
          <w:sz w:val="21"/>
          <w:szCs w:val="24"/>
          <w:highlight w:val="none"/>
        </w:rPr>
        <w:fldChar w:fldCharType="separate"/>
      </w:r>
      <w:r>
        <w:rPr>
          <w:color w:val="auto"/>
          <w:sz w:val="21"/>
          <w:szCs w:val="24"/>
          <w:highlight w:val="none"/>
        </w:rPr>
        <w:t>22</w:t>
      </w:r>
      <w:r>
        <w:rPr>
          <w:color w:val="auto"/>
          <w:sz w:val="21"/>
          <w:szCs w:val="24"/>
          <w:highlight w:val="none"/>
        </w:rPr>
        <w:fldChar w:fldCharType="end"/>
      </w:r>
      <w:r>
        <w:rPr>
          <w:rFonts w:ascii="宋体" w:hAnsi="宋体"/>
          <w:color w:val="auto"/>
          <w:sz w:val="21"/>
          <w:szCs w:val="24"/>
          <w:highlight w:val="none"/>
        </w:rPr>
        <w:fldChar w:fldCharType="end"/>
      </w:r>
    </w:p>
    <w:p w14:paraId="4E7AB60A">
      <w:pPr>
        <w:pStyle w:val="2"/>
        <w:tabs>
          <w:tab w:val="right" w:leader="dot" w:pos="9638"/>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_Toc4352 </w:instrText>
      </w:r>
      <w:r>
        <w:rPr>
          <w:rFonts w:ascii="宋体" w:hAnsi="宋体"/>
          <w:color w:val="auto"/>
          <w:sz w:val="21"/>
          <w:szCs w:val="24"/>
          <w:highlight w:val="none"/>
        </w:rPr>
        <w:fldChar w:fldCharType="separate"/>
      </w:r>
      <w:r>
        <w:rPr>
          <w:rFonts w:hint="eastAsia"/>
          <w:color w:val="auto"/>
          <w:sz w:val="21"/>
          <w:szCs w:val="24"/>
          <w:highlight w:val="none"/>
        </w:rPr>
        <w:t>第四章  评审程序、评审方法和评审标准</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_Toc4352 \h </w:instrText>
      </w:r>
      <w:r>
        <w:rPr>
          <w:color w:val="auto"/>
          <w:sz w:val="21"/>
          <w:szCs w:val="24"/>
          <w:highlight w:val="none"/>
        </w:rPr>
        <w:fldChar w:fldCharType="separate"/>
      </w:r>
      <w:r>
        <w:rPr>
          <w:color w:val="auto"/>
          <w:sz w:val="21"/>
          <w:szCs w:val="24"/>
          <w:highlight w:val="none"/>
        </w:rPr>
        <w:t>29</w:t>
      </w:r>
      <w:r>
        <w:rPr>
          <w:color w:val="auto"/>
          <w:sz w:val="21"/>
          <w:szCs w:val="24"/>
          <w:highlight w:val="none"/>
        </w:rPr>
        <w:fldChar w:fldCharType="end"/>
      </w:r>
      <w:r>
        <w:rPr>
          <w:rFonts w:ascii="宋体" w:hAnsi="宋体"/>
          <w:color w:val="auto"/>
          <w:sz w:val="21"/>
          <w:szCs w:val="24"/>
          <w:highlight w:val="none"/>
        </w:rPr>
        <w:fldChar w:fldCharType="end"/>
      </w:r>
    </w:p>
    <w:p w14:paraId="74D4FE0B">
      <w:pPr>
        <w:pStyle w:val="2"/>
        <w:tabs>
          <w:tab w:val="right" w:leader="dot" w:pos="9638"/>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_Toc31118 </w:instrText>
      </w:r>
      <w:r>
        <w:rPr>
          <w:rFonts w:ascii="宋体" w:hAnsi="宋体"/>
          <w:color w:val="auto"/>
          <w:sz w:val="21"/>
          <w:szCs w:val="24"/>
          <w:highlight w:val="none"/>
        </w:rPr>
        <w:fldChar w:fldCharType="separate"/>
      </w:r>
      <w:r>
        <w:rPr>
          <w:rFonts w:hint="eastAsia"/>
          <w:color w:val="auto"/>
          <w:sz w:val="21"/>
          <w:szCs w:val="24"/>
          <w:highlight w:val="none"/>
        </w:rPr>
        <w:t>第五章 响应文件格式</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_Toc31118 \h </w:instrText>
      </w:r>
      <w:r>
        <w:rPr>
          <w:color w:val="auto"/>
          <w:sz w:val="21"/>
          <w:szCs w:val="24"/>
          <w:highlight w:val="none"/>
        </w:rPr>
        <w:fldChar w:fldCharType="separate"/>
      </w:r>
      <w:r>
        <w:rPr>
          <w:color w:val="auto"/>
          <w:sz w:val="21"/>
          <w:szCs w:val="24"/>
          <w:highlight w:val="none"/>
        </w:rPr>
        <w:t>40</w:t>
      </w:r>
      <w:r>
        <w:rPr>
          <w:color w:val="auto"/>
          <w:sz w:val="21"/>
          <w:szCs w:val="24"/>
          <w:highlight w:val="none"/>
        </w:rPr>
        <w:fldChar w:fldCharType="end"/>
      </w:r>
      <w:r>
        <w:rPr>
          <w:rFonts w:ascii="宋体" w:hAnsi="宋体"/>
          <w:color w:val="auto"/>
          <w:sz w:val="21"/>
          <w:szCs w:val="24"/>
          <w:highlight w:val="none"/>
        </w:rPr>
        <w:fldChar w:fldCharType="end"/>
      </w:r>
    </w:p>
    <w:p w14:paraId="7CA6C0F1">
      <w:pPr>
        <w:pStyle w:val="2"/>
        <w:tabs>
          <w:tab w:val="right" w:leader="dot" w:pos="9638"/>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_Toc17843 </w:instrText>
      </w:r>
      <w:r>
        <w:rPr>
          <w:rFonts w:ascii="宋体" w:hAnsi="宋体"/>
          <w:color w:val="auto"/>
          <w:sz w:val="21"/>
          <w:szCs w:val="24"/>
          <w:highlight w:val="none"/>
        </w:rPr>
        <w:fldChar w:fldCharType="separate"/>
      </w:r>
      <w:r>
        <w:rPr>
          <w:rFonts w:hint="eastAsia"/>
          <w:color w:val="auto"/>
          <w:sz w:val="21"/>
          <w:szCs w:val="24"/>
          <w:highlight w:val="none"/>
        </w:rPr>
        <w:t>第六章 合同文本</w:t>
      </w:r>
      <w:r>
        <w:rPr>
          <w:rFonts w:hint="eastAsia"/>
          <w:color w:val="auto"/>
          <w:sz w:val="21"/>
          <w:szCs w:val="24"/>
          <w:highlight w:val="none"/>
          <w:lang w:eastAsia="zh-CN"/>
        </w:rPr>
        <w:t>（</w:t>
      </w:r>
      <w:r>
        <w:rPr>
          <w:rFonts w:hint="eastAsia"/>
          <w:color w:val="auto"/>
          <w:sz w:val="21"/>
          <w:szCs w:val="24"/>
          <w:highlight w:val="none"/>
          <w:lang w:val="en-US" w:eastAsia="zh-CN"/>
        </w:rPr>
        <w:t>格式</w:t>
      </w:r>
      <w:r>
        <w:rPr>
          <w:rFonts w:hint="eastAsia"/>
          <w:color w:val="auto"/>
          <w:sz w:val="21"/>
          <w:szCs w:val="24"/>
          <w:highlight w:val="none"/>
          <w:lang w:eastAsia="zh-CN"/>
        </w:rPr>
        <w:t>）</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_Toc17843 \h </w:instrText>
      </w:r>
      <w:r>
        <w:rPr>
          <w:color w:val="auto"/>
          <w:sz w:val="21"/>
          <w:szCs w:val="24"/>
          <w:highlight w:val="none"/>
        </w:rPr>
        <w:fldChar w:fldCharType="separate"/>
      </w:r>
      <w:r>
        <w:rPr>
          <w:color w:val="auto"/>
          <w:sz w:val="21"/>
          <w:szCs w:val="24"/>
          <w:highlight w:val="none"/>
        </w:rPr>
        <w:t>68</w:t>
      </w:r>
      <w:r>
        <w:rPr>
          <w:color w:val="auto"/>
          <w:sz w:val="21"/>
          <w:szCs w:val="24"/>
          <w:highlight w:val="none"/>
        </w:rPr>
        <w:fldChar w:fldCharType="end"/>
      </w:r>
      <w:r>
        <w:rPr>
          <w:rFonts w:ascii="宋体" w:hAnsi="宋体"/>
          <w:color w:val="auto"/>
          <w:sz w:val="21"/>
          <w:szCs w:val="24"/>
          <w:highlight w:val="none"/>
        </w:rPr>
        <w:fldChar w:fldCharType="end"/>
      </w:r>
    </w:p>
    <w:p w14:paraId="76E2F3AC">
      <w:pPr>
        <w:pStyle w:val="2"/>
        <w:tabs>
          <w:tab w:val="right" w:leader="dot" w:pos="9638"/>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_Toc26970 </w:instrText>
      </w:r>
      <w:r>
        <w:rPr>
          <w:rFonts w:ascii="宋体" w:hAnsi="宋体"/>
          <w:color w:val="auto"/>
          <w:sz w:val="21"/>
          <w:szCs w:val="24"/>
          <w:highlight w:val="none"/>
        </w:rPr>
        <w:fldChar w:fldCharType="separate"/>
      </w:r>
      <w:r>
        <w:rPr>
          <w:rFonts w:hint="eastAsia" w:ascii="宋体" w:hAnsi="宋体" w:cs="宋体"/>
          <w:color w:val="auto"/>
          <w:sz w:val="21"/>
          <w:szCs w:val="24"/>
          <w:highlight w:val="none"/>
        </w:rPr>
        <w:t>第</w:t>
      </w:r>
      <w:r>
        <w:rPr>
          <w:rFonts w:hint="eastAsia" w:ascii="宋体" w:hAnsi="宋体" w:cs="宋体"/>
          <w:color w:val="auto"/>
          <w:sz w:val="21"/>
          <w:szCs w:val="24"/>
          <w:highlight w:val="none"/>
          <w:lang w:val="en-US" w:eastAsia="zh-CN"/>
        </w:rPr>
        <w:t>七章</w:t>
      </w:r>
      <w:r>
        <w:rPr>
          <w:rFonts w:hint="eastAsia" w:ascii="宋体" w:hAnsi="宋体" w:cs="宋体"/>
          <w:color w:val="auto"/>
          <w:sz w:val="21"/>
          <w:szCs w:val="24"/>
          <w:highlight w:val="none"/>
        </w:rPr>
        <w:t xml:space="preserve"> 质疑、投诉材料格式</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_Toc26970 \h </w:instrText>
      </w:r>
      <w:r>
        <w:rPr>
          <w:color w:val="auto"/>
          <w:sz w:val="21"/>
          <w:szCs w:val="24"/>
          <w:highlight w:val="none"/>
        </w:rPr>
        <w:fldChar w:fldCharType="separate"/>
      </w:r>
      <w:r>
        <w:rPr>
          <w:color w:val="auto"/>
          <w:sz w:val="21"/>
          <w:szCs w:val="24"/>
          <w:highlight w:val="none"/>
        </w:rPr>
        <w:t>79</w:t>
      </w:r>
      <w:r>
        <w:rPr>
          <w:color w:val="auto"/>
          <w:sz w:val="21"/>
          <w:szCs w:val="24"/>
          <w:highlight w:val="none"/>
        </w:rPr>
        <w:fldChar w:fldCharType="end"/>
      </w:r>
      <w:r>
        <w:rPr>
          <w:rFonts w:ascii="宋体" w:hAnsi="宋体"/>
          <w:color w:val="auto"/>
          <w:sz w:val="21"/>
          <w:szCs w:val="24"/>
          <w:highlight w:val="none"/>
        </w:rPr>
        <w:fldChar w:fldCharType="end"/>
      </w:r>
    </w:p>
    <w:p w14:paraId="7F03BE96">
      <w:pPr>
        <w:pStyle w:val="2"/>
        <w:tabs>
          <w:tab w:val="right" w:leader="dot" w:pos="9638"/>
        </w:tabs>
        <w:spacing w:line="360" w:lineRule="auto"/>
        <w:rPr>
          <w:color w:val="auto"/>
          <w:sz w:val="21"/>
          <w:szCs w:val="24"/>
          <w:highlight w:val="none"/>
        </w:rPr>
      </w:pPr>
      <w:r>
        <w:rPr>
          <w:rFonts w:ascii="宋体" w:hAnsi="宋体"/>
          <w:color w:val="auto"/>
          <w:sz w:val="21"/>
          <w:szCs w:val="24"/>
          <w:highlight w:val="none"/>
        </w:rPr>
        <w:fldChar w:fldCharType="begin"/>
      </w:r>
      <w:r>
        <w:rPr>
          <w:rFonts w:ascii="宋体" w:hAnsi="宋体"/>
          <w:color w:val="auto"/>
          <w:sz w:val="21"/>
          <w:szCs w:val="24"/>
          <w:highlight w:val="none"/>
        </w:rPr>
        <w:instrText xml:space="preserve"> HYPERLINK \l _Toc30367 </w:instrText>
      </w:r>
      <w:r>
        <w:rPr>
          <w:rFonts w:ascii="宋体" w:hAnsi="宋体"/>
          <w:color w:val="auto"/>
          <w:sz w:val="21"/>
          <w:szCs w:val="24"/>
          <w:highlight w:val="none"/>
        </w:rPr>
        <w:fldChar w:fldCharType="separate"/>
      </w:r>
      <w:r>
        <w:rPr>
          <w:rFonts w:hint="eastAsia" w:ascii="宋体" w:hAnsi="宋体" w:eastAsia="宋体" w:cs="宋体"/>
          <w:bCs/>
          <w:color w:val="auto"/>
          <w:sz w:val="21"/>
          <w:szCs w:val="24"/>
          <w:highlight w:val="none"/>
        </w:rPr>
        <w:t>第</w:t>
      </w:r>
      <w:r>
        <w:rPr>
          <w:rFonts w:hint="eastAsia" w:ascii="宋体" w:hAnsi="宋体" w:eastAsia="宋体" w:cs="宋体"/>
          <w:bCs/>
          <w:color w:val="auto"/>
          <w:sz w:val="21"/>
          <w:szCs w:val="24"/>
          <w:highlight w:val="none"/>
          <w:lang w:val="en-US" w:eastAsia="zh-CN"/>
        </w:rPr>
        <w:t>八</w:t>
      </w:r>
      <w:r>
        <w:rPr>
          <w:rFonts w:hint="eastAsia" w:ascii="宋体" w:hAnsi="宋体" w:eastAsia="宋体" w:cs="宋体"/>
          <w:bCs/>
          <w:color w:val="auto"/>
          <w:sz w:val="21"/>
          <w:szCs w:val="24"/>
          <w:highlight w:val="none"/>
        </w:rPr>
        <w:t xml:space="preserve">章 </w:t>
      </w:r>
      <w:r>
        <w:rPr>
          <w:rFonts w:hint="eastAsia" w:ascii="宋体" w:hAnsi="宋体" w:eastAsia="宋体" w:cs="宋体"/>
          <w:bCs/>
          <w:color w:val="auto"/>
          <w:sz w:val="21"/>
          <w:szCs w:val="24"/>
          <w:highlight w:val="none"/>
          <w:lang w:val="en-US" w:eastAsia="zh-CN"/>
        </w:rPr>
        <w:t>工程量清单</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_Toc30367 \h </w:instrText>
      </w:r>
      <w:r>
        <w:rPr>
          <w:color w:val="auto"/>
          <w:sz w:val="21"/>
          <w:szCs w:val="24"/>
          <w:highlight w:val="none"/>
        </w:rPr>
        <w:fldChar w:fldCharType="separate"/>
      </w:r>
      <w:r>
        <w:rPr>
          <w:color w:val="auto"/>
          <w:sz w:val="21"/>
          <w:szCs w:val="24"/>
          <w:highlight w:val="none"/>
        </w:rPr>
        <w:t>83</w:t>
      </w:r>
      <w:r>
        <w:rPr>
          <w:color w:val="auto"/>
          <w:sz w:val="21"/>
          <w:szCs w:val="24"/>
          <w:highlight w:val="none"/>
        </w:rPr>
        <w:fldChar w:fldCharType="end"/>
      </w:r>
      <w:r>
        <w:rPr>
          <w:rFonts w:ascii="宋体" w:hAnsi="宋体"/>
          <w:color w:val="auto"/>
          <w:sz w:val="21"/>
          <w:szCs w:val="24"/>
          <w:highlight w:val="none"/>
        </w:rPr>
        <w:fldChar w:fldCharType="end"/>
      </w:r>
    </w:p>
    <w:p w14:paraId="1437BED1">
      <w:pPr>
        <w:pStyle w:val="24"/>
        <w:tabs>
          <w:tab w:val="right" w:leader="dot" w:pos="8931"/>
          <w:tab w:val="clear" w:pos="8296"/>
        </w:tabs>
        <w:snapToGrid w:val="0"/>
        <w:spacing w:line="360" w:lineRule="auto"/>
        <w:ind w:left="0" w:leftChars="0"/>
        <w:rPr>
          <w:rFonts w:hint="eastAsia" w:ascii="宋体" w:hAnsi="宋体"/>
          <w:b/>
          <w:color w:val="auto"/>
          <w:sz w:val="24"/>
          <w:highlight w:val="none"/>
        </w:rPr>
      </w:pPr>
      <w:r>
        <w:rPr>
          <w:rFonts w:ascii="宋体" w:hAnsi="宋体"/>
          <w:color w:val="auto"/>
          <w:sz w:val="21"/>
          <w:szCs w:val="24"/>
          <w:highlight w:val="none"/>
        </w:rPr>
        <w:fldChar w:fldCharType="end"/>
      </w:r>
    </w:p>
    <w:p w14:paraId="7CF6063A">
      <w:pPr>
        <w:spacing w:line="400" w:lineRule="exact"/>
        <w:jc w:val="left"/>
        <w:rPr>
          <w:rFonts w:hint="eastAsia" w:ascii="宋体" w:hAnsi="宋体"/>
          <w:b/>
          <w:color w:val="auto"/>
          <w:sz w:val="32"/>
          <w:szCs w:val="32"/>
          <w:highlight w:val="none"/>
        </w:rPr>
      </w:pPr>
    </w:p>
    <w:p w14:paraId="2C3D7ADE">
      <w:pPr>
        <w:spacing w:line="400" w:lineRule="exact"/>
        <w:jc w:val="center"/>
        <w:rPr>
          <w:rFonts w:hint="eastAsia" w:ascii="宋体" w:hAnsi="宋体"/>
          <w:b/>
          <w:color w:val="auto"/>
          <w:sz w:val="32"/>
          <w:szCs w:val="32"/>
          <w:highlight w:val="none"/>
        </w:rPr>
      </w:pPr>
    </w:p>
    <w:p w14:paraId="7FC350F6">
      <w:pPr>
        <w:spacing w:line="400" w:lineRule="exact"/>
        <w:jc w:val="center"/>
        <w:rPr>
          <w:rFonts w:hint="eastAsia" w:ascii="宋体" w:hAnsi="宋体"/>
          <w:b/>
          <w:color w:val="auto"/>
          <w:sz w:val="32"/>
          <w:szCs w:val="32"/>
          <w:highlight w:val="none"/>
        </w:rPr>
      </w:pPr>
    </w:p>
    <w:p w14:paraId="1D2DCDE3">
      <w:pPr>
        <w:spacing w:line="400" w:lineRule="exact"/>
        <w:jc w:val="center"/>
        <w:rPr>
          <w:rFonts w:hint="eastAsia" w:ascii="宋体" w:hAnsi="宋体"/>
          <w:b/>
          <w:color w:val="auto"/>
          <w:sz w:val="32"/>
          <w:szCs w:val="32"/>
          <w:highlight w:val="none"/>
        </w:rPr>
      </w:pPr>
    </w:p>
    <w:p w14:paraId="574F7F07">
      <w:pPr>
        <w:spacing w:line="400" w:lineRule="exact"/>
        <w:jc w:val="center"/>
        <w:rPr>
          <w:rFonts w:hint="eastAsia" w:ascii="宋体" w:hAnsi="宋体"/>
          <w:b/>
          <w:color w:val="auto"/>
          <w:sz w:val="32"/>
          <w:szCs w:val="32"/>
          <w:highlight w:val="none"/>
        </w:rPr>
      </w:pPr>
    </w:p>
    <w:p w14:paraId="5E8E558A">
      <w:pPr>
        <w:spacing w:line="400" w:lineRule="exact"/>
        <w:rPr>
          <w:rFonts w:hint="eastAsia"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134" w:right="1134" w:bottom="1134" w:left="1134" w:header="851" w:footer="992" w:gutter="0"/>
          <w:pgNumType w:start="0"/>
          <w:cols w:space="720" w:num="1"/>
          <w:titlePg/>
          <w:docGrid w:type="lines" w:linePitch="312" w:charSpace="0"/>
        </w:sectPr>
      </w:pPr>
    </w:p>
    <w:p w14:paraId="60CA7A13">
      <w:pPr>
        <w:pStyle w:val="3"/>
        <w:spacing w:line="240" w:lineRule="auto"/>
        <w:jc w:val="center"/>
        <w:rPr>
          <w:color w:val="auto"/>
          <w:highlight w:val="none"/>
        </w:rPr>
      </w:pPr>
      <w:bookmarkStart w:id="0" w:name="_Toc8014"/>
      <w:r>
        <w:rPr>
          <w:rFonts w:hint="eastAsia"/>
          <w:color w:val="auto"/>
          <w:highlight w:val="none"/>
        </w:rPr>
        <w:t>第一章 竞争性磋商公告</w:t>
      </w:r>
      <w:bookmarkEnd w:id="0"/>
    </w:p>
    <w:p w14:paraId="6BAB49C5">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b/>
          <w:bCs/>
          <w:color w:val="auto"/>
          <w:sz w:val="32"/>
          <w:szCs w:val="32"/>
          <w:highlight w:val="none"/>
        </w:rPr>
      </w:pPr>
      <w:r>
        <w:rPr>
          <w:rFonts w:hint="eastAsia" w:ascii="宋体" w:hAnsi="宋体"/>
          <w:b/>
          <w:bCs/>
          <w:color w:val="auto"/>
          <w:sz w:val="32"/>
          <w:szCs w:val="32"/>
          <w:highlight w:val="none"/>
          <w:lang w:eastAsia="zh-CN"/>
        </w:rPr>
        <w:t>广西建设工程机电设备招标中心有限公司</w:t>
      </w:r>
      <w:r>
        <w:rPr>
          <w:rFonts w:hint="eastAsia" w:ascii="宋体" w:hAnsi="宋体"/>
          <w:b/>
          <w:bCs/>
          <w:color w:val="auto"/>
          <w:sz w:val="32"/>
          <w:szCs w:val="32"/>
          <w:highlight w:val="none"/>
          <w:lang w:val="en-US" w:eastAsia="zh-CN"/>
        </w:rPr>
        <w:t>关于广西物流职业技术学院灾后装饰装修修缮项目</w:t>
      </w:r>
      <w:r>
        <w:rPr>
          <w:rFonts w:hint="eastAsia" w:ascii="宋体" w:hAnsi="宋体"/>
          <w:b/>
          <w:bCs/>
          <w:color w:val="auto"/>
          <w:sz w:val="32"/>
          <w:szCs w:val="32"/>
          <w:highlight w:val="none"/>
        </w:rPr>
        <w:t>竞争性磋商公告</w:t>
      </w:r>
    </w:p>
    <w:p w14:paraId="5E89EE85">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bookmarkStart w:id="1" w:name="_Hlk37430271"/>
      <w:r>
        <w:rPr>
          <w:rFonts w:hint="eastAsia" w:ascii="宋体" w:hAnsi="宋体"/>
          <w:color w:val="auto"/>
          <w:szCs w:val="21"/>
          <w:highlight w:val="none"/>
        </w:rPr>
        <w:t>项目概况</w:t>
      </w:r>
    </w:p>
    <w:p w14:paraId="6CCB8432">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广西物流职业技术学院灾后装饰装修修缮项目</w:t>
      </w:r>
      <w:r>
        <w:rPr>
          <w:rFonts w:hint="eastAsia" w:ascii="宋体" w:hAnsi="宋体"/>
          <w:color w:val="auto"/>
          <w:szCs w:val="21"/>
          <w:highlight w:val="none"/>
        </w:rPr>
        <w:t>的潜在供应商应在广西政府采购云平台（https://www.gcy.zfcg.gxzf.gov.cn/）获取（下载）竞争性磋商文件，并于</w:t>
      </w:r>
      <w:r>
        <w:rPr>
          <w:rFonts w:hint="eastAsia" w:ascii="宋体" w:hAnsi="宋体"/>
          <w:color w:val="auto"/>
          <w:szCs w:val="21"/>
          <w:highlight w:val="none"/>
          <w:u w:val="single"/>
        </w:rPr>
        <w:t xml:space="preserve"> </w:t>
      </w:r>
      <w:r>
        <w:rPr>
          <w:rFonts w:ascii="宋体" w:hAnsi="宋体"/>
          <w:color w:val="auto"/>
          <w:szCs w:val="21"/>
          <w:highlight w:val="none"/>
          <w:u w:val="single"/>
        </w:rPr>
        <w:t>202</w:t>
      </w:r>
      <w:r>
        <w:rPr>
          <w:rFonts w:hint="eastAsia" w:ascii="宋体" w:hAnsi="宋体"/>
          <w:color w:val="auto"/>
          <w:szCs w:val="21"/>
          <w:highlight w:val="none"/>
          <w:u w:val="single"/>
          <w:lang w:val="en-US" w:eastAsia="zh-CN"/>
        </w:rPr>
        <w:t>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9月1日</w:t>
      </w:r>
      <w:r>
        <w:rPr>
          <w:rFonts w:ascii="宋体" w:hAnsi="宋体"/>
          <w:bCs/>
          <w:color w:val="auto"/>
          <w:szCs w:val="21"/>
          <w:highlight w:val="none"/>
          <w:u w:val="single"/>
        </w:rPr>
        <w:t>9</w:t>
      </w:r>
      <w:r>
        <w:rPr>
          <w:rFonts w:hint="eastAsia" w:ascii="宋体" w:hAnsi="宋体"/>
          <w:bCs/>
          <w:color w:val="auto"/>
          <w:szCs w:val="21"/>
          <w:highlight w:val="none"/>
          <w:u w:val="single"/>
        </w:rPr>
        <w:t xml:space="preserve">时 </w:t>
      </w:r>
      <w:r>
        <w:rPr>
          <w:rFonts w:hint="eastAsia" w:ascii="宋体" w:hAnsi="宋体"/>
          <w:bCs/>
          <w:color w:val="auto"/>
          <w:szCs w:val="21"/>
          <w:highlight w:val="none"/>
          <w:u w:val="single"/>
          <w:lang w:val="en-US" w:eastAsia="zh-CN"/>
        </w:rPr>
        <w:t>3</w:t>
      </w:r>
      <w:r>
        <w:rPr>
          <w:rFonts w:ascii="宋体" w:hAnsi="宋体"/>
          <w:bCs/>
          <w:color w:val="auto"/>
          <w:szCs w:val="21"/>
          <w:highlight w:val="none"/>
          <w:u w:val="single"/>
        </w:rPr>
        <w:t>0</w:t>
      </w:r>
      <w:r>
        <w:rPr>
          <w:rFonts w:hint="eastAsia" w:ascii="宋体" w:hAnsi="宋体"/>
          <w:bCs/>
          <w:color w:val="auto"/>
          <w:szCs w:val="21"/>
          <w:highlight w:val="none"/>
          <w:u w:val="single"/>
        </w:rPr>
        <w:t>分（</w:t>
      </w:r>
      <w:r>
        <w:rPr>
          <w:rFonts w:hint="eastAsia" w:ascii="宋体" w:hAnsi="宋体"/>
          <w:bCs/>
          <w:color w:val="auto"/>
          <w:szCs w:val="21"/>
          <w:highlight w:val="none"/>
        </w:rPr>
        <w:t>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09C35F89">
      <w:pPr>
        <w:keepNext w:val="0"/>
        <w:keepLines w:val="0"/>
        <w:pageBreakBefore w:val="0"/>
        <w:kinsoku/>
        <w:wordWrap/>
        <w:overflowPunct/>
        <w:topLinePunct w:val="0"/>
        <w:autoSpaceDE/>
        <w:autoSpaceDN/>
        <w:bidi w:val="0"/>
        <w:adjustRightInd/>
        <w:spacing w:line="360" w:lineRule="auto"/>
        <w:ind w:firstLine="354" w:firstLineChars="147"/>
        <w:textAlignment w:val="auto"/>
        <w:rPr>
          <w:rFonts w:ascii="黑体" w:hAnsi="黑体" w:eastAsia="黑体"/>
          <w:b/>
          <w:color w:val="auto"/>
          <w:sz w:val="24"/>
          <w:highlight w:val="none"/>
        </w:rPr>
      </w:pPr>
      <w:bookmarkStart w:id="2" w:name="_Toc44229878"/>
      <w:bookmarkStart w:id="3" w:name="_Toc28359012"/>
      <w:bookmarkStart w:id="4" w:name="_Toc35393629"/>
      <w:bookmarkStart w:id="5" w:name="_Toc35393798"/>
      <w:bookmarkStart w:id="6" w:name="_Toc28359089"/>
      <w:bookmarkStart w:id="7" w:name="_Toc71365905"/>
      <w:r>
        <w:rPr>
          <w:rFonts w:hint="eastAsia" w:ascii="黑体" w:hAnsi="黑体" w:eastAsia="黑体"/>
          <w:b/>
          <w:color w:val="auto"/>
          <w:sz w:val="24"/>
          <w:highlight w:val="none"/>
        </w:rPr>
        <w:t>一、项目基本情况</w:t>
      </w:r>
      <w:bookmarkEnd w:id="2"/>
      <w:bookmarkEnd w:id="3"/>
      <w:bookmarkEnd w:id="4"/>
      <w:bookmarkEnd w:id="5"/>
      <w:bookmarkEnd w:id="6"/>
      <w:bookmarkEnd w:id="7"/>
    </w:p>
    <w:p w14:paraId="1CCD071D">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GXZC2026-C2-002777-JGJD</w:t>
      </w:r>
    </w:p>
    <w:p w14:paraId="38E66C7B">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ascii="宋体" w:hAnsi="宋体" w:eastAsia="宋体"/>
          <w:color w:val="auto"/>
          <w:szCs w:val="21"/>
          <w:highlight w:val="none"/>
          <w:u w:val="single"/>
          <w:lang w:eastAsia="zh-CN"/>
        </w:rPr>
      </w:pPr>
      <w:r>
        <w:rPr>
          <w:rFonts w:hint="eastAsia" w:ascii="宋体" w:hAnsi="宋体"/>
          <w:color w:val="auto"/>
          <w:szCs w:val="21"/>
          <w:highlight w:val="none"/>
        </w:rPr>
        <w:t>项目名称：</w:t>
      </w:r>
      <w:r>
        <w:rPr>
          <w:rFonts w:hint="eastAsia"/>
          <w:color w:val="auto"/>
          <w:highlight w:val="none"/>
          <w:lang w:eastAsia="zh-CN"/>
        </w:rPr>
        <w:t>广西物流职业技术学院灾后装饰装修修缮项目</w:t>
      </w:r>
    </w:p>
    <w:p w14:paraId="38F17981">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采购方式：竞争性磋商</w:t>
      </w:r>
    </w:p>
    <w:p w14:paraId="2B321049">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default" w:ascii="宋体" w:hAnsi="宋体"/>
          <w:color w:val="auto"/>
          <w:szCs w:val="21"/>
          <w:highlight w:val="none"/>
          <w:lang w:val="en-US"/>
        </w:rPr>
      </w:pPr>
      <w:r>
        <w:rPr>
          <w:rFonts w:hint="eastAsia" w:ascii="宋体" w:hAnsi="宋体"/>
          <w:color w:val="auto"/>
          <w:szCs w:val="21"/>
          <w:highlight w:val="none"/>
        </w:rPr>
        <w:t>预算金额</w:t>
      </w:r>
      <w:r>
        <w:rPr>
          <w:rFonts w:hint="eastAsia" w:ascii="宋体" w:hAnsi="宋体"/>
          <w:color w:val="auto"/>
          <w:szCs w:val="21"/>
          <w:highlight w:val="none"/>
          <w:lang w:eastAsia="zh-CN"/>
        </w:rPr>
        <w:t>（元）</w:t>
      </w:r>
      <w:r>
        <w:rPr>
          <w:rFonts w:hint="eastAsia" w:ascii="宋体" w:hAnsi="宋体"/>
          <w:color w:val="auto"/>
          <w:szCs w:val="21"/>
          <w:highlight w:val="none"/>
        </w:rPr>
        <w:t>：</w:t>
      </w:r>
      <w:r>
        <w:rPr>
          <w:rFonts w:hint="eastAsia" w:ascii="宋体" w:hAnsi="宋体"/>
          <w:color w:val="auto"/>
          <w:szCs w:val="21"/>
          <w:highlight w:val="none"/>
          <w:lang w:val="en-US" w:eastAsia="zh-CN"/>
        </w:rPr>
        <w:t>11316168.11</w:t>
      </w:r>
    </w:p>
    <w:p w14:paraId="7CC9B290">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最高限价</w:t>
      </w:r>
      <w:r>
        <w:rPr>
          <w:rFonts w:hint="eastAsia" w:ascii="宋体" w:hAnsi="宋体"/>
          <w:color w:val="auto"/>
          <w:szCs w:val="21"/>
          <w:highlight w:val="none"/>
          <w:lang w:eastAsia="zh-CN"/>
        </w:rPr>
        <w:t>（元）</w:t>
      </w:r>
      <w:r>
        <w:rPr>
          <w:rFonts w:hint="eastAsia" w:ascii="宋体" w:hAnsi="宋体"/>
          <w:color w:val="auto"/>
          <w:szCs w:val="21"/>
          <w:highlight w:val="none"/>
        </w:rPr>
        <w:t>：</w:t>
      </w:r>
      <w:r>
        <w:rPr>
          <w:rFonts w:hint="eastAsia" w:ascii="宋体" w:hAnsi="宋体"/>
          <w:color w:val="auto"/>
          <w:szCs w:val="21"/>
          <w:highlight w:val="none"/>
          <w:lang w:val="en-US" w:eastAsia="zh-CN"/>
        </w:rPr>
        <w:t>11316168.11</w:t>
      </w:r>
    </w:p>
    <w:p w14:paraId="33739845">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采购需求：</w:t>
      </w:r>
      <w:r>
        <w:rPr>
          <w:rFonts w:hint="eastAsia"/>
          <w:color w:val="auto"/>
          <w:highlight w:val="none"/>
          <w:lang w:eastAsia="zh-CN"/>
        </w:rPr>
        <w:t>广西物流职业技术学院灾后装饰装修修缮项目</w:t>
      </w:r>
      <w:r>
        <w:rPr>
          <w:rFonts w:hint="eastAsia"/>
          <w:color w:val="auto"/>
          <w:highlight w:val="none"/>
          <w:lang w:val="en-US" w:eastAsia="zh-CN"/>
        </w:rPr>
        <w:t>工程量清单范围内的全部工作</w:t>
      </w:r>
      <w:r>
        <w:rPr>
          <w:rFonts w:hint="eastAsia"/>
          <w:color w:val="auto"/>
          <w:highlight w:val="none"/>
          <w:lang w:eastAsia="zh-CN"/>
        </w:rPr>
        <w:t>，详见竞争性磋商文件</w:t>
      </w:r>
      <w:r>
        <w:rPr>
          <w:rFonts w:hint="eastAsia"/>
          <w:color w:val="auto"/>
          <w:highlight w:val="none"/>
          <w:lang w:val="en-US" w:eastAsia="zh-CN"/>
        </w:rPr>
        <w:t>及工程量清单</w:t>
      </w:r>
      <w:r>
        <w:rPr>
          <w:rFonts w:hint="eastAsia"/>
          <w:color w:val="auto"/>
          <w:highlight w:val="none"/>
          <w:lang w:eastAsia="zh-CN"/>
        </w:rPr>
        <w:t>。</w:t>
      </w:r>
    </w:p>
    <w:p w14:paraId="296007BA">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rPr>
        <w:t>合同履行期限：合同签订</w:t>
      </w:r>
      <w:r>
        <w:rPr>
          <w:rFonts w:hint="eastAsia" w:ascii="宋体" w:hAnsi="宋体"/>
          <w:color w:val="auto"/>
          <w:szCs w:val="21"/>
          <w:highlight w:val="none"/>
          <w:lang w:val="en-US" w:eastAsia="zh-CN"/>
        </w:rPr>
        <w:t>后自采购人发出开工通知</w:t>
      </w:r>
      <w:r>
        <w:rPr>
          <w:rFonts w:hint="eastAsia" w:ascii="宋体" w:hAnsi="宋体"/>
          <w:color w:val="auto"/>
          <w:szCs w:val="21"/>
          <w:highlight w:val="none"/>
        </w:rPr>
        <w:t xml:space="preserve">之日起 </w:t>
      </w:r>
      <w:r>
        <w:rPr>
          <w:rFonts w:hint="eastAsia" w:ascii="宋体" w:hAnsi="宋体"/>
          <w:color w:val="auto"/>
          <w:szCs w:val="21"/>
          <w:highlight w:val="none"/>
          <w:lang w:eastAsia="zh-CN"/>
        </w:rPr>
        <w:t>25</w:t>
      </w:r>
      <w:r>
        <w:rPr>
          <w:rFonts w:hint="eastAsia" w:ascii="宋体" w:hAnsi="宋体"/>
          <w:color w:val="auto"/>
          <w:szCs w:val="21"/>
          <w:highlight w:val="none"/>
        </w:rPr>
        <w:t xml:space="preserve"> 个日历天</w:t>
      </w:r>
      <w:r>
        <w:rPr>
          <w:rFonts w:hint="eastAsia" w:ascii="宋体" w:hAnsi="宋体"/>
          <w:color w:val="auto"/>
          <w:szCs w:val="21"/>
          <w:highlight w:val="none"/>
          <w:lang w:eastAsia="zh-CN"/>
        </w:rPr>
        <w:t>内完成工程量清范围内全部工作并通过验收、交付使用</w:t>
      </w:r>
      <w:r>
        <w:rPr>
          <w:rFonts w:hint="eastAsia" w:ascii="宋体" w:hAnsi="宋体"/>
          <w:color w:val="auto"/>
          <w:szCs w:val="21"/>
          <w:highlight w:val="none"/>
          <w:lang w:val="en-US" w:eastAsia="zh-CN"/>
        </w:rPr>
        <w:t>。</w:t>
      </w:r>
    </w:p>
    <w:p w14:paraId="121BBA71">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本项目不接受联合体</w:t>
      </w:r>
      <w:r>
        <w:rPr>
          <w:rFonts w:hint="eastAsia" w:ascii="宋体" w:hAnsi="宋体"/>
          <w:color w:val="auto"/>
          <w:szCs w:val="21"/>
          <w:highlight w:val="none"/>
          <w:lang w:eastAsia="zh-CN"/>
        </w:rPr>
        <w:t>竞标</w:t>
      </w:r>
      <w:r>
        <w:rPr>
          <w:rFonts w:hint="eastAsia" w:ascii="宋体" w:hAnsi="宋体"/>
          <w:color w:val="auto"/>
          <w:szCs w:val="21"/>
          <w:highlight w:val="none"/>
        </w:rPr>
        <w:t>。</w:t>
      </w:r>
    </w:p>
    <w:p w14:paraId="121D4BCF">
      <w:pPr>
        <w:keepNext w:val="0"/>
        <w:keepLines w:val="0"/>
        <w:pageBreakBefore w:val="0"/>
        <w:kinsoku/>
        <w:wordWrap/>
        <w:overflowPunct/>
        <w:topLinePunct w:val="0"/>
        <w:autoSpaceDE/>
        <w:autoSpaceDN/>
        <w:bidi w:val="0"/>
        <w:adjustRightInd/>
        <w:spacing w:line="336" w:lineRule="auto"/>
        <w:ind w:firstLine="354" w:firstLineChars="147"/>
        <w:textAlignment w:val="auto"/>
        <w:rPr>
          <w:rFonts w:ascii="黑体" w:hAnsi="黑体" w:eastAsia="黑体"/>
          <w:b/>
          <w:color w:val="auto"/>
          <w:sz w:val="24"/>
          <w:highlight w:val="none"/>
        </w:rPr>
      </w:pPr>
      <w:bookmarkStart w:id="8" w:name="_Toc35393630"/>
      <w:bookmarkStart w:id="9" w:name="_Toc71365906"/>
      <w:bookmarkStart w:id="10" w:name="_Toc44229879"/>
      <w:bookmarkStart w:id="11" w:name="_Toc28359090"/>
      <w:bookmarkStart w:id="12" w:name="_Toc28359013"/>
      <w:bookmarkStart w:id="13" w:name="_Toc35393799"/>
      <w:r>
        <w:rPr>
          <w:rFonts w:hint="eastAsia" w:ascii="黑体" w:hAnsi="黑体" w:eastAsia="黑体"/>
          <w:b/>
          <w:color w:val="auto"/>
          <w:sz w:val="24"/>
          <w:highlight w:val="none"/>
        </w:rPr>
        <w:t>二、申请人的资格条件：</w:t>
      </w:r>
      <w:bookmarkEnd w:id="8"/>
      <w:bookmarkEnd w:id="9"/>
      <w:bookmarkEnd w:id="10"/>
      <w:bookmarkEnd w:id="11"/>
      <w:bookmarkEnd w:id="12"/>
      <w:bookmarkEnd w:id="13"/>
    </w:p>
    <w:p w14:paraId="165619C0">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olor w:val="auto"/>
          <w:szCs w:val="21"/>
          <w:highlight w:val="none"/>
        </w:rPr>
      </w:pPr>
      <w:bookmarkStart w:id="14" w:name="_Toc28359091"/>
      <w:bookmarkStart w:id="15" w:name="_Toc35393631"/>
      <w:bookmarkStart w:id="16" w:name="_Toc44229880"/>
      <w:bookmarkStart w:id="17" w:name="_Toc28359014"/>
      <w:bookmarkStart w:id="18" w:name="_Toc35393800"/>
      <w:r>
        <w:rPr>
          <w:rFonts w:hint="eastAsia" w:ascii="宋体" w:hAnsi="宋体"/>
          <w:color w:val="auto"/>
          <w:szCs w:val="21"/>
          <w:highlight w:val="none"/>
        </w:rPr>
        <w:t>1.满足《中华人民共和国政府采购法》第二十二条规定；</w:t>
      </w:r>
    </w:p>
    <w:p w14:paraId="1FABEF8A">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r>
        <w:rPr>
          <w:rFonts w:hint="eastAsia" w:ascii="宋体" w:hAnsi="宋体"/>
          <w:color w:val="auto"/>
          <w:szCs w:val="21"/>
          <w:highlight w:val="none"/>
          <w:lang w:val="en-US" w:eastAsia="zh-CN"/>
        </w:rPr>
        <w:t>本项目专门面向中小企业采购</w:t>
      </w:r>
      <w:r>
        <w:rPr>
          <w:rFonts w:hint="eastAsia" w:ascii="宋体" w:hAnsi="宋体" w:eastAsia="宋体" w:cs="Times New Roman"/>
          <w:color w:val="auto"/>
          <w:szCs w:val="21"/>
          <w:highlight w:val="none"/>
        </w:rPr>
        <w:t>（供应商应为中小微企业、监狱企业、残疾人福利性单位)</w:t>
      </w:r>
    </w:p>
    <w:p w14:paraId="16DC2672">
      <w:pPr>
        <w:spacing w:line="336"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3.本项目的特定资格要求：</w:t>
      </w:r>
      <w:r>
        <w:rPr>
          <w:rFonts w:hint="eastAsia" w:ascii="宋体" w:hAnsi="宋体"/>
          <w:color w:val="auto"/>
          <w:szCs w:val="21"/>
          <w:highlight w:val="none"/>
          <w:u w:val="single"/>
        </w:rPr>
        <w:t>（1）磋商供应商须具备</w:t>
      </w:r>
      <w:r>
        <w:rPr>
          <w:rFonts w:hint="eastAsia" w:ascii="宋体" w:hAnsi="宋体"/>
          <w:color w:val="auto"/>
          <w:szCs w:val="21"/>
          <w:highlight w:val="none"/>
          <w:u w:val="single"/>
          <w:lang w:eastAsia="zh-CN"/>
        </w:rPr>
        <w:t>建筑装修装饰工程专业承包</w:t>
      </w:r>
      <w:r>
        <w:rPr>
          <w:rFonts w:hint="eastAsia" w:ascii="宋体" w:hAnsi="宋体" w:cs="宋体"/>
          <w:color w:val="auto"/>
          <w:spacing w:val="2"/>
          <w:szCs w:val="21"/>
          <w:highlight w:val="none"/>
          <w:u w:val="single"/>
          <w:lang w:eastAsia="zh-CN"/>
        </w:rPr>
        <w:t>二级或以上</w:t>
      </w:r>
      <w:r>
        <w:rPr>
          <w:rFonts w:hint="eastAsia" w:ascii="宋体" w:hAnsi="宋体" w:cs="宋体"/>
          <w:color w:val="auto"/>
          <w:spacing w:val="2"/>
          <w:szCs w:val="21"/>
          <w:highlight w:val="none"/>
          <w:u w:val="single"/>
        </w:rPr>
        <w:t>资质</w:t>
      </w:r>
      <w:r>
        <w:rPr>
          <w:rFonts w:hint="eastAsia" w:ascii="宋体" w:hAnsi="宋体"/>
          <w:color w:val="auto"/>
          <w:szCs w:val="21"/>
          <w:highlight w:val="none"/>
          <w:u w:val="single"/>
        </w:rPr>
        <w:t>，并在人员、设备、资金等方面具备相应的施工能力，具有有效安全生产许可证</w:t>
      </w:r>
      <w:r>
        <w:rPr>
          <w:rFonts w:hint="eastAsia" w:ascii="宋体" w:hAnsi="宋体"/>
          <w:color w:val="auto"/>
          <w:szCs w:val="21"/>
          <w:highlight w:val="none"/>
          <w:u w:val="single"/>
          <w:lang w:eastAsia="zh-CN"/>
        </w:rPr>
        <w:t>；</w:t>
      </w:r>
    </w:p>
    <w:p w14:paraId="2F5176EF">
      <w:pPr>
        <w:spacing w:line="336"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u w:val="single"/>
        </w:rPr>
        <w:t>（2）供应商拟派项目经理须具备</w:t>
      </w:r>
      <w:r>
        <w:rPr>
          <w:rFonts w:hint="eastAsia" w:ascii="宋体" w:hAnsi="宋体"/>
          <w:color w:val="auto"/>
          <w:szCs w:val="21"/>
          <w:highlight w:val="none"/>
          <w:u w:val="single"/>
          <w:lang w:eastAsia="zh-CN"/>
        </w:rPr>
        <w:t>建筑工程二级或以上</w:t>
      </w:r>
      <w:r>
        <w:rPr>
          <w:rFonts w:hint="eastAsia" w:ascii="宋体" w:hAnsi="宋体"/>
          <w:color w:val="auto"/>
          <w:szCs w:val="21"/>
          <w:highlight w:val="none"/>
          <w:u w:val="single"/>
        </w:rPr>
        <w:t>注册建造师执业资格，具备安全生产考核合格证书（B类）；</w:t>
      </w:r>
    </w:p>
    <w:p w14:paraId="23D10F13">
      <w:pPr>
        <w:tabs>
          <w:tab w:val="left" w:pos="3360"/>
        </w:tabs>
        <w:spacing w:line="336"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u w:val="single"/>
        </w:rPr>
        <w:t>（3）其他人员</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根据住房城乡建设部关于印发《建筑施工企业、工程项目安全生产管理机构设置及安全生产管理人员配备办法》的通知》（建质规〔2025〕3号），投入安全员不少于</w:t>
      </w:r>
      <w:r>
        <w:rPr>
          <w:rFonts w:hint="eastAsia" w:ascii="宋体" w:hAnsi="宋体"/>
          <w:color w:val="auto"/>
          <w:szCs w:val="21"/>
          <w:highlight w:val="none"/>
          <w:u w:val="single"/>
          <w:lang w:val="en-US" w:eastAsia="zh-CN"/>
        </w:rPr>
        <w:t>3</w:t>
      </w:r>
      <w:r>
        <w:rPr>
          <w:rFonts w:hint="eastAsia" w:ascii="宋体" w:hAnsi="宋体"/>
          <w:color w:val="auto"/>
          <w:szCs w:val="21"/>
          <w:highlight w:val="none"/>
          <w:u w:val="single"/>
        </w:rPr>
        <w:t>人，安全员具备有效的安全生产考核合格证书(C类)。</w:t>
      </w:r>
    </w:p>
    <w:p w14:paraId="00A44D9D">
      <w:pPr>
        <w:keepNext w:val="0"/>
        <w:keepLines w:val="0"/>
        <w:pageBreakBefore w:val="0"/>
        <w:kinsoku/>
        <w:wordWrap/>
        <w:overflowPunct/>
        <w:topLinePunct w:val="0"/>
        <w:autoSpaceDE/>
        <w:autoSpaceDN/>
        <w:bidi w:val="0"/>
        <w:adjustRightInd/>
        <w:snapToGrid w:val="0"/>
        <w:spacing w:line="336" w:lineRule="auto"/>
        <w:ind w:left="0" w:leftChars="0" w:firstLine="420" w:firstLineChars="200"/>
        <w:jc w:val="left"/>
        <w:textAlignment w:val="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4.本项目的特定条件：无</w:t>
      </w:r>
    </w:p>
    <w:p w14:paraId="62ED3294">
      <w:pPr>
        <w:keepNext w:val="0"/>
        <w:keepLines w:val="0"/>
        <w:pageBreakBefore w:val="0"/>
        <w:kinsoku/>
        <w:wordWrap/>
        <w:overflowPunct/>
        <w:topLinePunct w:val="0"/>
        <w:autoSpaceDE/>
        <w:autoSpaceDN/>
        <w:bidi w:val="0"/>
        <w:adjustRightInd/>
        <w:snapToGrid w:val="0"/>
        <w:spacing w:line="336" w:lineRule="auto"/>
        <w:ind w:left="0" w:leftChars="0"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71C0164">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color w:val="auto"/>
          <w:highlight w:val="none"/>
          <w:lang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47690889">
      <w:pPr>
        <w:keepNext w:val="0"/>
        <w:keepLines w:val="0"/>
        <w:pageBreakBefore w:val="0"/>
        <w:kinsoku/>
        <w:wordWrap/>
        <w:overflowPunct/>
        <w:topLinePunct w:val="0"/>
        <w:autoSpaceDE/>
        <w:autoSpaceDN/>
        <w:bidi w:val="0"/>
        <w:adjustRightInd/>
        <w:spacing w:line="336" w:lineRule="auto"/>
        <w:ind w:firstLine="354" w:firstLineChars="147"/>
        <w:textAlignment w:val="auto"/>
        <w:rPr>
          <w:rFonts w:ascii="黑体" w:hAnsi="黑体" w:eastAsia="黑体"/>
          <w:b/>
          <w:color w:val="auto"/>
          <w:sz w:val="24"/>
          <w:highlight w:val="none"/>
        </w:rPr>
      </w:pPr>
      <w:bookmarkStart w:id="19" w:name="_Toc71365907"/>
      <w:r>
        <w:rPr>
          <w:rFonts w:hint="eastAsia" w:ascii="黑体" w:hAnsi="黑体" w:eastAsia="黑体"/>
          <w:b/>
          <w:color w:val="auto"/>
          <w:sz w:val="24"/>
          <w:highlight w:val="none"/>
        </w:rPr>
        <w:t>三、获取竞争性磋商文件</w:t>
      </w:r>
      <w:bookmarkEnd w:id="14"/>
      <w:bookmarkEnd w:id="15"/>
      <w:bookmarkEnd w:id="16"/>
      <w:bookmarkEnd w:id="17"/>
      <w:bookmarkEnd w:id="18"/>
      <w:bookmarkEnd w:id="19"/>
    </w:p>
    <w:p w14:paraId="08866640">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s="宋体"/>
          <w:bCs/>
          <w:color w:val="auto"/>
          <w:kern w:val="0"/>
          <w:szCs w:val="21"/>
          <w:highlight w:val="none"/>
        </w:rPr>
      </w:pPr>
      <w:bookmarkStart w:id="20" w:name="_Toc35393632"/>
      <w:bookmarkStart w:id="21" w:name="_Toc44229881"/>
      <w:bookmarkStart w:id="22" w:name="_Toc35393801"/>
      <w:bookmarkStart w:id="23" w:name="_Toc28359092"/>
      <w:bookmarkStart w:id="24" w:name="_Toc28359015"/>
      <w:r>
        <w:rPr>
          <w:rFonts w:hint="eastAsia" w:ascii="宋体" w:hAnsi="宋体" w:cs="宋体"/>
          <w:bCs/>
          <w:color w:val="auto"/>
          <w:kern w:val="0"/>
          <w:szCs w:val="21"/>
          <w:highlight w:val="none"/>
        </w:rPr>
        <w:t>时间：</w:t>
      </w:r>
      <w:r>
        <w:rPr>
          <w:rFonts w:hint="eastAsia" w:ascii="宋体" w:hAnsi="宋体"/>
          <w:bCs/>
          <w:color w:val="auto"/>
          <w:szCs w:val="21"/>
          <w:highlight w:val="none"/>
          <w:u w:val="single"/>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8月21日</w:t>
      </w:r>
      <w:r>
        <w:rPr>
          <w:rFonts w:hint="eastAsia" w:ascii="宋体" w:hAnsi="宋体" w:cs="宋体"/>
          <w:bCs/>
          <w:color w:val="auto"/>
          <w:kern w:val="0"/>
          <w:szCs w:val="21"/>
          <w:highlight w:val="none"/>
        </w:rPr>
        <w:t>至</w:t>
      </w:r>
      <w:r>
        <w:rPr>
          <w:rFonts w:hint="eastAsia" w:ascii="宋体" w:hAnsi="宋体"/>
          <w:bCs/>
          <w:color w:val="auto"/>
          <w:szCs w:val="21"/>
          <w:highlight w:val="none"/>
          <w:u w:val="single"/>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8月28日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u w:val="single"/>
        </w:rPr>
        <w:t>0：00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12:00</w:t>
      </w:r>
      <w:r>
        <w:rPr>
          <w:rFonts w:hint="eastAsia" w:ascii="宋体" w:hAnsi="宋体" w:cs="宋体"/>
          <w:bCs/>
          <w:color w:val="auto"/>
          <w:kern w:val="0"/>
          <w:szCs w:val="21"/>
          <w:highlight w:val="none"/>
        </w:rPr>
        <w:t>，下午</w:t>
      </w:r>
      <w:r>
        <w:rPr>
          <w:rFonts w:hint="eastAsia" w:ascii="宋体" w:hAnsi="宋体" w:cs="宋体"/>
          <w:bCs/>
          <w:color w:val="auto"/>
          <w:kern w:val="0"/>
          <w:szCs w:val="21"/>
          <w:highlight w:val="none"/>
          <w:u w:val="single"/>
        </w:rPr>
        <w:t>12:00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23:59</w:t>
      </w:r>
      <w:r>
        <w:rPr>
          <w:rFonts w:hint="eastAsia" w:ascii="宋体" w:hAnsi="宋体" w:cs="宋体"/>
          <w:bCs/>
          <w:color w:val="auto"/>
          <w:kern w:val="0"/>
          <w:szCs w:val="21"/>
          <w:highlight w:val="none"/>
        </w:rPr>
        <w:t>（北京时间，法定节假日除外）</w:t>
      </w:r>
    </w:p>
    <w:p w14:paraId="64D67476">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597C8377">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kern w:val="0"/>
          <w:szCs w:val="21"/>
          <w:highlight w:val="none"/>
        </w:rPr>
        <w:t>通过其他方式获取磋商文件的，将有可能导致供应商无法在广西政府采购云平台编制及上传响应文件。</w:t>
      </w:r>
    </w:p>
    <w:p w14:paraId="44248CA5">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售价：</w:t>
      </w:r>
      <w:r>
        <w:rPr>
          <w:rFonts w:hint="eastAsia" w:ascii="宋体" w:hAnsi="宋体" w:cs="宋体"/>
          <w:i/>
          <w:color w:val="auto"/>
          <w:szCs w:val="21"/>
          <w:highlight w:val="none"/>
          <w:u w:val="single"/>
        </w:rPr>
        <w:t>0</w:t>
      </w:r>
      <w:r>
        <w:rPr>
          <w:rFonts w:hint="eastAsia" w:ascii="宋体" w:hAnsi="宋体" w:cs="宋体"/>
          <w:color w:val="auto"/>
          <w:szCs w:val="21"/>
          <w:highlight w:val="none"/>
        </w:rPr>
        <w:t>元</w:t>
      </w:r>
    </w:p>
    <w:p w14:paraId="768A291C">
      <w:pPr>
        <w:keepNext w:val="0"/>
        <w:keepLines w:val="0"/>
        <w:pageBreakBefore w:val="0"/>
        <w:kinsoku/>
        <w:wordWrap/>
        <w:overflowPunct/>
        <w:topLinePunct w:val="0"/>
        <w:autoSpaceDE/>
        <w:autoSpaceDN/>
        <w:bidi w:val="0"/>
        <w:adjustRightInd/>
        <w:spacing w:line="336" w:lineRule="auto"/>
        <w:ind w:firstLine="354" w:firstLineChars="147"/>
        <w:textAlignment w:val="auto"/>
        <w:rPr>
          <w:rFonts w:ascii="黑体" w:hAnsi="黑体" w:eastAsia="黑体"/>
          <w:b/>
          <w:color w:val="auto"/>
          <w:sz w:val="24"/>
          <w:highlight w:val="none"/>
        </w:rPr>
      </w:pPr>
      <w:bookmarkStart w:id="25" w:name="_Toc71365908"/>
      <w:r>
        <w:rPr>
          <w:rFonts w:hint="eastAsia" w:ascii="黑体" w:hAnsi="黑体" w:eastAsia="黑体"/>
          <w:b/>
          <w:color w:val="auto"/>
          <w:sz w:val="24"/>
          <w:highlight w:val="none"/>
        </w:rPr>
        <w:t>四、响应文件提交</w:t>
      </w:r>
      <w:bookmarkEnd w:id="20"/>
      <w:bookmarkEnd w:id="21"/>
      <w:bookmarkEnd w:id="22"/>
      <w:bookmarkEnd w:id="23"/>
      <w:bookmarkEnd w:id="24"/>
      <w:bookmarkEnd w:id="25"/>
    </w:p>
    <w:p w14:paraId="5EBA941E">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bCs/>
          <w:color w:val="auto"/>
          <w:szCs w:val="21"/>
          <w:highlight w:val="none"/>
        </w:rPr>
      </w:pPr>
      <w:bookmarkStart w:id="26" w:name="_Toc28359093"/>
      <w:bookmarkStart w:id="27" w:name="_Toc35393633"/>
      <w:bookmarkStart w:id="28" w:name="_Toc44229882"/>
      <w:bookmarkStart w:id="29" w:name="_Toc35393802"/>
      <w:bookmarkStart w:id="30" w:name="_Toc28359016"/>
      <w:r>
        <w:rPr>
          <w:rFonts w:hint="eastAsia" w:ascii="宋体" w:hAnsi="宋体"/>
          <w:color w:val="auto"/>
          <w:szCs w:val="21"/>
          <w:highlight w:val="none"/>
        </w:rPr>
        <w:t>截止时间：</w:t>
      </w:r>
      <w:r>
        <w:rPr>
          <w:rFonts w:hint="eastAsia" w:ascii="宋体" w:hAnsi="宋体"/>
          <w:bCs/>
          <w:color w:val="auto"/>
          <w:szCs w:val="21"/>
          <w:highlight w:val="none"/>
          <w:u w:val="single"/>
        </w:rPr>
        <w:t xml:space="preserve"> </w:t>
      </w:r>
      <w:r>
        <w:rPr>
          <w:rFonts w:ascii="宋体" w:hAnsi="宋体"/>
          <w:bCs/>
          <w:color w:val="auto"/>
          <w:szCs w:val="21"/>
          <w:highlight w:val="none"/>
          <w:u w:val="single"/>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9月1日</w:t>
      </w:r>
      <w:r>
        <w:rPr>
          <w:rFonts w:ascii="宋体" w:hAnsi="宋体"/>
          <w:bCs/>
          <w:color w:val="auto"/>
          <w:szCs w:val="21"/>
          <w:highlight w:val="none"/>
          <w:u w:val="single"/>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30</w:t>
      </w:r>
      <w:r>
        <w:rPr>
          <w:rFonts w:hint="eastAsia" w:ascii="宋体" w:hAnsi="宋体"/>
          <w:bCs/>
          <w:color w:val="auto"/>
          <w:szCs w:val="21"/>
          <w:highlight w:val="none"/>
          <w:u w:val="single"/>
        </w:rPr>
        <w:t>分</w:t>
      </w:r>
      <w:r>
        <w:rPr>
          <w:rFonts w:hint="eastAsia" w:ascii="宋体" w:hAnsi="宋体"/>
          <w:bCs/>
          <w:color w:val="auto"/>
          <w:szCs w:val="21"/>
          <w:highlight w:val="none"/>
        </w:rPr>
        <w:t>（北京时间）</w:t>
      </w:r>
    </w:p>
    <w:p w14:paraId="77D10732">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7A9B628F">
      <w:pPr>
        <w:keepNext w:val="0"/>
        <w:keepLines w:val="0"/>
        <w:pageBreakBefore w:val="0"/>
        <w:kinsoku/>
        <w:wordWrap/>
        <w:overflowPunct/>
        <w:topLinePunct w:val="0"/>
        <w:autoSpaceDE/>
        <w:autoSpaceDN/>
        <w:bidi w:val="0"/>
        <w:adjustRightInd/>
        <w:spacing w:line="336" w:lineRule="auto"/>
        <w:ind w:firstLine="354" w:firstLineChars="147"/>
        <w:textAlignment w:val="auto"/>
        <w:rPr>
          <w:rFonts w:ascii="黑体" w:hAnsi="黑体" w:eastAsia="黑体"/>
          <w:b/>
          <w:color w:val="auto"/>
          <w:sz w:val="24"/>
          <w:highlight w:val="none"/>
        </w:rPr>
      </w:pPr>
      <w:bookmarkStart w:id="31" w:name="_Toc71365909"/>
      <w:r>
        <w:rPr>
          <w:rFonts w:hint="eastAsia" w:ascii="黑体" w:hAnsi="黑体" w:eastAsia="黑体"/>
          <w:b/>
          <w:color w:val="auto"/>
          <w:sz w:val="24"/>
          <w:highlight w:val="none"/>
        </w:rPr>
        <w:t>五、开启</w:t>
      </w:r>
      <w:bookmarkEnd w:id="26"/>
      <w:bookmarkEnd w:id="27"/>
      <w:bookmarkEnd w:id="28"/>
      <w:bookmarkEnd w:id="29"/>
      <w:bookmarkEnd w:id="30"/>
      <w:bookmarkEnd w:id="31"/>
    </w:p>
    <w:p w14:paraId="619F9180">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u w:val="single"/>
        </w:rPr>
        <w:t xml:space="preserve"> </w:t>
      </w:r>
      <w:r>
        <w:rPr>
          <w:rFonts w:ascii="宋体" w:hAnsi="宋体"/>
          <w:bCs/>
          <w:color w:val="auto"/>
          <w:szCs w:val="21"/>
          <w:highlight w:val="none"/>
          <w:u w:val="single"/>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9月1日</w:t>
      </w:r>
      <w:r>
        <w:rPr>
          <w:rFonts w:ascii="宋体" w:hAnsi="宋体"/>
          <w:bCs/>
          <w:color w:val="auto"/>
          <w:szCs w:val="21"/>
          <w:highlight w:val="none"/>
          <w:u w:val="single"/>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30</w:t>
      </w:r>
      <w:r>
        <w:rPr>
          <w:rFonts w:hint="eastAsia" w:ascii="宋体" w:hAnsi="宋体"/>
          <w:bCs/>
          <w:color w:val="auto"/>
          <w:szCs w:val="21"/>
          <w:highlight w:val="none"/>
          <w:u w:val="single"/>
        </w:rPr>
        <w:t>分</w:t>
      </w:r>
      <w:r>
        <w:rPr>
          <w:rFonts w:hint="eastAsia" w:ascii="宋体" w:hAnsi="宋体"/>
          <w:bCs/>
          <w:color w:val="auto"/>
          <w:szCs w:val="21"/>
          <w:highlight w:val="none"/>
          <w:u w:val="none"/>
          <w:lang w:val="en-US" w:eastAsia="zh-CN"/>
        </w:rPr>
        <w:t xml:space="preserve"> (</w:t>
      </w:r>
      <w:r>
        <w:rPr>
          <w:rFonts w:hint="eastAsia" w:ascii="宋体" w:hAnsi="宋体"/>
          <w:bCs/>
          <w:color w:val="auto"/>
          <w:szCs w:val="21"/>
          <w:highlight w:val="none"/>
        </w:rPr>
        <w:t>北京时间）</w:t>
      </w:r>
    </w:p>
    <w:p w14:paraId="2020E13C">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4B05824A">
      <w:pPr>
        <w:keepNext w:val="0"/>
        <w:keepLines w:val="0"/>
        <w:pageBreakBefore w:val="0"/>
        <w:kinsoku/>
        <w:wordWrap/>
        <w:overflowPunct/>
        <w:topLinePunct w:val="0"/>
        <w:autoSpaceDE/>
        <w:autoSpaceDN/>
        <w:bidi w:val="0"/>
        <w:adjustRightInd/>
        <w:spacing w:line="336" w:lineRule="auto"/>
        <w:ind w:firstLine="354" w:firstLineChars="147"/>
        <w:textAlignment w:val="auto"/>
        <w:rPr>
          <w:rFonts w:ascii="黑体" w:hAnsi="黑体" w:eastAsia="黑体"/>
          <w:b/>
          <w:color w:val="auto"/>
          <w:sz w:val="24"/>
          <w:highlight w:val="none"/>
        </w:rPr>
      </w:pPr>
      <w:bookmarkStart w:id="32" w:name="_Toc35393634"/>
      <w:bookmarkStart w:id="33" w:name="_Toc71365910"/>
      <w:bookmarkStart w:id="34" w:name="_Toc28359017"/>
      <w:bookmarkStart w:id="35" w:name="_Toc28359094"/>
      <w:bookmarkStart w:id="36" w:name="_Toc35393803"/>
      <w:bookmarkStart w:id="37" w:name="_Toc44229883"/>
      <w:r>
        <w:rPr>
          <w:rFonts w:hint="eastAsia" w:ascii="黑体" w:hAnsi="黑体" w:eastAsia="黑体"/>
          <w:b/>
          <w:color w:val="auto"/>
          <w:sz w:val="24"/>
          <w:highlight w:val="none"/>
        </w:rPr>
        <w:t>六、公告期限</w:t>
      </w:r>
      <w:bookmarkEnd w:id="32"/>
      <w:bookmarkEnd w:id="33"/>
      <w:bookmarkEnd w:id="34"/>
      <w:bookmarkEnd w:id="35"/>
      <w:bookmarkEnd w:id="36"/>
      <w:bookmarkEnd w:id="37"/>
    </w:p>
    <w:p w14:paraId="62CE4560">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ascii="宋体" w:hAnsi="宋体" w:cs="宋体"/>
          <w:color w:val="auto"/>
          <w:kern w:val="0"/>
          <w:szCs w:val="21"/>
          <w:highlight w:val="none"/>
        </w:rPr>
        <w:t>5</w:t>
      </w:r>
      <w:r>
        <w:rPr>
          <w:rFonts w:hint="eastAsia" w:ascii="宋体" w:hAnsi="宋体" w:cs="宋体"/>
          <w:color w:val="auto"/>
          <w:kern w:val="0"/>
          <w:szCs w:val="21"/>
          <w:highlight w:val="none"/>
        </w:rPr>
        <w:t>个工作日。</w:t>
      </w:r>
    </w:p>
    <w:p w14:paraId="2E31D1E3">
      <w:pPr>
        <w:keepNext w:val="0"/>
        <w:keepLines w:val="0"/>
        <w:pageBreakBefore w:val="0"/>
        <w:kinsoku/>
        <w:wordWrap/>
        <w:overflowPunct/>
        <w:topLinePunct w:val="0"/>
        <w:autoSpaceDE/>
        <w:autoSpaceDN/>
        <w:bidi w:val="0"/>
        <w:adjustRightInd/>
        <w:spacing w:line="336" w:lineRule="auto"/>
        <w:ind w:firstLine="354" w:firstLineChars="147"/>
        <w:textAlignment w:val="auto"/>
        <w:rPr>
          <w:rFonts w:ascii="黑体" w:hAnsi="黑体" w:eastAsia="黑体"/>
          <w:b/>
          <w:color w:val="auto"/>
          <w:sz w:val="24"/>
          <w:highlight w:val="none"/>
        </w:rPr>
      </w:pPr>
      <w:bookmarkStart w:id="38" w:name="_Toc35393635"/>
      <w:bookmarkStart w:id="39" w:name="_Toc35393804"/>
      <w:bookmarkStart w:id="40" w:name="_Toc71365911"/>
      <w:bookmarkStart w:id="41" w:name="_Toc44229884"/>
      <w:r>
        <w:rPr>
          <w:rFonts w:hint="eastAsia" w:ascii="黑体" w:hAnsi="黑体" w:eastAsia="黑体"/>
          <w:b/>
          <w:color w:val="auto"/>
          <w:sz w:val="24"/>
          <w:highlight w:val="none"/>
        </w:rPr>
        <w:t>七、其他补充事宜</w:t>
      </w:r>
      <w:bookmarkEnd w:id="38"/>
      <w:bookmarkEnd w:id="39"/>
      <w:bookmarkEnd w:id="40"/>
      <w:bookmarkEnd w:id="41"/>
    </w:p>
    <w:p w14:paraId="33F84470">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bidi="ar"/>
        </w:rPr>
        <w:t>1.磋商保证金：</w:t>
      </w:r>
      <w:r>
        <w:rPr>
          <w:rFonts w:hint="eastAsia" w:ascii="宋体" w:hAnsi="宋体"/>
          <w:b w:val="0"/>
          <w:bCs/>
          <w:color w:val="auto"/>
          <w:highlight w:val="none"/>
        </w:rPr>
        <w:t>本项目收取</w:t>
      </w:r>
      <w:r>
        <w:rPr>
          <w:rFonts w:hint="eastAsia" w:ascii="宋体" w:hAnsi="宋体"/>
          <w:b w:val="0"/>
          <w:bCs/>
          <w:color w:val="auto"/>
          <w:highlight w:val="none"/>
          <w:lang w:eastAsia="zh-CN"/>
        </w:rPr>
        <w:t>磋商</w:t>
      </w:r>
      <w:r>
        <w:rPr>
          <w:rFonts w:hint="eastAsia" w:ascii="宋体" w:hAnsi="宋体"/>
          <w:b w:val="0"/>
          <w:bCs/>
          <w:color w:val="auto"/>
          <w:highlight w:val="none"/>
        </w:rPr>
        <w:t>保证金</w:t>
      </w:r>
      <w:r>
        <w:rPr>
          <w:rFonts w:hint="eastAsia" w:ascii="宋体" w:hAnsi="宋体"/>
          <w:b w:val="0"/>
          <w:bCs/>
          <w:color w:val="auto"/>
          <w:highlight w:val="none"/>
          <w:lang w:eastAsia="zh-CN"/>
        </w:rPr>
        <w:t>，磋商保证金金额：人民币壹拾壹万叁仟元整（</w:t>
      </w:r>
      <w:r>
        <w:rPr>
          <w:rFonts w:hint="default" w:ascii="Arial" w:hAnsi="Arial" w:cs="Arial"/>
          <w:b w:val="0"/>
          <w:bCs/>
          <w:color w:val="auto"/>
          <w:highlight w:val="none"/>
          <w:lang w:eastAsia="zh-CN"/>
        </w:rPr>
        <w:t>¥</w:t>
      </w:r>
      <w:r>
        <w:rPr>
          <w:rFonts w:hint="eastAsia" w:ascii="宋体" w:hAnsi="宋体"/>
          <w:b w:val="0"/>
          <w:bCs/>
          <w:color w:val="auto"/>
          <w:highlight w:val="none"/>
          <w:lang w:val="en-US" w:eastAsia="zh-CN"/>
        </w:rPr>
        <w:t>113000.00</w:t>
      </w:r>
      <w:r>
        <w:rPr>
          <w:rFonts w:hint="eastAsia" w:ascii="宋体" w:hAnsi="宋体"/>
          <w:b w:val="0"/>
          <w:bCs/>
          <w:color w:val="auto"/>
          <w:highlight w:val="none"/>
          <w:lang w:eastAsia="zh-CN"/>
        </w:rPr>
        <w:t>），具体详见竞争性磋商文件。</w:t>
      </w:r>
    </w:p>
    <w:p w14:paraId="332DB923">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p>
    <w:p w14:paraId="1D1E9459">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ascii="宋体" w:hAnsi="宋体" w:eastAsia="宋体"/>
          <w:color w:val="auto"/>
          <w:szCs w:val="21"/>
          <w:highlight w:val="none"/>
          <w:lang w:val="en-US" w:eastAsia="zh-CN"/>
        </w:rPr>
      </w:pPr>
      <w:bookmarkStart w:id="42" w:name="_Hlk37429674"/>
      <w:bookmarkStart w:id="43" w:name="_Toc28359018"/>
      <w:bookmarkStart w:id="44" w:name="_Toc28359095"/>
      <w:bookmarkStart w:id="45" w:name="_Toc44229885"/>
      <w:bookmarkStart w:id="46" w:name="_Toc35393636"/>
      <w:bookmarkStart w:id="47" w:name="_Toc35393805"/>
      <w:r>
        <w:rPr>
          <w:rFonts w:hint="eastAsia"/>
          <w:color w:val="auto"/>
          <w:kern w:val="0"/>
          <w:highlight w:val="none"/>
          <w:lang w:eastAsia="zh-CN"/>
        </w:rPr>
        <w:t>中国政府采购网（http://www.ccgp.gov.cn）、广西政府采购网（http://zfcg.gxzf.gov.cn）、广西阳光采购服务平台（行政事业国资专区）https://xz.gxygcg.com/、广西招标网（http://www.guangxibid.com.cn）、广西物流职业技术学院https://www.gxlvtc.edu.cn/。</w:t>
      </w:r>
    </w:p>
    <w:p w14:paraId="1C4C93AF">
      <w:pPr>
        <w:keepNext w:val="0"/>
        <w:keepLines w:val="0"/>
        <w:pageBreakBefore w:val="0"/>
        <w:kinsoku/>
        <w:wordWrap/>
        <w:overflowPunct/>
        <w:topLinePunct w:val="0"/>
        <w:autoSpaceDE/>
        <w:autoSpaceDN/>
        <w:bidi w:val="0"/>
        <w:adjustRightInd/>
        <w:spacing w:line="336" w:lineRule="auto"/>
        <w:ind w:firstLine="424" w:firstLineChars="202"/>
        <w:textAlignment w:val="auto"/>
        <w:rPr>
          <w:rFonts w:hint="eastAsia" w:ascii="宋体" w:hAnsi="宋体" w:cs="宋体"/>
          <w:color w:val="auto"/>
          <w:kern w:val="0"/>
          <w:szCs w:val="21"/>
          <w:highlight w:val="none"/>
        </w:rPr>
      </w:pP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p w14:paraId="633204C1">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2CF511B">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34216467">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7F6F1BF3">
      <w:pPr>
        <w:keepNext w:val="0"/>
        <w:keepLines w:val="0"/>
        <w:pageBreakBefore w:val="0"/>
        <w:kinsoku/>
        <w:wordWrap/>
        <w:overflowPunct/>
        <w:topLinePunct w:val="0"/>
        <w:autoSpaceDE/>
        <w:autoSpaceDN/>
        <w:bidi w:val="0"/>
        <w:adjustRightInd/>
        <w:spacing w:line="336" w:lineRule="auto"/>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2C3F258A">
      <w:pPr>
        <w:keepNext w:val="0"/>
        <w:keepLines w:val="0"/>
        <w:pageBreakBefore w:val="0"/>
        <w:kinsoku/>
        <w:wordWrap/>
        <w:overflowPunct/>
        <w:topLinePunct w:val="0"/>
        <w:autoSpaceDE/>
        <w:autoSpaceDN/>
        <w:bidi w:val="0"/>
        <w:adjustRightInd/>
        <w:spacing w:line="336" w:lineRule="auto"/>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bookmarkEnd w:id="42"/>
    <w:p w14:paraId="50439F41">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ascii="宋体" w:hAnsi="宋体"/>
          <w:color w:val="auto"/>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.供应商</w:t>
      </w:r>
      <w:r>
        <w:rPr>
          <w:rFonts w:hint="eastAsia" w:ascii="宋体" w:hAnsi="宋体"/>
          <w:color w:val="auto"/>
          <w:szCs w:val="21"/>
          <w:highlight w:val="none"/>
          <w:lang w:eastAsia="zh-CN"/>
        </w:rPr>
        <w:t>响应</w:t>
      </w:r>
      <w:r>
        <w:rPr>
          <w:rFonts w:hint="eastAsia" w:ascii="宋体" w:hAnsi="宋体"/>
          <w:color w:val="auto"/>
          <w:szCs w:val="21"/>
          <w:highlight w:val="none"/>
        </w:rPr>
        <w:t>注意事项</w:t>
      </w:r>
    </w:p>
    <w:p w14:paraId="717975AA">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p>
    <w:p w14:paraId="45648450">
      <w:pPr>
        <w:keepNext w:val="0"/>
        <w:keepLines w:val="0"/>
        <w:pageBreakBefore w:val="0"/>
        <w:widowControl/>
        <w:kinsoku/>
        <w:wordWrap/>
        <w:overflowPunct/>
        <w:topLinePunct w:val="0"/>
        <w:autoSpaceDE/>
        <w:autoSpaceDN/>
        <w:bidi w:val="0"/>
        <w:adjustRightInd/>
        <w:spacing w:line="336" w:lineRule="auto"/>
        <w:jc w:val="left"/>
        <w:textAlignment w:val="auto"/>
        <w:rPr>
          <w:rFonts w:hint="eastAsia" w:ascii="宋体" w:hAnsi="宋体"/>
          <w:color w:val="auto"/>
          <w:szCs w:val="21"/>
          <w:highlight w:val="none"/>
        </w:rPr>
      </w:pPr>
      <w:r>
        <w:rPr>
          <w:rFonts w:hint="eastAsia" w:ascii="宋体" w:hAnsi="宋体"/>
          <w:color w:val="auto"/>
          <w:szCs w:val="21"/>
          <w:highlight w:val="none"/>
        </w:rPr>
        <w:t>（https://www.gcy.zfcg.gxzf.gov.cn/）实行在线电子</w:t>
      </w:r>
      <w:r>
        <w:rPr>
          <w:rFonts w:hint="eastAsia" w:ascii="宋体" w:hAnsi="宋体"/>
          <w:color w:val="auto"/>
          <w:szCs w:val="21"/>
          <w:highlight w:val="none"/>
          <w:lang w:eastAsia="zh-CN"/>
        </w:rPr>
        <w:t>响应</w:t>
      </w:r>
      <w:r>
        <w:rPr>
          <w:rFonts w:hint="eastAsia" w:ascii="宋体" w:hAnsi="宋体"/>
          <w:color w:val="auto"/>
          <w:szCs w:val="21"/>
          <w:highlight w:val="none"/>
        </w:rPr>
        <w:t>，供应商应按照本项目竞争性磋商文件和广西政府采购云平台的要求编制、加密后在提交响应文件截止时间前通过网络上传至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w:t>
      </w:r>
      <w:r>
        <w:rPr>
          <w:color w:val="auto"/>
          <w:highlight w:val="none"/>
        </w:rPr>
        <w:t>-</w:t>
      </w:r>
      <w:r>
        <w:rPr>
          <w:rFonts w:hint="eastAsia"/>
          <w:color w:val="auto"/>
          <w:highlight w:val="none"/>
        </w:rPr>
        <w:t>供应商</w:t>
      </w:r>
      <w:r>
        <w:rPr>
          <w:rFonts w:hint="eastAsia" w:ascii="宋体" w:hAnsi="宋体"/>
          <w:color w:val="auto"/>
          <w:szCs w:val="21"/>
          <w:highlight w:val="none"/>
        </w:rPr>
        <w:t>”查看电子</w:t>
      </w:r>
      <w:r>
        <w:rPr>
          <w:rFonts w:hint="eastAsia" w:ascii="宋体" w:hAnsi="宋体"/>
          <w:color w:val="auto"/>
          <w:szCs w:val="21"/>
          <w:highlight w:val="none"/>
          <w:lang w:eastAsia="zh-CN"/>
        </w:rPr>
        <w:t>响应</w:t>
      </w:r>
      <w:r>
        <w:rPr>
          <w:rFonts w:hint="eastAsia" w:ascii="宋体" w:hAnsi="宋体"/>
          <w:color w:val="auto"/>
          <w:szCs w:val="21"/>
          <w:highlight w:val="none"/>
        </w:rPr>
        <w:t>具体操作流程。</w:t>
      </w:r>
    </w:p>
    <w:p w14:paraId="00D6EC1D">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如在操作过程中遇到问题或者需要技术支持，请致电广西政府采购云客服热线：95763或</w:t>
      </w:r>
      <w:r>
        <w:rPr>
          <w:rFonts w:hint="eastAsia" w:ascii="宋体" w:hAnsi="宋体" w:cs="宋体"/>
          <w:color w:val="auto"/>
          <w:kern w:val="0"/>
          <w:szCs w:val="21"/>
          <w:highlight w:val="none"/>
        </w:rPr>
        <w:t>0771-3381253</w:t>
      </w:r>
      <w:r>
        <w:rPr>
          <w:rFonts w:hint="eastAsia" w:ascii="宋体" w:hAnsi="宋体"/>
          <w:color w:val="auto"/>
          <w:szCs w:val="21"/>
          <w:highlight w:val="none"/>
        </w:rPr>
        <w:t>）。</w:t>
      </w:r>
    </w:p>
    <w:p w14:paraId="200FBA75">
      <w:pPr>
        <w:keepNext w:val="0"/>
        <w:keepLines w:val="0"/>
        <w:pageBreakBefore w:val="0"/>
        <w:kinsoku/>
        <w:wordWrap/>
        <w:overflowPunct/>
        <w:topLinePunct w:val="0"/>
        <w:autoSpaceDE/>
        <w:autoSpaceDN/>
        <w:bidi w:val="0"/>
        <w:adjustRightInd/>
        <w:snapToGrid w:val="0"/>
        <w:spacing w:line="336" w:lineRule="auto"/>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44FD0ECF">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w:t>
      </w:r>
      <w:r>
        <w:rPr>
          <w:rFonts w:hint="eastAsia" w:ascii="宋体" w:hAnsi="宋体"/>
          <w:color w:val="auto"/>
          <w:szCs w:val="21"/>
          <w:highlight w:val="none"/>
          <w:lang w:eastAsia="zh-CN"/>
        </w:rPr>
        <w:t>响应</w:t>
      </w:r>
      <w:r>
        <w:rPr>
          <w:rFonts w:hint="eastAsia" w:ascii="宋体" w:hAnsi="宋体"/>
          <w:color w:val="auto"/>
          <w:szCs w:val="21"/>
          <w:highlight w:val="none"/>
        </w:rPr>
        <w:t>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1929B8B">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lang w:val="en-US" w:eastAsia="zh-CN"/>
        </w:rPr>
        <w:t>4</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rPr>
        <w:t>供应商需要在具备有摄像头及语音功能且互联网网络状况良好的电脑登录广西政府采购云平台远程开标大厅参与本次磋商，否则后果自负。</w:t>
      </w:r>
    </w:p>
    <w:p w14:paraId="61029CFA">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color w:val="auto"/>
          <w:highlight w:val="none"/>
        </w:rPr>
      </w:pP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lang w:val="en-US" w:eastAsia="zh-CN"/>
        </w:rPr>
        <w:t>5</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lang w:val="en-US" w:eastAsia="zh-CN"/>
        </w:rPr>
        <w:t>监督管理部门：</w:t>
      </w:r>
      <w:r>
        <w:rPr>
          <w:rFonts w:hint="eastAsia" w:ascii="宋体" w:hAnsi="宋体" w:cs="宋体"/>
          <w:color w:val="auto"/>
          <w:highlight w:val="none"/>
          <w:lang w:bidi="ar"/>
        </w:rPr>
        <w:t>广西壮族自治区财政厅政府采购监督管理处</w:t>
      </w:r>
    </w:p>
    <w:p w14:paraId="31D486DF">
      <w:pPr>
        <w:keepNext w:val="0"/>
        <w:keepLines w:val="0"/>
        <w:pageBreakBefore w:val="0"/>
        <w:kinsoku/>
        <w:wordWrap/>
        <w:overflowPunct/>
        <w:topLinePunct w:val="0"/>
        <w:autoSpaceDE/>
        <w:autoSpaceDN/>
        <w:bidi w:val="0"/>
        <w:adjustRightInd/>
        <w:spacing w:line="336" w:lineRule="auto"/>
        <w:ind w:firstLine="354" w:firstLineChars="147"/>
        <w:textAlignment w:val="auto"/>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3"/>
      <w:bookmarkEnd w:id="44"/>
      <w:bookmarkEnd w:id="45"/>
      <w:bookmarkEnd w:id="46"/>
      <w:bookmarkEnd w:id="47"/>
    </w:p>
    <w:p w14:paraId="00DFD508">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rPr>
      </w:pPr>
      <w:bookmarkStart w:id="48" w:name="_Toc35393637"/>
      <w:bookmarkStart w:id="49" w:name="_Toc28359019"/>
      <w:bookmarkStart w:id="50" w:name="_Toc35393806"/>
      <w:bookmarkStart w:id="51" w:name="_Toc28359096"/>
      <w:r>
        <w:rPr>
          <w:rFonts w:hint="eastAsia" w:ascii="宋体" w:hAnsi="宋体" w:eastAsia="宋体" w:cs="Times New Roman"/>
          <w:color w:val="auto"/>
          <w:szCs w:val="21"/>
          <w:highlight w:val="none"/>
        </w:rPr>
        <w:t>1.采</w:t>
      </w:r>
      <w:r>
        <w:rPr>
          <w:rFonts w:hint="eastAsia" w:asciiTheme="minorEastAsia" w:hAnsiTheme="minorEastAsia" w:eastAsiaTheme="minorEastAsia" w:cstheme="minorEastAsia"/>
          <w:color w:val="auto"/>
          <w:szCs w:val="21"/>
          <w:highlight w:val="none"/>
        </w:rPr>
        <w:t>购人信息</w:t>
      </w:r>
      <w:bookmarkEnd w:id="48"/>
      <w:bookmarkEnd w:id="49"/>
      <w:bookmarkEnd w:id="50"/>
      <w:bookmarkEnd w:id="51"/>
    </w:p>
    <w:p w14:paraId="295D7C2E">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名    称：</w:t>
      </w:r>
      <w:r>
        <w:rPr>
          <w:rFonts w:hint="eastAsia" w:asciiTheme="minorEastAsia" w:hAnsiTheme="minorEastAsia" w:eastAsiaTheme="minorEastAsia" w:cstheme="minorEastAsia"/>
          <w:color w:val="auto"/>
          <w:szCs w:val="21"/>
          <w:highlight w:val="none"/>
          <w:lang w:eastAsia="zh-CN"/>
        </w:rPr>
        <w:t>广西物流职业技术学院</w:t>
      </w:r>
      <w:r>
        <w:rPr>
          <w:rFonts w:hint="eastAsia" w:asciiTheme="minorEastAsia" w:hAnsiTheme="minorEastAsia" w:eastAsiaTheme="minorEastAsia" w:cstheme="minorEastAsia"/>
          <w:color w:val="auto"/>
          <w:szCs w:val="21"/>
          <w:highlight w:val="none"/>
        </w:rPr>
        <w:t>　　</w:t>
      </w:r>
    </w:p>
    <w:p w14:paraId="73A39427">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地    址：</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广西贵港市港北区聚贤路8号</w:t>
      </w:r>
    </w:p>
    <w:p w14:paraId="5813CB30">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联系方式：</w:t>
      </w:r>
      <w:r>
        <w:rPr>
          <w:rFonts w:hint="eastAsia" w:asciiTheme="minorEastAsia" w:hAnsiTheme="minorEastAsia" w:eastAsiaTheme="minorEastAsia" w:cstheme="minorEastAsia"/>
          <w:color w:val="auto"/>
          <w:highlight w:val="none"/>
          <w:lang w:val="en-US" w:eastAsia="zh-CN"/>
        </w:rPr>
        <w:t>徐智勇</w:t>
      </w:r>
      <w:r>
        <w:rPr>
          <w:rFonts w:hint="eastAsia" w:asciiTheme="minorEastAsia" w:hAnsiTheme="minorEastAsia" w:eastAsiaTheme="minorEastAsia" w:cstheme="minorEastAsia"/>
          <w:color w:val="auto"/>
          <w:highlight w:val="none"/>
          <w:lang w:eastAsia="zh-CN"/>
        </w:rPr>
        <w:t>，0775-2922216</w:t>
      </w:r>
    </w:p>
    <w:bookmarkEnd w:id="1"/>
    <w:p w14:paraId="5D04DCA4">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2.采购代理机构信息</w:t>
      </w:r>
    </w:p>
    <w:p w14:paraId="1EFAE01F">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rPr>
      </w:pPr>
      <w:bookmarkStart w:id="52" w:name="_Toc35393808"/>
      <w:bookmarkStart w:id="53" w:name="_Toc28359021"/>
      <w:bookmarkStart w:id="54" w:name="_Toc28359098"/>
      <w:bookmarkStart w:id="55" w:name="_Toc35393639"/>
      <w:r>
        <w:rPr>
          <w:rFonts w:hint="eastAsia" w:asciiTheme="minorEastAsia" w:hAnsiTheme="minorEastAsia" w:eastAsiaTheme="minorEastAsia" w:cstheme="minorEastAsia"/>
          <w:color w:val="auto"/>
          <w:szCs w:val="21"/>
          <w:highlight w:val="none"/>
        </w:rPr>
        <w:t>名称：</w:t>
      </w:r>
      <w:r>
        <w:rPr>
          <w:rFonts w:hint="eastAsia" w:asciiTheme="minorEastAsia" w:hAnsiTheme="minorEastAsia" w:eastAsiaTheme="minorEastAsia" w:cstheme="minorEastAsia"/>
          <w:color w:val="auto"/>
          <w:szCs w:val="21"/>
          <w:highlight w:val="none"/>
          <w:lang w:eastAsia="zh-CN"/>
        </w:rPr>
        <w:t>广西建设工程机电设备招标中心有限公司</w:t>
      </w:r>
      <w:r>
        <w:rPr>
          <w:rFonts w:hint="eastAsia" w:asciiTheme="minorEastAsia" w:hAnsiTheme="minorEastAsia" w:eastAsiaTheme="minorEastAsia" w:cstheme="minorEastAsia"/>
          <w:color w:val="auto"/>
          <w:szCs w:val="21"/>
          <w:highlight w:val="none"/>
        </w:rPr>
        <w:t>　　</w:t>
      </w:r>
    </w:p>
    <w:p w14:paraId="5D96EB08">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　　址：</w:t>
      </w:r>
      <w:bookmarkStart w:id="56" w:name="OLE_LINK5"/>
      <w:r>
        <w:rPr>
          <w:rFonts w:hint="eastAsia" w:asciiTheme="minorEastAsia" w:hAnsiTheme="minorEastAsia" w:eastAsiaTheme="minorEastAsia" w:cstheme="minorEastAsia"/>
          <w:color w:val="auto"/>
          <w:szCs w:val="21"/>
          <w:highlight w:val="none"/>
          <w:lang w:eastAsia="zh-CN"/>
        </w:rPr>
        <w:t>南宁市青秀区枫林路18号广西国控集团（枫林路办公区）裙楼三层</w:t>
      </w:r>
      <w:bookmarkEnd w:id="56"/>
      <w:r>
        <w:rPr>
          <w:rFonts w:hint="eastAsia" w:asciiTheme="minorEastAsia" w:hAnsiTheme="minorEastAsia" w:eastAsiaTheme="minorEastAsia" w:cstheme="minorEastAsia"/>
          <w:color w:val="auto"/>
          <w:szCs w:val="21"/>
          <w:highlight w:val="none"/>
        </w:rPr>
        <w:t>　　</w:t>
      </w:r>
    </w:p>
    <w:p w14:paraId="6E265988">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联系电话：</w:t>
      </w:r>
      <w:r>
        <w:rPr>
          <w:rFonts w:hint="eastAsia" w:asciiTheme="minorEastAsia" w:hAnsiTheme="minorEastAsia" w:eastAsiaTheme="minorEastAsia" w:cstheme="minorEastAsia"/>
          <w:color w:val="auto"/>
          <w:szCs w:val="21"/>
          <w:highlight w:val="none"/>
          <w:lang w:eastAsia="zh-CN"/>
        </w:rPr>
        <w:t>0771-2807659</w:t>
      </w:r>
    </w:p>
    <w:p w14:paraId="4AAB8355">
      <w:pPr>
        <w:keepNext w:val="0"/>
        <w:keepLines w:val="0"/>
        <w:pageBreakBefore w:val="0"/>
        <w:widowControl/>
        <w:kinsoku/>
        <w:wordWrap/>
        <w:overflowPunct/>
        <w:topLinePunct w:val="0"/>
        <w:autoSpaceDE/>
        <w:autoSpaceDN/>
        <w:bidi w:val="0"/>
        <w:adjustRightInd/>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3.项目联系方式</w:t>
      </w:r>
      <w:bookmarkEnd w:id="52"/>
      <w:bookmarkEnd w:id="53"/>
      <w:bookmarkEnd w:id="54"/>
      <w:bookmarkEnd w:id="55"/>
    </w:p>
    <w:p w14:paraId="23E0F9AB">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rPr>
        <w:t>项目联系人：</w:t>
      </w:r>
      <w:r>
        <w:rPr>
          <w:rFonts w:hint="eastAsia" w:asciiTheme="minorEastAsia" w:hAnsiTheme="minorEastAsia" w:eastAsiaTheme="minorEastAsia" w:cstheme="minorEastAsia"/>
          <w:color w:val="auto"/>
          <w:szCs w:val="21"/>
          <w:highlight w:val="none"/>
          <w:lang w:val="en-US" w:eastAsia="zh-CN"/>
        </w:rPr>
        <w:t>吴兴红、刘风、黄振宁</w:t>
      </w:r>
    </w:p>
    <w:p w14:paraId="2E97DE96">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　　话：</w:t>
      </w:r>
      <w:r>
        <w:rPr>
          <w:rFonts w:hint="eastAsia" w:asciiTheme="minorEastAsia" w:hAnsiTheme="minorEastAsia" w:eastAsiaTheme="minorEastAsia" w:cstheme="minorEastAsia"/>
          <w:color w:val="auto"/>
          <w:szCs w:val="21"/>
          <w:highlight w:val="none"/>
          <w:lang w:eastAsia="zh-CN"/>
        </w:rPr>
        <w:t>0771-2807659</w:t>
      </w:r>
      <w:r>
        <w:rPr>
          <w:rFonts w:hint="eastAsia" w:asciiTheme="minorEastAsia" w:hAnsiTheme="minorEastAsia" w:eastAsiaTheme="minorEastAsia" w:cstheme="minorEastAsia"/>
          <w:color w:val="auto"/>
          <w:szCs w:val="21"/>
          <w:highlight w:val="none"/>
        </w:rPr>
        <w:t>　　</w:t>
      </w:r>
    </w:p>
    <w:p w14:paraId="19BB5BA7">
      <w:pPr>
        <w:pStyle w:val="15"/>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Times New Roman"/>
          <w:color w:val="auto"/>
          <w:szCs w:val="21"/>
          <w:highlight w:val="none"/>
        </w:rPr>
      </w:pPr>
    </w:p>
    <w:p w14:paraId="7F2D1AD9">
      <w:pPr>
        <w:keepNext w:val="0"/>
        <w:keepLines w:val="0"/>
        <w:pageBreakBefore w:val="0"/>
        <w:kinsoku/>
        <w:wordWrap/>
        <w:overflowPunct/>
        <w:topLinePunct w:val="0"/>
        <w:autoSpaceDE/>
        <w:autoSpaceDN/>
        <w:bidi w:val="0"/>
        <w:adjustRightInd/>
        <w:spacing w:line="360" w:lineRule="auto"/>
        <w:textAlignment w:val="auto"/>
        <w:rPr>
          <w:rFonts w:hint="eastAsia"/>
          <w:color w:val="auto"/>
          <w:highlight w:val="none"/>
        </w:rPr>
      </w:pPr>
    </w:p>
    <w:p w14:paraId="34CBA0F3">
      <w:pPr>
        <w:keepNext w:val="0"/>
        <w:keepLines w:val="0"/>
        <w:pageBreakBefore w:val="0"/>
        <w:kinsoku/>
        <w:wordWrap/>
        <w:overflowPunct/>
        <w:topLinePunct w:val="0"/>
        <w:autoSpaceDE/>
        <w:autoSpaceDN/>
        <w:bidi w:val="0"/>
        <w:adjustRightInd/>
        <w:spacing w:line="360" w:lineRule="auto"/>
        <w:jc w:val="right"/>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广西建设工程机电设备招标中心有限公司</w:t>
      </w:r>
    </w:p>
    <w:p w14:paraId="13ACB3BB">
      <w:pPr>
        <w:keepNext w:val="0"/>
        <w:keepLines w:val="0"/>
        <w:pageBreakBefore w:val="0"/>
        <w:kinsoku/>
        <w:wordWrap/>
        <w:overflowPunct/>
        <w:topLinePunct w:val="0"/>
        <w:autoSpaceDE/>
        <w:autoSpaceDN/>
        <w:bidi w:val="0"/>
        <w:adjustRightInd/>
        <w:spacing w:line="360" w:lineRule="auto"/>
        <w:jc w:val="right"/>
        <w:textAlignment w:val="auto"/>
        <w:rPr>
          <w:rFonts w:hint="eastAsia"/>
          <w:color w:val="auto"/>
          <w:highlight w:val="none"/>
        </w:rPr>
      </w:pPr>
      <w:r>
        <w:rPr>
          <w:rFonts w:hint="eastAsia" w:ascii="宋体" w:hAnsi="宋体" w:cs="Times New Roman"/>
          <w:color w:val="auto"/>
          <w:szCs w:val="21"/>
          <w:highlight w:val="none"/>
          <w:lang w:val="en-US" w:eastAsia="zh-CN"/>
        </w:rPr>
        <w:t>2026年8月21日</w:t>
      </w:r>
      <w:r>
        <w:rPr>
          <w:rFonts w:hint="eastAsia"/>
          <w:color w:val="auto"/>
          <w:highlight w:val="none"/>
        </w:rPr>
        <w:br w:type="page"/>
      </w:r>
    </w:p>
    <w:p w14:paraId="4935A4C5">
      <w:pPr>
        <w:pStyle w:val="3"/>
        <w:spacing w:line="240" w:lineRule="auto"/>
        <w:jc w:val="center"/>
        <w:rPr>
          <w:rFonts w:hint="eastAsia"/>
          <w:color w:val="auto"/>
          <w:highlight w:val="none"/>
        </w:rPr>
      </w:pPr>
      <w:bookmarkStart w:id="57" w:name="_Toc21103"/>
      <w:r>
        <w:rPr>
          <w:rFonts w:hint="eastAsia"/>
          <w:color w:val="auto"/>
          <w:highlight w:val="none"/>
        </w:rPr>
        <w:t>第二章 供应商须知</w:t>
      </w:r>
      <w:bookmarkEnd w:id="57"/>
    </w:p>
    <w:p w14:paraId="379AD535">
      <w:pPr>
        <w:spacing w:line="400" w:lineRule="exact"/>
        <w:jc w:val="center"/>
        <w:outlineLvl w:val="1"/>
        <w:rPr>
          <w:rFonts w:hint="eastAsia" w:ascii="宋体" w:hAnsi="宋体"/>
          <w:b/>
          <w:color w:val="auto"/>
          <w:sz w:val="32"/>
          <w:szCs w:val="32"/>
          <w:highlight w:val="none"/>
        </w:rPr>
      </w:pPr>
      <w:bookmarkStart w:id="58" w:name="_Toc30988"/>
      <w:r>
        <w:rPr>
          <w:rFonts w:hint="eastAsia" w:ascii="宋体" w:hAnsi="宋体"/>
          <w:b/>
          <w:color w:val="auto"/>
          <w:sz w:val="32"/>
          <w:szCs w:val="32"/>
          <w:highlight w:val="none"/>
        </w:rPr>
        <w:t>供应商须知前附表</w:t>
      </w:r>
      <w:bookmarkEnd w:id="58"/>
    </w:p>
    <w:p w14:paraId="0376FC20">
      <w:pPr>
        <w:spacing w:line="400" w:lineRule="exact"/>
        <w:jc w:val="center"/>
        <w:rPr>
          <w:rFonts w:hint="eastAsia" w:ascii="宋体" w:hAnsi="宋体"/>
          <w:b/>
          <w:color w:val="auto"/>
          <w:sz w:val="32"/>
          <w:szCs w:val="32"/>
          <w:highlight w:val="none"/>
        </w:rPr>
      </w:pPr>
    </w:p>
    <w:tbl>
      <w:tblPr>
        <w:tblStyle w:val="2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263"/>
      </w:tblGrid>
      <w:tr w14:paraId="38265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62DDCCB9">
            <w:pPr>
              <w:keepNext w:val="0"/>
              <w:keepLines w:val="0"/>
              <w:pageBreakBefore w:val="0"/>
              <w:widowControl w:val="0"/>
              <w:kinsoku/>
              <w:overflowPunct/>
              <w:topLinePunct w:val="0"/>
              <w:bidi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263" w:type="dxa"/>
            <w:noWrap w:val="0"/>
            <w:vAlign w:val="top"/>
          </w:tcPr>
          <w:p w14:paraId="59100868">
            <w:pPr>
              <w:keepNext w:val="0"/>
              <w:keepLines w:val="0"/>
              <w:pageBreakBefore w:val="0"/>
              <w:widowControl w:val="0"/>
              <w:kinsoku/>
              <w:overflowPunct/>
              <w:topLinePunct w:val="0"/>
              <w:bidi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15387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9E6F8D3">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263" w:type="dxa"/>
            <w:noWrap w:val="0"/>
            <w:vAlign w:val="center"/>
          </w:tcPr>
          <w:p w14:paraId="09848011">
            <w:pPr>
              <w:pStyle w:val="13"/>
              <w:keepNext w:val="0"/>
              <w:keepLines w:val="0"/>
              <w:pageBreakBefore w:val="0"/>
              <w:widowControl w:val="0"/>
              <w:kinsoku/>
              <w:overflowPunct/>
              <w:topLinePunct w:val="0"/>
              <w:bidi w:val="0"/>
              <w:spacing w:line="360" w:lineRule="auto"/>
              <w:rPr>
                <w:rFonts w:hint="default" w:ascii="宋体" w:hAnsi="宋体" w:eastAsia="宋体" w:cs="宋体"/>
                <w:color w:val="auto"/>
                <w:szCs w:val="21"/>
                <w:highlight w:val="none"/>
                <w:lang w:val="en-US" w:eastAsia="zh-CN"/>
              </w:rPr>
            </w:pPr>
            <w:r>
              <w:rPr>
                <w:rFonts w:hint="eastAsia" w:ascii="宋体" w:hAnsi="宋体" w:cs="宋体"/>
                <w:b/>
                <w:bCs w:val="0"/>
                <w:color w:val="auto"/>
                <w:szCs w:val="21"/>
                <w:highlight w:val="none"/>
              </w:rPr>
              <w:t>供应商的资格条件：</w:t>
            </w:r>
            <w:r>
              <w:rPr>
                <w:rFonts w:hint="eastAsia" w:ascii="宋体" w:hAnsi="宋体"/>
                <w:b/>
                <w:bCs w:val="0"/>
                <w:color w:val="auto"/>
                <w:szCs w:val="21"/>
                <w:highlight w:val="none"/>
                <w:lang w:val="en-US" w:eastAsia="zh-CN"/>
              </w:rPr>
              <w:t>详见竞争性磋商公告</w:t>
            </w:r>
          </w:p>
        </w:tc>
      </w:tr>
      <w:tr w14:paraId="2A03C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AACF883">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263" w:type="dxa"/>
            <w:noWrap w:val="0"/>
            <w:vAlign w:val="center"/>
          </w:tcPr>
          <w:p w14:paraId="045484F3">
            <w:pPr>
              <w:keepNext w:val="0"/>
              <w:keepLines w:val="0"/>
              <w:pageBreakBefore w:val="0"/>
              <w:widowControl w:val="0"/>
              <w:kinsoku/>
              <w:overflowPunct/>
              <w:topLinePunct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w:t>
            </w:r>
            <w:r>
              <w:rPr>
                <w:rFonts w:hint="eastAsia" w:ascii="宋体" w:hAnsi="宋体"/>
                <w:color w:val="auto"/>
                <w:szCs w:val="21"/>
                <w:highlight w:val="none"/>
              </w:rPr>
              <w:t>不接受联合体</w:t>
            </w:r>
            <w:r>
              <w:rPr>
                <w:rFonts w:hint="eastAsia" w:ascii="宋体" w:hAnsi="宋体"/>
                <w:color w:val="auto"/>
                <w:szCs w:val="21"/>
                <w:highlight w:val="none"/>
                <w:lang w:eastAsia="zh-CN"/>
              </w:rPr>
              <w:t>竞标</w:t>
            </w:r>
          </w:p>
        </w:tc>
      </w:tr>
      <w:tr w14:paraId="52757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0B3711F">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8263" w:type="dxa"/>
            <w:noWrap w:val="0"/>
            <w:vAlign w:val="center"/>
          </w:tcPr>
          <w:p w14:paraId="5B440D2E">
            <w:pPr>
              <w:keepNext w:val="0"/>
              <w:keepLines w:val="0"/>
              <w:pageBreakBefore w:val="0"/>
              <w:widowControl w:val="0"/>
              <w:kinsoku/>
              <w:overflowPunct/>
              <w:topLinePunct w:val="0"/>
              <w:bidi w:val="0"/>
              <w:spacing w:line="360" w:lineRule="auto"/>
              <w:rPr>
                <w:rFonts w:hint="eastAsia" w:ascii="宋体" w:hAnsi="宋体" w:eastAsia="宋体" w:cs="宋体"/>
                <w:color w:val="auto"/>
                <w:szCs w:val="21"/>
                <w:highlight w:val="none"/>
                <w:lang w:eastAsia="zh-CN"/>
              </w:rPr>
            </w:pPr>
            <w:r>
              <w:rPr>
                <w:rFonts w:hint="eastAsia" w:ascii="宋体" w:hAnsi="宋体"/>
                <w:color w:val="auto"/>
                <w:szCs w:val="21"/>
                <w:highlight w:val="none"/>
              </w:rPr>
              <w:t>联合体</w:t>
            </w:r>
            <w:r>
              <w:rPr>
                <w:rFonts w:hint="eastAsia" w:ascii="宋体" w:hAnsi="宋体"/>
                <w:color w:val="auto"/>
                <w:szCs w:val="21"/>
                <w:highlight w:val="none"/>
                <w:lang w:eastAsia="zh-CN"/>
              </w:rPr>
              <w:t>竞标</w:t>
            </w:r>
            <w:r>
              <w:rPr>
                <w:rFonts w:hint="eastAsia" w:ascii="宋体" w:hAnsi="宋体"/>
                <w:color w:val="auto"/>
                <w:szCs w:val="21"/>
                <w:highlight w:val="none"/>
              </w:rPr>
              <w:t>要求：</w:t>
            </w:r>
            <w:r>
              <w:rPr>
                <w:rFonts w:hint="eastAsia" w:ascii="宋体" w:hAnsi="宋体"/>
                <w:color w:val="auto"/>
                <w:szCs w:val="21"/>
                <w:highlight w:val="none"/>
                <w:lang w:eastAsia="zh-CN"/>
              </w:rPr>
              <w:t>无</w:t>
            </w:r>
          </w:p>
        </w:tc>
      </w:tr>
      <w:tr w14:paraId="453FF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1375727">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263" w:type="dxa"/>
            <w:noWrap w:val="0"/>
            <w:vAlign w:val="center"/>
          </w:tcPr>
          <w:p w14:paraId="73CE1FBF">
            <w:pPr>
              <w:pStyle w:val="13"/>
              <w:keepNext w:val="0"/>
              <w:keepLines w:val="0"/>
              <w:pageBreakBefore w:val="0"/>
              <w:widowControl w:val="0"/>
              <w:kinsoku/>
              <w:overflowPunct/>
              <w:topLinePunct w:val="0"/>
              <w:bidi w:val="0"/>
              <w:spacing w:line="360" w:lineRule="auto"/>
              <w:rPr>
                <w:rFonts w:hint="eastAsia" w:ascii="宋体" w:hAnsi="宋体" w:cs="宋体"/>
                <w:color w:val="auto"/>
                <w:szCs w:val="21"/>
                <w:highlight w:val="none"/>
              </w:rPr>
            </w:pPr>
            <w:r>
              <w:rPr>
                <w:rFonts w:hint="eastAsia" w:ascii="宋体" w:hAnsi="宋体"/>
                <w:color w:val="auto"/>
                <w:szCs w:val="21"/>
                <w:highlight w:val="none"/>
              </w:rPr>
              <w:t>不允许分包</w:t>
            </w:r>
          </w:p>
        </w:tc>
      </w:tr>
      <w:tr w14:paraId="43EA2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2EA524D">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8263" w:type="dxa"/>
            <w:noWrap w:val="0"/>
            <w:vAlign w:val="center"/>
          </w:tcPr>
          <w:p w14:paraId="19FDDF55">
            <w:pPr>
              <w:keepNext w:val="0"/>
              <w:keepLines w:val="0"/>
              <w:pageBreakBefore w:val="0"/>
              <w:widowControl w:val="0"/>
              <w:kinsoku/>
              <w:overflowPunct/>
              <w:topLinePunct w:val="0"/>
              <w:bidi w:val="0"/>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650539D6">
            <w:pPr>
              <w:pStyle w:val="13"/>
              <w:keepNext w:val="0"/>
              <w:keepLines w:val="0"/>
              <w:pageBreakBefore w:val="0"/>
              <w:widowControl w:val="0"/>
              <w:kinsoku/>
              <w:overflowPunct/>
              <w:topLinePunct w:val="0"/>
              <w:bidi w:val="0"/>
              <w:spacing w:line="360" w:lineRule="auto"/>
              <w:rPr>
                <w:rFonts w:hint="eastAsia" w:ascii="宋体" w:hAnsi="宋体"/>
                <w:color w:val="auto"/>
                <w:szCs w:val="21"/>
                <w:highlight w:val="none"/>
              </w:rPr>
            </w:pPr>
            <w:r>
              <w:rPr>
                <w:rFonts w:hint="eastAsia" w:ascii="宋体" w:hAnsi="宋体" w:cs="宋体"/>
                <w:color w:val="auto"/>
                <w:szCs w:val="21"/>
                <w:highlight w:val="none"/>
              </w:rPr>
              <w:t>1.供应商为法人或者其他组织的，提供营业执照等证明文件（如营业执照或者事业单位法人证书或者执业许可证或者登记证书等），供应商为自然人的提供其身份证复印件；（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76E9934">
            <w:pPr>
              <w:keepNext w:val="0"/>
              <w:keepLines w:val="0"/>
              <w:pageBreakBefore w:val="0"/>
              <w:widowControl w:val="0"/>
              <w:kinsoku/>
              <w:overflowPunct/>
              <w:topLinePunct w:val="0"/>
              <w:bidi w:val="0"/>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 供应商依法缴纳税收的相关材料（</w:t>
            </w:r>
            <w:r>
              <w:rPr>
                <w:rFonts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月至响应文件递交截止时间内</w:t>
            </w:r>
            <w:r>
              <w:rPr>
                <w:rFonts w:hint="eastAsia" w:ascii="宋体" w:hAnsi="宋体" w:cs="宋体"/>
                <w:color w:val="auto"/>
                <w:szCs w:val="21"/>
                <w:highlight w:val="none"/>
                <w:lang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2D5F5B7">
            <w:pPr>
              <w:keepNext w:val="0"/>
              <w:keepLines w:val="0"/>
              <w:pageBreakBefore w:val="0"/>
              <w:widowControl w:val="0"/>
              <w:kinsoku/>
              <w:overflowPunct/>
              <w:topLinePunct w:val="0"/>
              <w:bidi w:val="0"/>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3. 供应商依法缴纳社会保障资金的相关材料[</w:t>
            </w:r>
            <w:r>
              <w:rPr>
                <w:rFonts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月至响应文件递交截止时间内</w:t>
            </w:r>
            <w:r>
              <w:rPr>
                <w:rFonts w:hint="eastAsia" w:ascii="宋体" w:hAnsi="宋体" w:cs="宋体"/>
                <w:color w:val="auto"/>
                <w:szCs w:val="21"/>
                <w:highlight w:val="none"/>
                <w:lang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个月的依法缴纳社会保障资金的缴费凭证（</w:t>
            </w:r>
            <w:r>
              <w:rPr>
                <w:rFonts w:hint="eastAsia"/>
                <w:color w:val="auto"/>
                <w:highlight w:val="none"/>
              </w:rPr>
              <w:t>如：</w:t>
            </w:r>
            <w:r>
              <w:rPr>
                <w:rFonts w:hint="eastAsia" w:ascii="宋体" w:hAnsi="宋体" w:cs="宋体"/>
                <w:color w:val="auto"/>
                <w:szCs w:val="21"/>
                <w:highlight w:val="none"/>
              </w:rPr>
              <w:t>专用收据、社会保险缴纳清单或者社保部门的证明）复印件；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的依法缴纳社会保障资金的</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706EA60">
            <w:pPr>
              <w:keepNext w:val="0"/>
              <w:keepLines w:val="0"/>
              <w:pageBreakBefore w:val="0"/>
              <w:widowControl w:val="0"/>
              <w:kinsoku/>
              <w:overflowPunct/>
              <w:topLinePunct w:val="0"/>
              <w:bidi w:val="0"/>
              <w:spacing w:line="360" w:lineRule="auto"/>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4. 供应商</w:t>
            </w:r>
            <w:r>
              <w:rPr>
                <w:rFonts w:hint="eastAsia"/>
                <w:color w:val="auto"/>
                <w:szCs w:val="21"/>
                <w:highlight w:val="none"/>
              </w:rPr>
              <w:t>财务状况报告</w:t>
            </w:r>
            <w:r>
              <w:rPr>
                <w:rFonts w:hint="eastAsia" w:ascii="宋体" w:hAnsi="宋体" w:cs="宋体"/>
                <w:color w:val="auto"/>
                <w:szCs w:val="21"/>
                <w:highlight w:val="none"/>
              </w:rPr>
              <w:t>[</w:t>
            </w:r>
            <w:r>
              <w:rPr>
                <w:rFonts w:hint="eastAsia" w:ascii="宋体" w:hAnsi="宋体" w:eastAsia="宋体" w:cs="宋体"/>
                <w:color w:val="auto"/>
                <w:szCs w:val="21"/>
                <w:highlight w:val="none"/>
                <w:u w:val="single"/>
                <w:shd w:val="clear" w:color="auto" w:fill="auto"/>
                <w:lang w:val="en-US" w:eastAsia="zh-CN"/>
              </w:rPr>
              <w:t>2025</w:t>
            </w:r>
            <w:r>
              <w:rPr>
                <w:rFonts w:hint="eastAsia" w:ascii="宋体" w:hAnsi="宋体" w:eastAsia="宋体" w:cs="宋体"/>
                <w:color w:val="auto"/>
                <w:szCs w:val="21"/>
                <w:highlight w:val="none"/>
                <w:shd w:val="clear" w:color="auto" w:fill="auto"/>
                <w:lang w:val="en-US" w:eastAsia="zh-CN"/>
              </w:rPr>
              <w:t>年度</w:t>
            </w:r>
            <w:r>
              <w:rPr>
                <w:rFonts w:hint="eastAsia"/>
                <w:color w:val="auto"/>
                <w:szCs w:val="21"/>
                <w:highlight w:val="none"/>
              </w:rPr>
              <w:t>财务报表复印件，或者银行出具的资信证明，或者中国人民银行征信中心出具的信用报告（企业</w:t>
            </w:r>
            <w:r>
              <w:rPr>
                <w:rFonts w:hint="eastAsia"/>
                <w:color w:val="auto"/>
                <w:szCs w:val="21"/>
                <w:highlight w:val="none"/>
                <w:lang w:eastAsia="zh-CN"/>
              </w:rPr>
              <w:t>响应</w:t>
            </w:r>
            <w:r>
              <w:rPr>
                <w:rFonts w:hint="eastAsia"/>
                <w:color w:val="auto"/>
                <w:szCs w:val="21"/>
                <w:highlight w:val="none"/>
              </w:rPr>
              <w:t>的提供企业信用报告，自然人</w:t>
            </w:r>
            <w:r>
              <w:rPr>
                <w:rFonts w:hint="eastAsia"/>
                <w:color w:val="auto"/>
                <w:szCs w:val="21"/>
                <w:highlight w:val="none"/>
                <w:lang w:eastAsia="zh-CN"/>
              </w:rPr>
              <w:t>响应</w:t>
            </w:r>
            <w:r>
              <w:rPr>
                <w:rFonts w:hint="eastAsia"/>
                <w:color w:val="auto"/>
                <w:szCs w:val="21"/>
                <w:highlight w:val="none"/>
              </w:rPr>
              <w:t>的提供个人信用报告，供应商属于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Cs/>
                <w:color w:val="auto"/>
                <w:szCs w:val="21"/>
                <w:highlight w:val="none"/>
              </w:rPr>
              <w:t>）</w:t>
            </w:r>
          </w:p>
          <w:p w14:paraId="4D526DA1">
            <w:pPr>
              <w:keepNext w:val="0"/>
              <w:keepLines w:val="0"/>
              <w:pageBreakBefore w:val="0"/>
              <w:widowControl w:val="0"/>
              <w:kinsoku/>
              <w:overflowPunct/>
              <w:topLinePunct w:val="0"/>
              <w:bidi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44D6E02">
            <w:pPr>
              <w:keepNext w:val="0"/>
              <w:keepLines w:val="0"/>
              <w:pageBreakBefore w:val="0"/>
              <w:widowControl w:val="0"/>
              <w:kinsoku/>
              <w:overflowPunct/>
              <w:topLinePunct w:val="0"/>
              <w:bidi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6. 供应商直接管理关系信息表（格式后附）；（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0E7619C">
            <w:pPr>
              <w:keepNext w:val="0"/>
              <w:keepLines w:val="0"/>
              <w:pageBreakBefore w:val="0"/>
              <w:widowControl w:val="0"/>
              <w:kinsoku/>
              <w:overflowPunct/>
              <w:topLinePunct w:val="0"/>
              <w:bidi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7CE1021">
            <w:pPr>
              <w:keepNext w:val="0"/>
              <w:keepLines w:val="0"/>
              <w:pageBreakBefore w:val="0"/>
              <w:widowControl w:val="0"/>
              <w:kinsoku/>
              <w:overflowPunct/>
              <w:topLinePunct w:val="0"/>
              <w:bidi w:val="0"/>
              <w:snapToGrid w:val="0"/>
              <w:spacing w:line="360" w:lineRule="auto"/>
              <w:jc w:val="left"/>
              <w:rPr>
                <w:rFonts w:hint="eastAsia" w:ascii="宋体" w:hAnsi="宋体" w:eastAsia="宋体" w:cs="宋体"/>
                <w:b/>
                <w:bCs/>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eastAsia="宋体" w:cs="宋体"/>
                <w:color w:val="auto"/>
                <w:kern w:val="2"/>
                <w:sz w:val="21"/>
                <w:szCs w:val="21"/>
                <w:highlight w:val="none"/>
                <w:lang w:val="en-US" w:eastAsia="zh-CN" w:bidi="ar-SA"/>
              </w:rPr>
              <w:t>供应商为中小微企业或者监狱企业或者残疾人福利性单位的资格证明材料【供应商为中小微企业的应当提供《中小企业声明函》;供应商为残疾人福利性单位的应当提供《残疾人福利性单位声明函》;供应商为监狱企业的应当提供由省级以上监狱管理局、戒毒管理局(含新疆生产建设兵团)出具的属于监狱企业的证明文件】</w:t>
            </w:r>
            <w:r>
              <w:rPr>
                <w:rFonts w:hint="eastAsia" w:ascii="宋体" w:hAnsi="宋体" w:eastAsia="宋体" w:cs="宋体"/>
                <w:b/>
                <w:bCs/>
                <w:color w:val="auto"/>
                <w:kern w:val="2"/>
                <w:sz w:val="21"/>
                <w:szCs w:val="21"/>
                <w:highlight w:val="none"/>
                <w:lang w:val="en-US" w:eastAsia="zh-CN" w:bidi="ar-SA"/>
              </w:rPr>
              <w:t>(声明函格</w:t>
            </w:r>
            <w:r>
              <w:rPr>
                <w:rFonts w:hint="eastAsia" w:ascii="宋体" w:hAnsi="宋体" w:eastAsia="宋体" w:cs="宋体"/>
                <w:b/>
                <w:bCs/>
                <w:color w:val="auto"/>
                <w:szCs w:val="21"/>
                <w:highlight w:val="none"/>
                <w:lang w:val="en-US" w:eastAsia="zh-CN"/>
              </w:rPr>
              <w:t>式后附);(必须提供，否则按无效响应处理)</w:t>
            </w:r>
          </w:p>
          <w:p w14:paraId="4394B749">
            <w:pPr>
              <w:keepNext w:val="0"/>
              <w:keepLines w:val="0"/>
              <w:pageBreakBefore w:val="0"/>
              <w:widowControl w:val="0"/>
              <w:kinsoku/>
              <w:overflowPunct/>
              <w:topLinePunct w:val="0"/>
              <w:bidi w:val="0"/>
              <w:snapToGri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eastAsia="zh-CN"/>
              </w:rPr>
              <w:t>磋商文件</w:t>
            </w:r>
            <w:r>
              <w:rPr>
                <w:rFonts w:hint="eastAsia" w:ascii="宋体" w:hAnsi="宋体" w:eastAsia="宋体" w:cs="宋体"/>
                <w:color w:val="auto"/>
                <w:szCs w:val="21"/>
                <w:highlight w:val="none"/>
              </w:rPr>
              <w:t>要求缴纳的</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保证金证明；</w:t>
            </w:r>
            <w:r>
              <w:rPr>
                <w:rFonts w:hint="eastAsia" w:ascii="宋体" w:hAnsi="宋体" w:eastAsia="宋体" w:cs="宋体"/>
                <w:b/>
                <w:bCs/>
                <w:color w:val="auto"/>
                <w:szCs w:val="21"/>
                <w:highlight w:val="none"/>
              </w:rPr>
              <w:t>（必须</w:t>
            </w:r>
            <w:r>
              <w:rPr>
                <w:rFonts w:hint="eastAsia" w:ascii="宋体" w:hAnsi="宋体" w:eastAsia="宋体" w:cs="宋体"/>
                <w:b/>
                <w:bCs/>
                <w:color w:val="auto"/>
                <w:szCs w:val="21"/>
                <w:highlight w:val="none"/>
                <w:lang w:eastAsia="zh-CN"/>
              </w:rPr>
              <w:t>提供</w:t>
            </w:r>
            <w:r>
              <w:rPr>
                <w:rFonts w:hint="eastAsia" w:ascii="宋体" w:hAnsi="宋体" w:eastAsia="宋体" w:cs="宋体"/>
                <w:b/>
                <w:color w:val="auto"/>
                <w:szCs w:val="21"/>
                <w:highlight w:val="none"/>
              </w:rPr>
              <w:t>，否则</w:t>
            </w:r>
            <w:r>
              <w:rPr>
                <w:rFonts w:hint="eastAsia" w:ascii="宋体" w:hAnsi="宋体" w:eastAsia="宋体" w:cs="宋体"/>
                <w:b/>
                <w:color w:val="auto"/>
                <w:szCs w:val="21"/>
                <w:highlight w:val="none"/>
                <w:shd w:val="clear" w:color="auto" w:fill="auto"/>
              </w:rPr>
              <w:t>按</w:t>
            </w:r>
            <w:r>
              <w:rPr>
                <w:rFonts w:hint="eastAsia" w:ascii="宋体" w:hAnsi="宋体" w:eastAsia="宋体" w:cs="宋体"/>
                <w:b/>
                <w:color w:val="auto"/>
                <w:szCs w:val="21"/>
                <w:highlight w:val="none"/>
                <w:lang w:eastAsia="zh-CN"/>
              </w:rPr>
              <w:t>响应无效</w:t>
            </w:r>
            <w:r>
              <w:rPr>
                <w:rFonts w:hint="eastAsia" w:ascii="宋体" w:hAnsi="宋体" w:eastAsia="宋体" w:cs="宋体"/>
                <w:b/>
                <w:color w:val="auto"/>
                <w:szCs w:val="21"/>
                <w:highlight w:val="none"/>
              </w:rPr>
              <w:t>处理</w:t>
            </w:r>
            <w:r>
              <w:rPr>
                <w:rFonts w:hint="eastAsia" w:ascii="宋体" w:hAnsi="宋体" w:eastAsia="宋体" w:cs="宋体"/>
                <w:b/>
                <w:bCs/>
                <w:color w:val="auto"/>
                <w:szCs w:val="21"/>
                <w:highlight w:val="none"/>
              </w:rPr>
              <w:t>）</w:t>
            </w:r>
          </w:p>
          <w:p w14:paraId="40E063F0">
            <w:pPr>
              <w:keepNext w:val="0"/>
              <w:keepLines w:val="0"/>
              <w:pageBreakBefore w:val="0"/>
              <w:widowControl w:val="0"/>
              <w:kinsoku/>
              <w:overflowPunct/>
              <w:topLinePunct w:val="0"/>
              <w:bidi w:val="0"/>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lang w:val="en-US" w:eastAsia="zh-CN"/>
              </w:rPr>
              <w:t>10</w:t>
            </w:r>
            <w:r>
              <w:rPr>
                <w:rFonts w:ascii="宋体" w:hAnsi="宋体" w:cs="宋体"/>
                <w:b/>
                <w:bCs/>
                <w:color w:val="auto"/>
                <w:szCs w:val="21"/>
                <w:highlight w:val="none"/>
              </w:rPr>
              <w:t>.</w:t>
            </w:r>
            <w:r>
              <w:rPr>
                <w:rFonts w:hint="eastAsia" w:ascii="宋体" w:hAnsi="宋体" w:cs="宋体"/>
                <w:b/>
                <w:bCs/>
                <w:color w:val="auto"/>
                <w:szCs w:val="21"/>
                <w:highlight w:val="none"/>
              </w:rPr>
              <w:t>特定</w:t>
            </w:r>
            <w:r>
              <w:rPr>
                <w:rFonts w:ascii="宋体" w:hAnsi="宋体" w:cs="宋体"/>
                <w:b/>
                <w:bCs/>
                <w:color w:val="auto"/>
                <w:szCs w:val="21"/>
                <w:highlight w:val="none"/>
              </w:rPr>
              <w:t>资格</w:t>
            </w:r>
            <w:r>
              <w:rPr>
                <w:rFonts w:hint="eastAsia" w:ascii="宋体" w:hAnsi="宋体" w:cs="宋体"/>
                <w:b/>
                <w:bCs/>
                <w:color w:val="auto"/>
                <w:szCs w:val="21"/>
                <w:highlight w:val="none"/>
              </w:rPr>
              <w:t>要求</w:t>
            </w:r>
            <w:r>
              <w:rPr>
                <w:rFonts w:ascii="宋体" w:hAnsi="宋体" w:cs="宋体"/>
                <w:b/>
                <w:bCs/>
                <w:color w:val="auto"/>
                <w:szCs w:val="21"/>
                <w:highlight w:val="none"/>
              </w:rPr>
              <w:t>：</w:t>
            </w:r>
            <w:r>
              <w:rPr>
                <w:rFonts w:hint="eastAsia" w:ascii="宋体" w:hAnsi="宋体" w:cs="宋体"/>
                <w:b/>
                <w:bCs/>
                <w:color w:val="auto"/>
                <w:szCs w:val="21"/>
                <w:highlight w:val="none"/>
              </w:rPr>
              <w:t>【以下内容必须提供，否则响应文件按无效处理】</w:t>
            </w:r>
          </w:p>
          <w:p w14:paraId="20FD0D9B">
            <w:pPr>
              <w:keepNext w:val="0"/>
              <w:keepLines w:val="0"/>
              <w:pageBreakBefore w:val="0"/>
              <w:widowControl w:val="0"/>
              <w:kinsoku/>
              <w:overflowPunct/>
              <w:topLinePunct w:val="0"/>
              <w:bidi w:val="0"/>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（1）磋商供应商的有效资质证书、有效的安全生产许可证</w:t>
            </w:r>
            <w:r>
              <w:rPr>
                <w:rFonts w:ascii="宋体" w:hAnsi="宋体" w:cs="宋体"/>
                <w:b/>
                <w:bCs/>
                <w:color w:val="auto"/>
                <w:szCs w:val="21"/>
                <w:highlight w:val="none"/>
              </w:rPr>
              <w:t>扫描件</w:t>
            </w:r>
            <w:r>
              <w:rPr>
                <w:rFonts w:hint="eastAsia" w:ascii="宋体" w:hAnsi="宋体" w:cs="宋体"/>
                <w:b/>
                <w:bCs/>
                <w:color w:val="auto"/>
                <w:szCs w:val="21"/>
                <w:highlight w:val="none"/>
              </w:rPr>
              <w:t>或复印件；</w:t>
            </w:r>
          </w:p>
          <w:p w14:paraId="679EEB95">
            <w:pPr>
              <w:keepNext w:val="0"/>
              <w:keepLines w:val="0"/>
              <w:pageBreakBefore w:val="0"/>
              <w:widowControl w:val="0"/>
              <w:kinsoku/>
              <w:overflowPunct/>
              <w:topLinePunct w:val="0"/>
              <w:bidi w:val="0"/>
              <w:snapToGrid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（2）供应商拟派项目经理：1）注册建造师执业资格证书扫描件或复印件，2）具备安全生产考核合格证书（B类）复印件。</w:t>
            </w:r>
          </w:p>
          <w:p w14:paraId="502C8C7A">
            <w:pPr>
              <w:keepNext w:val="0"/>
              <w:keepLines w:val="0"/>
              <w:pageBreakBefore w:val="0"/>
              <w:widowControl w:val="0"/>
              <w:kinsoku/>
              <w:overflowPunct/>
              <w:topLinePunct w:val="0"/>
              <w:bidi w:val="0"/>
              <w:snapToGrid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（3）安全员具备有效的安全生产考核合格证书(C类)的扫描件或复印件。</w:t>
            </w:r>
          </w:p>
          <w:p w14:paraId="34E69A23">
            <w:pPr>
              <w:keepNext w:val="0"/>
              <w:keepLines w:val="0"/>
              <w:pageBreakBefore w:val="0"/>
              <w:widowControl w:val="0"/>
              <w:kinsoku/>
              <w:overflowPunct/>
              <w:topLinePunct w:val="0"/>
              <w:bidi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除磋商文件规定必须提供以外，供应商认为需要提供的其他证明材料；</w:t>
            </w:r>
          </w:p>
          <w:p w14:paraId="694AA6E6">
            <w:pPr>
              <w:keepNext w:val="0"/>
              <w:keepLines w:val="0"/>
              <w:pageBreakBefore w:val="0"/>
              <w:widowControl w:val="0"/>
              <w:kinsoku/>
              <w:overflowPunct/>
              <w:topLinePunct w:val="0"/>
              <w:bidi w:val="0"/>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765F9B50">
            <w:pPr>
              <w:keepNext w:val="0"/>
              <w:keepLines w:val="0"/>
              <w:pageBreakBefore w:val="0"/>
              <w:widowControl w:val="0"/>
              <w:kinsoku/>
              <w:overflowPunct/>
              <w:topLinePunct w:val="0"/>
              <w:bidi w:val="0"/>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w:t>
            </w:r>
            <w:r>
              <w:rPr>
                <w:rFonts w:hint="eastAsia"/>
                <w:b/>
                <w:color w:val="auto"/>
                <w:highlight w:val="none"/>
              </w:rPr>
              <w:t>电子签章</w:t>
            </w:r>
            <w:r>
              <w:rPr>
                <w:rFonts w:hint="eastAsia" w:ascii="宋体" w:hAnsi="宋体" w:cs="宋体"/>
                <w:b/>
                <w:color w:val="auto"/>
                <w:szCs w:val="21"/>
                <w:highlight w:val="none"/>
              </w:rPr>
              <w:t>，否则响应文件按无效处理。</w:t>
            </w:r>
          </w:p>
          <w:p w14:paraId="60A9F423">
            <w:pPr>
              <w:pStyle w:val="13"/>
              <w:keepNext w:val="0"/>
              <w:keepLines w:val="0"/>
              <w:pageBreakBefore w:val="0"/>
              <w:widowControl w:val="0"/>
              <w:kinsoku/>
              <w:overflowPunct/>
              <w:topLinePunct w:val="0"/>
              <w:bidi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2.联合体</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时，第1-6项资格证明文件联合体各方均必须分别提供，</w:t>
            </w:r>
            <w:r>
              <w:rPr>
                <w:rFonts w:hint="eastAsia"/>
                <w:b/>
                <w:color w:val="auto"/>
                <w:highlight w:val="none"/>
              </w:rPr>
              <w:t>并由</w:t>
            </w:r>
            <w:r>
              <w:rPr>
                <w:rFonts w:hint="eastAsia" w:ascii="宋体" w:hAnsi="宋体" w:cs="宋体"/>
                <w:b/>
                <w:color w:val="auto"/>
                <w:szCs w:val="21"/>
                <w:highlight w:val="none"/>
              </w:rPr>
              <w:t>联合体</w:t>
            </w:r>
            <w:r>
              <w:rPr>
                <w:rFonts w:hint="eastAsia"/>
                <w:b/>
                <w:color w:val="auto"/>
                <w:highlight w:val="none"/>
              </w:rPr>
              <w:t>牵头人加盖电子签章</w:t>
            </w:r>
            <w:r>
              <w:rPr>
                <w:rFonts w:hint="eastAsia" w:ascii="宋体" w:hAnsi="宋体" w:cs="宋体"/>
                <w:b/>
                <w:color w:val="auto"/>
                <w:szCs w:val="21"/>
                <w:highlight w:val="none"/>
              </w:rPr>
              <w:t>，</w:t>
            </w:r>
            <w:r>
              <w:rPr>
                <w:rFonts w:hint="eastAsia"/>
                <w:b/>
                <w:color w:val="auto"/>
                <w:highlight w:val="none"/>
              </w:rPr>
              <w:t>规定签字</w:t>
            </w:r>
            <w:r>
              <w:rPr>
                <w:rFonts w:hint="eastAsia" w:ascii="宋体" w:hAnsi="宋体" w:cs="宋体"/>
                <w:b/>
                <w:color w:val="auto"/>
                <w:szCs w:val="21"/>
                <w:highlight w:val="none"/>
              </w:rPr>
              <w:t>处签字</w:t>
            </w:r>
            <w:r>
              <w:rPr>
                <w:rFonts w:hint="eastAsia" w:ascii="宋体" w:hAnsi="宋体"/>
                <w:b/>
                <w:bCs/>
                <w:color w:val="auto"/>
                <w:szCs w:val="21"/>
                <w:highlight w:val="none"/>
              </w:rPr>
              <w:t>（或者电子签名）</w:t>
            </w:r>
            <w:r>
              <w:rPr>
                <w:rFonts w:hint="eastAsia" w:ascii="宋体" w:hAnsi="宋体" w:cs="宋体"/>
                <w:b/>
                <w:color w:val="auto"/>
                <w:szCs w:val="21"/>
                <w:highlight w:val="none"/>
              </w:rPr>
              <w:t>，否则响应文件按无效处理。</w:t>
            </w:r>
          </w:p>
        </w:tc>
      </w:tr>
      <w:tr w14:paraId="622EA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64365FD">
            <w:pPr>
              <w:keepNext w:val="0"/>
              <w:keepLines w:val="0"/>
              <w:pageBreakBefore w:val="0"/>
              <w:widowControl w:val="0"/>
              <w:kinsoku/>
              <w:overflowPunct/>
              <w:topLinePunct w:val="0"/>
              <w:bidi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8263" w:type="dxa"/>
            <w:noWrap w:val="0"/>
            <w:vAlign w:val="center"/>
          </w:tcPr>
          <w:p w14:paraId="05262477">
            <w:pPr>
              <w:keepNext w:val="0"/>
              <w:keepLines w:val="0"/>
              <w:pageBreakBefore w:val="0"/>
              <w:widowControl w:val="0"/>
              <w:kinsoku/>
              <w:overflowPunct/>
              <w:topLinePunct w:val="0"/>
              <w:bidi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报价文件</w:t>
            </w:r>
          </w:p>
          <w:p w14:paraId="6367FBE6">
            <w:pPr>
              <w:keepNext w:val="0"/>
              <w:keepLines w:val="0"/>
              <w:pageBreakBefore w:val="0"/>
              <w:widowControl w:val="0"/>
              <w:kinsoku/>
              <w:overflowPunct/>
              <w:topLinePunct w:val="0"/>
              <w:bidi w:val="0"/>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竞标函</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778D102">
            <w:pPr>
              <w:keepNext w:val="0"/>
              <w:keepLines w:val="0"/>
              <w:pageBreakBefore w:val="0"/>
              <w:widowControl w:val="0"/>
              <w:kinsoku/>
              <w:overflowPunct/>
              <w:topLinePunct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3B4FA28">
            <w:pPr>
              <w:keepNext w:val="0"/>
              <w:keepLines w:val="0"/>
              <w:pageBreakBefore w:val="0"/>
              <w:widowControl w:val="0"/>
              <w:kinsoku/>
              <w:overflowPunct/>
              <w:topLinePunct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3.已标价工程量清单</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8FE7907">
            <w:pPr>
              <w:keepNext w:val="0"/>
              <w:keepLines w:val="0"/>
              <w:pageBreakBefore w:val="0"/>
              <w:widowControl w:val="0"/>
              <w:kinsoku/>
              <w:overflowPunct/>
              <w:topLinePunct w:val="0"/>
              <w:bidi w:val="0"/>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.供应商认为需要提供的其他有关资料，如《中小企业声明函》。</w:t>
            </w:r>
          </w:p>
        </w:tc>
      </w:tr>
      <w:tr w14:paraId="4CA99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5E7B91C">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8263" w:type="dxa"/>
            <w:noWrap w:val="0"/>
            <w:vAlign w:val="center"/>
          </w:tcPr>
          <w:p w14:paraId="53E063FC">
            <w:pPr>
              <w:keepNext w:val="0"/>
              <w:keepLines w:val="0"/>
              <w:pageBreakBefore w:val="0"/>
              <w:widowControl w:val="0"/>
              <w:kinsoku/>
              <w:overflowPunct/>
              <w:topLinePunct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6E43B7A">
            <w:pPr>
              <w:keepNext w:val="0"/>
              <w:keepLines w:val="0"/>
              <w:pageBreakBefore w:val="0"/>
              <w:widowControl w:val="0"/>
              <w:kinsoku/>
              <w:overflowPunct/>
              <w:topLinePunct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25B6605">
            <w:pPr>
              <w:keepNext w:val="0"/>
              <w:keepLines w:val="0"/>
              <w:pageBreakBefore w:val="0"/>
              <w:widowControl w:val="0"/>
              <w:kinsoku/>
              <w:overflowPunct/>
              <w:topLinePunct w:val="0"/>
              <w:bidi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w:t>
            </w:r>
            <w:r>
              <w:rPr>
                <w:rFonts w:hint="eastAsia" w:ascii="宋体" w:hAnsi="宋体" w:cs="宋体"/>
                <w:b/>
                <w:bCs/>
                <w:color w:val="auto"/>
                <w:szCs w:val="21"/>
                <w:highlight w:val="none"/>
                <w:lang w:eastAsia="zh-CN"/>
              </w:rPr>
              <w:t>响应</w:t>
            </w:r>
            <w:r>
              <w:rPr>
                <w:rFonts w:hint="eastAsia" w:ascii="宋体" w:hAnsi="宋体" w:cs="宋体"/>
                <w:b/>
                <w:bCs/>
                <w:color w:val="auto"/>
                <w:szCs w:val="21"/>
                <w:highlight w:val="none"/>
              </w:rPr>
              <w:t>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759157E">
            <w:pPr>
              <w:keepNext w:val="0"/>
              <w:keepLines w:val="0"/>
              <w:pageBreakBefore w:val="0"/>
              <w:widowControl w:val="0"/>
              <w:kinsoku/>
              <w:overflowPunct/>
              <w:topLinePunct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430786C5">
            <w:pPr>
              <w:keepNext w:val="0"/>
              <w:keepLines w:val="0"/>
              <w:pageBreakBefore w:val="0"/>
              <w:widowControl w:val="0"/>
              <w:kinsoku/>
              <w:overflowPunct/>
              <w:topLinePunct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44BA1DC">
            <w:pPr>
              <w:keepNext w:val="0"/>
              <w:keepLines w:val="0"/>
              <w:pageBreakBefore w:val="0"/>
              <w:widowControl w:val="0"/>
              <w:kinsoku/>
              <w:overflowPunct/>
              <w:topLinePunct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施工组织设计</w:t>
            </w:r>
            <w:r>
              <w:rPr>
                <w:rFonts w:hint="eastAsia" w:ascii="宋体" w:hAnsi="宋体" w:cs="宋体"/>
                <w:color w:val="auto"/>
                <w:szCs w:val="21"/>
                <w:highlight w:val="none"/>
              </w:rPr>
              <w:t>（格式自拟）；</w:t>
            </w:r>
            <w:r>
              <w:rPr>
                <w:rFonts w:hint="eastAsia" w:ascii="宋体" w:hAnsi="宋体" w:cs="宋体"/>
                <w:i/>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i/>
                <w:color w:val="auto"/>
                <w:szCs w:val="21"/>
                <w:highlight w:val="none"/>
              </w:rPr>
              <w:t>）</w:t>
            </w:r>
          </w:p>
          <w:p w14:paraId="0A7E7E65">
            <w:pPr>
              <w:keepNext w:val="0"/>
              <w:keepLines w:val="0"/>
              <w:pageBreakBefore w:val="0"/>
              <w:widowControl w:val="0"/>
              <w:kinsoku/>
              <w:overflowPunct/>
              <w:topLinePunct w:val="0"/>
              <w:bidi w:val="0"/>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.技术要求偏离表（格式后附）；（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5CE3A9B">
            <w:pPr>
              <w:keepNext w:val="0"/>
              <w:keepLines w:val="0"/>
              <w:pageBreakBefore w:val="0"/>
              <w:widowControl w:val="0"/>
              <w:kinsoku/>
              <w:overflowPunct/>
              <w:topLinePunct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.项目管理机构（格式</w:t>
            </w:r>
            <w:r>
              <w:rPr>
                <w:rFonts w:hint="eastAsia" w:ascii="宋体" w:hAnsi="宋体" w:cs="宋体"/>
                <w:color w:val="auto"/>
                <w:szCs w:val="21"/>
                <w:highlight w:val="none"/>
                <w:lang w:eastAsia="zh-CN"/>
              </w:rPr>
              <w:t>后附</w:t>
            </w:r>
            <w:r>
              <w:rPr>
                <w:rFonts w:hint="eastAsia" w:ascii="宋体" w:hAnsi="宋体" w:cs="宋体"/>
                <w:color w:val="auto"/>
                <w:szCs w:val="21"/>
                <w:highlight w:val="none"/>
              </w:rPr>
              <w:t>）； （</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4BDDF8F">
            <w:pPr>
              <w:keepNext w:val="0"/>
              <w:keepLines w:val="0"/>
              <w:pageBreakBefore w:val="0"/>
              <w:widowControl w:val="0"/>
              <w:kinsoku/>
              <w:overflowPunct/>
              <w:topLinePunct w:val="0"/>
              <w:bidi w:val="0"/>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.代理服务费承诺书</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5E2C93C">
            <w:pPr>
              <w:keepNext w:val="0"/>
              <w:keepLines w:val="0"/>
              <w:pageBreakBefore w:val="0"/>
              <w:widowControl w:val="0"/>
              <w:kinsoku/>
              <w:overflowPunct/>
              <w:topLinePunct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.对应采购需求的技术要求、商务要求提供的其他文件资料（格式自拟）；</w:t>
            </w:r>
          </w:p>
          <w:p w14:paraId="2ED38309">
            <w:pPr>
              <w:keepNext w:val="0"/>
              <w:keepLines w:val="0"/>
              <w:pageBreakBefore w:val="0"/>
              <w:widowControl w:val="0"/>
              <w:kinsoku/>
              <w:overflowPunct/>
              <w:topLinePunct w:val="0"/>
              <w:bidi w:val="0"/>
              <w:spacing w:line="360" w:lineRule="auto"/>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.供应商认为需要提供的其他有关资料。</w:t>
            </w:r>
          </w:p>
          <w:p w14:paraId="0A400298">
            <w:pPr>
              <w:keepNext w:val="0"/>
              <w:keepLines w:val="0"/>
              <w:pageBreakBefore w:val="0"/>
              <w:widowControl w:val="0"/>
              <w:kinsoku/>
              <w:overflowPunct/>
              <w:topLinePunct w:val="0"/>
              <w:bidi w:val="0"/>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w:t>
            </w:r>
            <w:r>
              <w:rPr>
                <w:rFonts w:hint="eastAsia" w:ascii="宋体" w:hAnsi="宋体"/>
                <w:b/>
                <w:bCs/>
                <w:color w:val="auto"/>
                <w:szCs w:val="21"/>
                <w:highlight w:val="none"/>
              </w:rPr>
              <w:t>电子签章</w:t>
            </w:r>
            <w:r>
              <w:rPr>
                <w:rFonts w:hint="eastAsia" w:ascii="宋体" w:hAnsi="宋体" w:cs="宋体"/>
                <w:b/>
                <w:color w:val="auto"/>
                <w:szCs w:val="21"/>
                <w:highlight w:val="none"/>
              </w:rPr>
              <w:t>，否则响应文件按无效响应处理。</w:t>
            </w:r>
          </w:p>
        </w:tc>
      </w:tr>
      <w:tr w14:paraId="40B15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992" w:type="dxa"/>
            <w:noWrap w:val="0"/>
            <w:vAlign w:val="center"/>
          </w:tcPr>
          <w:p w14:paraId="1A5D981B">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263" w:type="dxa"/>
            <w:noWrap w:val="0"/>
            <w:vAlign w:val="center"/>
          </w:tcPr>
          <w:p w14:paraId="781AA62E">
            <w:pPr>
              <w:keepNext w:val="0"/>
              <w:keepLines w:val="0"/>
              <w:pageBreakBefore w:val="0"/>
              <w:widowControl w:val="0"/>
              <w:kinsoku/>
              <w:overflowPunct/>
              <w:topLinePunct w:val="0"/>
              <w:bidi w:val="0"/>
              <w:spacing w:line="360" w:lineRule="auto"/>
              <w:jc w:val="left"/>
              <w:rPr>
                <w:rFonts w:hint="eastAsia" w:ascii="宋体" w:hAnsi="宋体" w:cs="宋体"/>
                <w:color w:val="auto"/>
                <w:szCs w:val="21"/>
                <w:highlight w:val="none"/>
              </w:rPr>
            </w:pPr>
            <w:r>
              <w:rPr>
                <w:rFonts w:hint="eastAsia" w:ascii="宋体" w:hAnsi="宋体"/>
                <w:color w:val="auto"/>
                <w:szCs w:val="21"/>
                <w:highlight w:val="none"/>
                <w:lang w:eastAsia="zh-CN"/>
              </w:rPr>
              <w:t>竞标</w:t>
            </w:r>
            <w:r>
              <w:rPr>
                <w:rFonts w:hint="eastAsia" w:ascii="宋体" w:hAnsi="宋体"/>
                <w:color w:val="auto"/>
                <w:szCs w:val="21"/>
                <w:highlight w:val="none"/>
              </w:rPr>
              <w:t>报价是履行合同的最终价格，</w:t>
            </w:r>
            <w:r>
              <w:rPr>
                <w:rFonts w:hint="eastAsia" w:ascii="宋体" w:hAnsi="宋体" w:cs="宋体"/>
                <w:color w:val="auto"/>
                <w:szCs w:val="21"/>
                <w:highlight w:val="none"/>
              </w:rPr>
              <w:t>即满足全部采购需求所应提供的服务的价格；</w:t>
            </w:r>
            <w:r>
              <w:rPr>
                <w:rFonts w:hint="eastAsia"/>
                <w:color w:val="auto"/>
                <w:kern w:val="0"/>
                <w:highlight w:val="none"/>
              </w:rPr>
              <w:t>包括</w:t>
            </w:r>
            <w:r>
              <w:rPr>
                <w:rFonts w:hint="eastAsia" w:ascii="宋体" w:hAnsi="宋体"/>
                <w:color w:val="auto"/>
                <w:sz w:val="22"/>
                <w:szCs w:val="22"/>
                <w:highlight w:val="none"/>
              </w:rPr>
              <w:t>服务的价格、人员费用、管理费、利润、派出工作人员的交通费、食宿、税费等，以及</w:t>
            </w:r>
            <w:r>
              <w:rPr>
                <w:rFonts w:hint="eastAsia" w:ascii="宋体" w:hAnsi="宋体"/>
                <w:color w:val="auto"/>
                <w:szCs w:val="21"/>
                <w:highlight w:val="none"/>
              </w:rPr>
              <w:t>完成合同所需的一切本身和不可或缺的所有开支、政策性文件规定的合同包含的所有风险、责任等各项全部费用。</w:t>
            </w:r>
          </w:p>
        </w:tc>
      </w:tr>
      <w:tr w14:paraId="21107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 w:hRule="atLeast"/>
          <w:jc w:val="center"/>
        </w:trPr>
        <w:tc>
          <w:tcPr>
            <w:tcW w:w="992" w:type="dxa"/>
            <w:noWrap w:val="0"/>
            <w:vAlign w:val="center"/>
          </w:tcPr>
          <w:p w14:paraId="35A25D19">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8263" w:type="dxa"/>
            <w:noWrap w:val="0"/>
            <w:vAlign w:val="center"/>
          </w:tcPr>
          <w:p w14:paraId="528E325E">
            <w:pPr>
              <w:keepNext w:val="0"/>
              <w:keepLines w:val="0"/>
              <w:pageBreakBefore w:val="0"/>
              <w:widowControl w:val="0"/>
              <w:kinsoku/>
              <w:overflowPunct/>
              <w:topLinePunct w:val="0"/>
              <w:bidi w:val="0"/>
              <w:spacing w:line="360" w:lineRule="auto"/>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竞标有效期：自首次响应文件提交截止之日起 25 日。</w:t>
            </w:r>
          </w:p>
        </w:tc>
      </w:tr>
      <w:tr w14:paraId="5D0DE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8715E1A">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263" w:type="dxa"/>
            <w:noWrap w:val="0"/>
            <w:vAlign w:val="center"/>
          </w:tcPr>
          <w:p w14:paraId="7328031B">
            <w:pPr>
              <w:keepNext w:val="0"/>
              <w:keepLines w:val="0"/>
              <w:pageBreakBefore w:val="0"/>
              <w:widowControl w:val="0"/>
              <w:kinsoku/>
              <w:overflowPunct/>
              <w:topLinePunct w:val="0"/>
              <w:bidi w:val="0"/>
              <w:spacing w:line="360" w:lineRule="auto"/>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本项目收取磋商保证金</w:t>
            </w:r>
            <w:r>
              <w:rPr>
                <w:rFonts w:hint="eastAsia" w:ascii="宋体" w:hAnsi="宋体" w:eastAsia="宋体"/>
                <w:color w:val="auto"/>
                <w:szCs w:val="21"/>
                <w:highlight w:val="none"/>
                <w:lang w:eastAsia="zh-CN"/>
              </w:rPr>
              <w:t>，具体规定如下：</w:t>
            </w:r>
          </w:p>
          <w:p w14:paraId="17F7F689">
            <w:pPr>
              <w:keepNext w:val="0"/>
              <w:keepLines w:val="0"/>
              <w:pageBreakBefore w:val="0"/>
              <w:widowControl w:val="0"/>
              <w:kinsoku/>
              <w:overflowPunct/>
              <w:topLinePunct w:val="0"/>
              <w:bidi w:val="0"/>
              <w:spacing w:line="360" w:lineRule="auto"/>
              <w:jc w:val="left"/>
              <w:rPr>
                <w:rFonts w:hint="eastAsia" w:ascii="宋体" w:hAnsi="宋体" w:eastAsia="宋体"/>
                <w:color w:val="auto"/>
                <w:szCs w:val="21"/>
                <w:highlight w:val="none"/>
              </w:rPr>
            </w:pPr>
            <w:r>
              <w:rPr>
                <w:rFonts w:hint="eastAsia" w:ascii="宋体" w:hAnsi="宋体" w:eastAsia="宋体"/>
                <w:color w:val="auto"/>
                <w:szCs w:val="21"/>
                <w:highlight w:val="none"/>
              </w:rPr>
              <w:t>磋商保证金人民币</w:t>
            </w:r>
            <w:r>
              <w:rPr>
                <w:rFonts w:hint="eastAsia" w:ascii="宋体" w:hAnsi="宋体"/>
                <w:color w:val="auto"/>
                <w:szCs w:val="21"/>
                <w:highlight w:val="none"/>
                <w:u w:val="single"/>
                <w:lang w:val="en-US" w:eastAsia="zh-CN"/>
              </w:rPr>
              <w:t>113000</w:t>
            </w:r>
            <w:r>
              <w:rPr>
                <w:rFonts w:hint="eastAsia" w:ascii="宋体" w:hAnsi="宋体" w:eastAsia="宋体"/>
                <w:color w:val="auto"/>
                <w:szCs w:val="21"/>
                <w:highlight w:val="none"/>
                <w:u w:val="single"/>
                <w:lang w:val="en-US" w:eastAsia="zh-CN"/>
              </w:rPr>
              <w:t>.00</w:t>
            </w:r>
            <w:r>
              <w:rPr>
                <w:rFonts w:hint="eastAsia" w:ascii="宋体" w:hAnsi="宋体" w:eastAsia="宋体"/>
                <w:color w:val="auto"/>
                <w:szCs w:val="21"/>
                <w:highlight w:val="none"/>
              </w:rPr>
              <w:t>元。</w:t>
            </w:r>
          </w:p>
          <w:p w14:paraId="2ED84FCE">
            <w:pPr>
              <w:keepNext w:val="0"/>
              <w:keepLines w:val="0"/>
              <w:pageBreakBefore w:val="0"/>
              <w:widowControl w:val="0"/>
              <w:kinsoku/>
              <w:overflowPunct/>
              <w:topLinePunct w:val="0"/>
              <w:bidi w:val="0"/>
              <w:spacing w:line="360" w:lineRule="auto"/>
              <w:jc w:val="left"/>
              <w:rPr>
                <w:rFonts w:hint="eastAsia" w:ascii="宋体" w:hAnsi="宋体" w:eastAsia="宋体"/>
                <w:color w:val="auto"/>
                <w:szCs w:val="21"/>
                <w:highlight w:val="none"/>
              </w:rPr>
            </w:pPr>
            <w:r>
              <w:rPr>
                <w:rFonts w:hint="eastAsia" w:ascii="宋体" w:hAnsi="宋体" w:eastAsia="宋体"/>
                <w:color w:val="auto"/>
                <w:szCs w:val="21"/>
                <w:highlight w:val="none"/>
              </w:rPr>
              <w:t>磋商保证金的交纳方式:银行转账、支票、汇票、本票或者金融机构、担保机构出具的保函(包含电子保函)，禁止采用现钞方式。采用银行转账方式的，在响应文件提交截止时间前交至指定账户并且到账(开户银行:</w:t>
            </w:r>
            <w:r>
              <w:rPr>
                <w:rFonts w:hint="eastAsia" w:ascii="宋体" w:hAnsi="宋体" w:eastAsia="宋体"/>
                <w:color w:val="auto"/>
                <w:szCs w:val="21"/>
                <w:highlight w:val="none"/>
                <w:u w:val="single"/>
              </w:rPr>
              <w:t>招商银行股份有限公司南宁分行</w:t>
            </w:r>
            <w:r>
              <w:rPr>
                <w:rFonts w:hint="eastAsia" w:ascii="宋体" w:hAnsi="宋体" w:eastAsia="宋体"/>
                <w:color w:val="auto"/>
                <w:szCs w:val="21"/>
                <w:highlight w:val="none"/>
              </w:rPr>
              <w:t>，开户名称:</w:t>
            </w:r>
            <w:r>
              <w:rPr>
                <w:rFonts w:hint="eastAsia" w:ascii="宋体" w:hAnsi="宋体" w:eastAsia="宋体"/>
                <w:color w:val="auto"/>
                <w:szCs w:val="21"/>
                <w:highlight w:val="none"/>
                <w:u w:val="single"/>
              </w:rPr>
              <w:t>广西建设</w:t>
            </w:r>
            <w:r>
              <w:rPr>
                <w:rFonts w:hint="eastAsia" w:ascii="宋体" w:hAnsi="宋体" w:eastAsia="宋体"/>
                <w:color w:val="auto"/>
                <w:szCs w:val="21"/>
                <w:highlight w:val="none"/>
                <w:u w:val="single"/>
                <w:lang w:eastAsia="zh-CN"/>
              </w:rPr>
              <w:t>工程</w:t>
            </w:r>
            <w:r>
              <w:rPr>
                <w:rFonts w:hint="eastAsia" w:ascii="宋体" w:hAnsi="宋体" w:eastAsia="宋体"/>
                <w:color w:val="auto"/>
                <w:szCs w:val="21"/>
                <w:highlight w:val="none"/>
                <w:u w:val="single"/>
              </w:rPr>
              <w:t>机电设备招标中心有限公司</w:t>
            </w:r>
            <w:r>
              <w:rPr>
                <w:rFonts w:hint="eastAsia" w:ascii="宋体" w:hAnsi="宋体" w:eastAsia="宋体"/>
                <w:color w:val="auto"/>
                <w:szCs w:val="21"/>
                <w:highlight w:val="none"/>
              </w:rPr>
              <w:t>，银行账号:</w:t>
            </w:r>
            <w:r>
              <w:rPr>
                <w:rFonts w:hint="eastAsia" w:ascii="宋体" w:hAnsi="宋体" w:eastAsia="宋体"/>
                <w:color w:val="auto"/>
                <w:szCs w:val="21"/>
                <w:highlight w:val="none"/>
                <w:u w:val="single"/>
              </w:rPr>
              <w:t>771901423310201</w:t>
            </w:r>
            <w:r>
              <w:rPr>
                <w:rFonts w:hint="eastAsia" w:ascii="宋体" w:hAnsi="宋体" w:eastAsia="宋体"/>
                <w:color w:val="auto"/>
                <w:szCs w:val="21"/>
                <w:highlight w:val="none"/>
              </w:rPr>
              <w:t>);采用支票、汇票、本票或者保函等方式的，在响应文件提交截止时间前，供应商必须提交单独密封的支票、汇票、本票或者保函原件。</w:t>
            </w:r>
            <w:r>
              <w:rPr>
                <w:rFonts w:hint="eastAsia" w:ascii="宋体" w:hAnsi="宋体" w:eastAsia="宋体"/>
                <w:b/>
                <w:bCs/>
                <w:color w:val="auto"/>
                <w:szCs w:val="21"/>
                <w:highlight w:val="none"/>
              </w:rPr>
              <w:t>否则视为无效磋商保证金</w:t>
            </w:r>
            <w:r>
              <w:rPr>
                <w:rFonts w:hint="eastAsia" w:ascii="宋体" w:hAnsi="宋体" w:eastAsia="宋体"/>
                <w:color w:val="auto"/>
                <w:szCs w:val="21"/>
                <w:highlight w:val="none"/>
              </w:rPr>
              <w:t>。</w:t>
            </w:r>
          </w:p>
          <w:p w14:paraId="4397E908">
            <w:pPr>
              <w:keepNext w:val="0"/>
              <w:keepLines w:val="0"/>
              <w:pageBreakBefore w:val="0"/>
              <w:widowControl w:val="0"/>
              <w:kinsoku/>
              <w:overflowPunct/>
              <w:topLinePunct w:val="0"/>
              <w:bidi w:val="0"/>
              <w:spacing w:line="360" w:lineRule="auto"/>
              <w:jc w:val="left"/>
              <w:rPr>
                <w:rFonts w:hint="eastAsia" w:ascii="宋体" w:hAnsi="宋体" w:eastAsia="宋体"/>
                <w:color w:val="auto"/>
                <w:szCs w:val="21"/>
                <w:highlight w:val="none"/>
              </w:rPr>
            </w:pPr>
            <w:r>
              <w:rPr>
                <w:rFonts w:hint="eastAsia" w:ascii="宋体" w:hAnsi="宋体" w:eastAsia="宋体"/>
                <w:color w:val="auto"/>
                <w:szCs w:val="21"/>
                <w:highlight w:val="none"/>
              </w:rPr>
              <w:t>相关要求:</w:t>
            </w:r>
          </w:p>
          <w:p w14:paraId="27C1F8A5">
            <w:pPr>
              <w:keepNext w:val="0"/>
              <w:keepLines w:val="0"/>
              <w:pageBreakBefore w:val="0"/>
              <w:widowControl w:val="0"/>
              <w:kinsoku/>
              <w:overflowPunct/>
              <w:topLinePunct w:val="0"/>
              <w:bidi w:val="0"/>
              <w:spacing w:line="360" w:lineRule="auto"/>
              <w:jc w:val="left"/>
              <w:rPr>
                <w:rFonts w:hint="eastAsia" w:ascii="宋体" w:hAnsi="宋体" w:eastAsia="宋体"/>
                <w:color w:val="auto"/>
                <w:szCs w:val="21"/>
                <w:highlight w:val="none"/>
              </w:rPr>
            </w:pPr>
            <w:r>
              <w:rPr>
                <w:rFonts w:hint="eastAsia" w:ascii="宋体" w:hAnsi="宋体" w:eastAsia="宋体"/>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eastAsia="宋体"/>
                <w:b/>
                <w:bCs/>
                <w:color w:val="auto"/>
                <w:szCs w:val="21"/>
                <w:highlight w:val="none"/>
              </w:rPr>
              <w:t>否则响应文件按无效响应处理</w:t>
            </w:r>
            <w:r>
              <w:rPr>
                <w:rFonts w:hint="eastAsia" w:ascii="宋体" w:hAnsi="宋体" w:eastAsia="宋体"/>
                <w:color w:val="auto"/>
                <w:szCs w:val="21"/>
                <w:highlight w:val="none"/>
              </w:rPr>
              <w:t>。</w:t>
            </w:r>
          </w:p>
          <w:p w14:paraId="08B20C5C">
            <w:pPr>
              <w:keepNext w:val="0"/>
              <w:keepLines w:val="0"/>
              <w:pageBreakBefore w:val="0"/>
              <w:widowControl w:val="0"/>
              <w:kinsoku/>
              <w:overflowPunct/>
              <w:topLinePunct w:val="0"/>
              <w:bidi w:val="0"/>
              <w:spacing w:line="360" w:lineRule="auto"/>
              <w:jc w:val="left"/>
              <w:rPr>
                <w:rFonts w:hint="eastAsia" w:ascii="宋体" w:hAnsi="宋体" w:eastAsia="宋体"/>
                <w:color w:val="auto"/>
                <w:szCs w:val="21"/>
                <w:highlight w:val="none"/>
              </w:rPr>
            </w:pPr>
            <w:r>
              <w:rPr>
                <w:rFonts w:hint="eastAsia" w:ascii="宋体" w:hAnsi="宋体" w:eastAsia="宋体"/>
                <w:color w:val="auto"/>
                <w:szCs w:val="21"/>
                <w:highlight w:val="none"/>
              </w:rPr>
              <w:t>2.磋商保证金采用支票、汇票、本票或者金融机构、担保机构出具的保函(包含电子保函)交纳方式的，供应商应将支票、汇票、本票或者金融机构、担保机构出具的保函(包含电子保函)的复印件作为磋商保证金提交凭证，放置于商务技术文件中，</w:t>
            </w:r>
            <w:r>
              <w:rPr>
                <w:rFonts w:hint="eastAsia" w:ascii="宋体" w:hAnsi="宋体" w:eastAsia="宋体"/>
                <w:b/>
                <w:bCs/>
                <w:color w:val="auto"/>
                <w:szCs w:val="21"/>
                <w:highlight w:val="none"/>
              </w:rPr>
              <w:t>否则响应文件按无效处理</w:t>
            </w:r>
            <w:r>
              <w:rPr>
                <w:rFonts w:hint="eastAsia" w:ascii="宋体" w:hAnsi="宋体" w:eastAsia="宋体"/>
                <w:color w:val="auto"/>
                <w:szCs w:val="21"/>
                <w:highlight w:val="none"/>
              </w:rPr>
              <w:t>。供应商必须在响应文件提交截止时间前采用现场或邮寄方式(现场提交地址:南宁市青秀区枫林路18号广西国控集团（枫林路办公区）裙楼三层);收件人:</w:t>
            </w:r>
            <w:r>
              <w:rPr>
                <w:rFonts w:hint="eastAsia" w:ascii="宋体" w:hAnsi="宋体" w:eastAsia="宋体"/>
                <w:color w:val="auto"/>
                <w:szCs w:val="21"/>
                <w:highlight w:val="none"/>
                <w:lang w:eastAsia="zh-CN"/>
              </w:rPr>
              <w:t>吴兴红、刘风、黄振宁</w:t>
            </w:r>
            <w:r>
              <w:rPr>
                <w:rFonts w:hint="eastAsia" w:ascii="宋体" w:hAnsi="宋体" w:eastAsia="宋体"/>
                <w:color w:val="auto"/>
                <w:szCs w:val="21"/>
                <w:highlight w:val="none"/>
              </w:rPr>
              <w:t>，联系方式:0771-</w:t>
            </w:r>
            <w:r>
              <w:rPr>
                <w:rFonts w:hint="eastAsia" w:ascii="宋体" w:hAnsi="宋体" w:eastAsia="宋体"/>
                <w:color w:val="auto"/>
                <w:szCs w:val="21"/>
                <w:highlight w:val="none"/>
                <w:lang w:eastAsia="zh-CN"/>
              </w:rPr>
              <w:t>2807659</w:t>
            </w:r>
            <w:r>
              <w:rPr>
                <w:rFonts w:hint="eastAsia" w:ascii="宋体" w:hAnsi="宋体" w:eastAsia="宋体"/>
                <w:color w:val="auto"/>
                <w:szCs w:val="21"/>
                <w:highlight w:val="none"/>
              </w:rPr>
              <w:t>)将单独密封的支票、汇票、本票或者金融机构、担保机构出具的保函原件提交给采购代理机构，由采购代理机构向供应商出具回执(邮寄方式的除外)，并妥善保管。</w:t>
            </w:r>
          </w:p>
          <w:p w14:paraId="47F86339">
            <w:pPr>
              <w:keepNext w:val="0"/>
              <w:keepLines w:val="0"/>
              <w:pageBreakBefore w:val="0"/>
              <w:widowControl w:val="0"/>
              <w:kinsoku/>
              <w:overflowPunct/>
              <w:topLinePunct w:val="0"/>
              <w:bidi w:val="0"/>
              <w:spacing w:line="360" w:lineRule="auto"/>
              <w:jc w:val="left"/>
              <w:rPr>
                <w:rFonts w:hint="eastAsia" w:ascii="宋体" w:hAnsi="宋体" w:eastAsia="宋体"/>
                <w:color w:val="auto"/>
                <w:szCs w:val="21"/>
                <w:highlight w:val="none"/>
              </w:rPr>
            </w:pPr>
            <w:r>
              <w:rPr>
                <w:rFonts w:hint="eastAsia" w:ascii="宋体" w:hAnsi="宋体" w:eastAsia="宋体"/>
                <w:color w:val="auto"/>
                <w:szCs w:val="21"/>
                <w:highlight w:val="none"/>
              </w:rPr>
              <w:t>3.供应商为联合体的，可以由联合体中的一方或者多方共同交纳磋商保证金，其交纳的保证金对联合体各方均具有约束力。</w:t>
            </w:r>
          </w:p>
          <w:p w14:paraId="14BB56EC">
            <w:pPr>
              <w:keepNext w:val="0"/>
              <w:keepLines w:val="0"/>
              <w:pageBreakBefore w:val="0"/>
              <w:widowControl w:val="0"/>
              <w:kinsoku/>
              <w:overflowPunct/>
              <w:topLinePunct w:val="0"/>
              <w:bidi w:val="0"/>
              <w:spacing w:line="360" w:lineRule="auto"/>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备注:</w:t>
            </w:r>
          </w:p>
          <w:p w14:paraId="793FCCA0">
            <w:pPr>
              <w:keepNext w:val="0"/>
              <w:keepLines w:val="0"/>
              <w:pageBreakBefore w:val="0"/>
              <w:widowControl w:val="0"/>
              <w:kinsoku/>
              <w:overflowPunct/>
              <w:topLinePunct w:val="0"/>
              <w:bidi w:val="0"/>
              <w:spacing w:line="360" w:lineRule="auto"/>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1.磋商保证金在响应文件提交截止时间后提交的，或者不按规定交纳方式交纳的，或者未足额交纳的(包含保函额度不足的)，视为无效磋商保证金。</w:t>
            </w:r>
          </w:p>
          <w:p w14:paraId="5FF1E6E0">
            <w:pPr>
              <w:keepNext w:val="0"/>
              <w:keepLines w:val="0"/>
              <w:pageBreakBefore w:val="0"/>
              <w:widowControl w:val="0"/>
              <w:kinsoku/>
              <w:overflowPunct/>
              <w:topLinePunct w:val="0"/>
              <w:bidi w:val="0"/>
              <w:spacing w:line="360" w:lineRule="auto"/>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2.供应商采用现钞方式或者从个人账户(自然人竞标除外)转出的磋商保证金，视为无效磋商保证金。</w:t>
            </w:r>
          </w:p>
          <w:p w14:paraId="6C23E1F5">
            <w:pPr>
              <w:keepNext w:val="0"/>
              <w:keepLines w:val="0"/>
              <w:pageBreakBefore w:val="0"/>
              <w:widowControl w:val="0"/>
              <w:kinsoku/>
              <w:overflowPunct/>
              <w:topLinePunct w:val="0"/>
              <w:bidi w:val="0"/>
              <w:spacing w:line="360" w:lineRule="auto"/>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3.支票、汇票或者本票出现无效或者背书情形的，视为无效磋商保证金。</w:t>
            </w:r>
          </w:p>
          <w:p w14:paraId="294C513C">
            <w:pPr>
              <w:keepNext w:val="0"/>
              <w:keepLines w:val="0"/>
              <w:pageBreakBefore w:val="0"/>
              <w:widowControl w:val="0"/>
              <w:kinsoku/>
              <w:overflowPunct/>
              <w:topLinePunct w:val="0"/>
              <w:bidi w:val="0"/>
              <w:spacing w:line="360" w:lineRule="auto"/>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4.保函有效期低于竞标有效期的，视为无效磋商保证金。</w:t>
            </w:r>
          </w:p>
          <w:p w14:paraId="57C2944A">
            <w:pPr>
              <w:keepNext w:val="0"/>
              <w:keepLines w:val="0"/>
              <w:pageBreakBefore w:val="0"/>
              <w:widowControl w:val="0"/>
              <w:kinsoku/>
              <w:overflowPunct/>
              <w:topLinePunct w:val="0"/>
              <w:bidi w:val="0"/>
              <w:spacing w:line="360" w:lineRule="auto"/>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5.采用金融机构、担保机构出具保函的，必须为无条件保函，否则视为无效磋商保证</w:t>
            </w:r>
          </w:p>
          <w:p w14:paraId="466DDDB5">
            <w:pPr>
              <w:keepNext w:val="0"/>
              <w:keepLines w:val="0"/>
              <w:pageBreakBefore w:val="0"/>
              <w:widowControl w:val="0"/>
              <w:kinsoku/>
              <w:overflowPunct/>
              <w:topLinePunct w:val="0"/>
              <w:bidi w:val="0"/>
              <w:spacing w:line="360" w:lineRule="auto"/>
              <w:jc w:val="left"/>
              <w:rPr>
                <w:rFonts w:hint="eastAsia"/>
                <w:color w:val="auto"/>
                <w:highlight w:val="none"/>
              </w:rPr>
            </w:pPr>
            <w:r>
              <w:rPr>
                <w:rFonts w:hint="eastAsia" w:ascii="宋体" w:hAnsi="宋体" w:eastAsia="宋体"/>
                <w:b/>
                <w:bCs/>
                <w:color w:val="auto"/>
                <w:szCs w:val="21"/>
                <w:highlight w:val="none"/>
              </w:rPr>
              <w:t>金。</w:t>
            </w:r>
          </w:p>
        </w:tc>
      </w:tr>
      <w:tr w14:paraId="677C0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B74FE2F">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ascii="宋体" w:hAnsi="宋体" w:cs="宋体"/>
                <w:color w:val="auto"/>
                <w:szCs w:val="21"/>
                <w:highlight w:val="none"/>
              </w:rPr>
              <w:t>19</w:t>
            </w:r>
          </w:p>
        </w:tc>
        <w:tc>
          <w:tcPr>
            <w:tcW w:w="8263" w:type="dxa"/>
            <w:noWrap w:val="0"/>
            <w:vAlign w:val="center"/>
          </w:tcPr>
          <w:p w14:paraId="04CC55CB">
            <w:pPr>
              <w:keepNext w:val="0"/>
              <w:keepLines w:val="0"/>
              <w:pageBreakBefore w:val="0"/>
              <w:widowControl w:val="0"/>
              <w:kinsoku/>
              <w:overflowPunct/>
              <w:topLinePunct w:val="0"/>
              <w:autoSpaceDE w:val="0"/>
              <w:autoSpaceDN w:val="0"/>
              <w:bidi w:val="0"/>
              <w:adjustRightInd w:val="0"/>
              <w:spacing w:line="360" w:lineRule="auto"/>
              <w:textAlignment w:val="bottom"/>
              <w:rPr>
                <w:rFonts w:hint="eastAsia"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10E33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2D4A45D">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263" w:type="dxa"/>
            <w:noWrap w:val="0"/>
            <w:vAlign w:val="center"/>
          </w:tcPr>
          <w:p w14:paraId="41510AC1">
            <w:pPr>
              <w:keepNext w:val="0"/>
              <w:keepLines w:val="0"/>
              <w:pageBreakBefore w:val="0"/>
              <w:widowControl w:val="0"/>
              <w:kinsoku/>
              <w:overflowPunct/>
              <w:topLinePunct w:val="0"/>
              <w:bidi w:val="0"/>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228C329A">
            <w:pPr>
              <w:keepNext w:val="0"/>
              <w:keepLines w:val="0"/>
              <w:pageBreakBefore w:val="0"/>
              <w:widowControl w:val="0"/>
              <w:kinsoku/>
              <w:overflowPunct/>
              <w:topLinePunct w:val="0"/>
              <w:bidi w:val="0"/>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08FAE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3B0B41F">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263" w:type="dxa"/>
            <w:noWrap w:val="0"/>
            <w:vAlign w:val="center"/>
          </w:tcPr>
          <w:p w14:paraId="05AA7B5A">
            <w:pPr>
              <w:keepNext w:val="0"/>
              <w:keepLines w:val="0"/>
              <w:pageBreakBefore w:val="0"/>
              <w:widowControl w:val="0"/>
              <w:kinsoku/>
              <w:overflowPunct/>
              <w:topLinePunct w:val="0"/>
              <w:bidi w:val="0"/>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以上单数。</w:t>
            </w:r>
          </w:p>
        </w:tc>
      </w:tr>
      <w:tr w14:paraId="3EB0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0A91DB5">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8263" w:type="dxa"/>
            <w:noWrap w:val="0"/>
            <w:vAlign w:val="center"/>
          </w:tcPr>
          <w:p w14:paraId="1E05C0E7">
            <w:pPr>
              <w:keepNext w:val="0"/>
              <w:keepLines w:val="0"/>
              <w:pageBreakBefore w:val="0"/>
              <w:widowControl w:val="0"/>
              <w:kinsoku/>
              <w:overflowPunct/>
              <w:topLinePunct w:val="0"/>
              <w:bidi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7795D944">
            <w:pPr>
              <w:keepNext w:val="0"/>
              <w:keepLines w:val="0"/>
              <w:pageBreakBefore w:val="0"/>
              <w:widowControl w:val="0"/>
              <w:kinsoku/>
              <w:overflowPunct/>
              <w:topLinePunct w:val="0"/>
              <w:bidi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Ansi="宋体"/>
                <w:color w:val="auto"/>
                <w:highlight w:val="none"/>
                <w:u w:val="single"/>
              </w:rPr>
              <w:t xml:space="preserve"> 30</w:t>
            </w:r>
            <w:r>
              <w:rPr>
                <w:rFonts w:hint="eastAsia" w:hAnsi="宋体"/>
                <w:color w:val="auto"/>
                <w:highlight w:val="none"/>
              </w:rPr>
              <w:t>分钟</w:t>
            </w:r>
          </w:p>
        </w:tc>
      </w:tr>
      <w:tr w14:paraId="07502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noWrap w:val="0"/>
            <w:vAlign w:val="center"/>
          </w:tcPr>
          <w:p w14:paraId="4FAF2AC7">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6.3</w:t>
            </w:r>
          </w:p>
        </w:tc>
        <w:tc>
          <w:tcPr>
            <w:tcW w:w="8263" w:type="dxa"/>
            <w:noWrap w:val="0"/>
            <w:vAlign w:val="center"/>
          </w:tcPr>
          <w:p w14:paraId="595B8A4D">
            <w:pPr>
              <w:keepNext w:val="0"/>
              <w:keepLines w:val="0"/>
              <w:pageBreakBefore w:val="0"/>
              <w:widowControl w:val="0"/>
              <w:kinsoku/>
              <w:overflowPunct/>
              <w:topLinePunct w:val="0"/>
              <w:bidi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0CE3B0DB">
            <w:pPr>
              <w:keepNext w:val="0"/>
              <w:keepLines w:val="0"/>
              <w:pageBreakBefore w:val="0"/>
              <w:widowControl w:val="0"/>
              <w:kinsoku/>
              <w:overflowPunct/>
              <w:topLinePunct w:val="0"/>
              <w:bidi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0</w:t>
            </w:r>
            <w:r>
              <w:rPr>
                <w:rFonts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10AA8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777320F">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8263" w:type="dxa"/>
            <w:noWrap w:val="0"/>
            <w:vAlign w:val="center"/>
          </w:tcPr>
          <w:p w14:paraId="758432DC">
            <w:pPr>
              <w:keepNext w:val="0"/>
              <w:keepLines w:val="0"/>
              <w:pageBreakBefore w:val="0"/>
              <w:widowControl w:val="0"/>
              <w:kinsoku/>
              <w:overflowPunct/>
              <w:topLinePunct w:val="0"/>
              <w:autoSpaceDE w:val="0"/>
              <w:autoSpaceDN w:val="0"/>
              <w:bidi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p w14:paraId="2F0CA28D">
            <w:pPr>
              <w:keepNext w:val="0"/>
              <w:keepLines w:val="0"/>
              <w:pageBreakBefore w:val="0"/>
              <w:widowControl w:val="0"/>
              <w:kinsoku/>
              <w:overflowPunct/>
              <w:topLinePunct w:val="0"/>
              <w:autoSpaceDE w:val="0"/>
              <w:autoSpaceDN w:val="0"/>
              <w:bidi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14:paraId="644DA04D">
            <w:pPr>
              <w:keepNext w:val="0"/>
              <w:keepLines w:val="0"/>
              <w:pageBreakBefore w:val="0"/>
              <w:widowControl w:val="0"/>
              <w:kinsoku/>
              <w:overflowPunct/>
              <w:topLinePunct w:val="0"/>
              <w:autoSpaceDE w:val="0"/>
              <w:autoSpaceDN w:val="0"/>
              <w:bidi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履约保证金金额：按</w:t>
            </w:r>
            <w:r>
              <w:rPr>
                <w:rFonts w:hint="eastAsia" w:ascii="宋体" w:hAnsi="宋体" w:cs="宋体"/>
                <w:color w:val="auto"/>
                <w:szCs w:val="21"/>
                <w:highlight w:val="none"/>
                <w:lang w:eastAsia="zh-CN"/>
              </w:rPr>
              <w:t>合同</w:t>
            </w:r>
            <w:r>
              <w:rPr>
                <w:rFonts w:hint="eastAsia" w:ascii="宋体" w:hAnsi="宋体" w:cs="宋体"/>
                <w:color w:val="auto"/>
                <w:szCs w:val="21"/>
                <w:highlight w:val="none"/>
              </w:rPr>
              <w:t>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%（对中小企业收取的履约保证金数额按合同金额的2%）。</w:t>
            </w:r>
          </w:p>
          <w:p w14:paraId="091BA886">
            <w:pPr>
              <w:keepNext w:val="0"/>
              <w:keepLines w:val="0"/>
              <w:pageBreakBefore w:val="0"/>
              <w:widowControl w:val="0"/>
              <w:kinsoku/>
              <w:overflowPunct/>
              <w:topLinePunct w:val="0"/>
              <w:bidi w:val="0"/>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履约保证金提交方式：银行转账、支票、汇票、本票或者银行、保险机构出具的保函（含电子保函）等非现金方式。</w:t>
            </w:r>
          </w:p>
          <w:p w14:paraId="689C49EC">
            <w:pPr>
              <w:keepNext w:val="0"/>
              <w:keepLines w:val="0"/>
              <w:pageBreakBefore w:val="0"/>
              <w:widowControl w:val="0"/>
              <w:kinsoku/>
              <w:overflowPunct/>
              <w:topLinePunct w:val="0"/>
              <w:autoSpaceDE w:val="0"/>
              <w:autoSpaceDN w:val="0"/>
              <w:bidi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履约保证金缴纳期限:</w:t>
            </w:r>
            <w:r>
              <w:rPr>
                <w:color w:val="auto"/>
                <w:highlight w:val="none"/>
              </w:rPr>
              <w:t xml:space="preserve"> </w:t>
            </w:r>
            <w:r>
              <w:rPr>
                <w:rFonts w:hint="eastAsia"/>
                <w:color w:val="auto"/>
                <w:highlight w:val="none"/>
              </w:rPr>
              <w:t>签订合同前5个工作日内由成交供应商转入采购人指定保证金账户</w:t>
            </w:r>
            <w:r>
              <w:rPr>
                <w:rFonts w:hint="eastAsia" w:ascii="宋体" w:hAnsi="宋体"/>
                <w:color w:val="auto"/>
                <w:szCs w:val="21"/>
                <w:highlight w:val="none"/>
              </w:rPr>
              <w:t>。</w:t>
            </w:r>
          </w:p>
          <w:p w14:paraId="126F2518">
            <w:pPr>
              <w:keepNext w:val="0"/>
              <w:keepLines w:val="0"/>
              <w:pageBreakBefore w:val="0"/>
              <w:widowControl w:val="0"/>
              <w:kinsoku/>
              <w:wordWrap w:val="0"/>
              <w:overflowPunct/>
              <w:topLinePunct w:val="0"/>
              <w:bidi w:val="0"/>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履约保证金退付方式、时间及条件：项目完成验收合格后，且成交供应商无违约情形的，成交供应商提供《政府采购项目履约保证金退付意见书》及《政府采购项目合同验收报告》，向采购人提出书面申请退还，采购人在收到申请后十</w:t>
            </w:r>
            <w:r>
              <w:rPr>
                <w:rFonts w:hint="eastAsia" w:ascii="宋体" w:hAnsi="宋体" w:cs="宋体"/>
                <w:color w:val="auto"/>
                <w:szCs w:val="21"/>
                <w:highlight w:val="none"/>
                <w:lang w:eastAsia="zh-CN"/>
              </w:rPr>
              <w:t>五</w:t>
            </w:r>
            <w:r>
              <w:rPr>
                <w:rFonts w:hint="eastAsia" w:ascii="宋体" w:hAnsi="宋体" w:cs="宋体"/>
                <w:color w:val="auto"/>
                <w:szCs w:val="21"/>
                <w:highlight w:val="none"/>
              </w:rPr>
              <w:t>个工作日内以银行转账方式无息退还。如果成交供应商履行合同过程中有违约情形，则采购人有权没收保证金，不予退还。</w:t>
            </w:r>
          </w:p>
          <w:p w14:paraId="0A9A93E7">
            <w:pPr>
              <w:keepNext w:val="0"/>
              <w:keepLines w:val="0"/>
              <w:pageBreakBefore w:val="0"/>
              <w:widowControl w:val="0"/>
              <w:kinsoku/>
              <w:overflowPunct/>
              <w:topLinePunct w:val="0"/>
              <w:bidi w:val="0"/>
              <w:snapToGrid w:val="0"/>
              <w:spacing w:line="360" w:lineRule="auto"/>
              <w:rPr>
                <w:rFonts w:hint="eastAsia" w:ascii="宋体" w:hAnsi="宋体" w:cs="宋体"/>
                <w:color w:val="auto"/>
                <w:szCs w:val="21"/>
                <w:highlight w:val="none"/>
              </w:rPr>
            </w:pPr>
            <w:r>
              <w:rPr>
                <w:rFonts w:hint="eastAsia" w:ascii="Cambria Math" w:hAnsi="Cambria Math" w:cs="Cambria Math"/>
                <w:color w:val="auto"/>
                <w:szCs w:val="21"/>
                <w:highlight w:val="none"/>
              </w:rPr>
              <w:t>不予退还的情形：签订合同后，如</w:t>
            </w:r>
            <w:r>
              <w:rPr>
                <w:rFonts w:hint="eastAsia" w:ascii="宋体" w:hAnsi="宋体"/>
                <w:color w:val="auto"/>
                <w:szCs w:val="21"/>
                <w:highlight w:val="none"/>
              </w:rPr>
              <w:t>成交供应商</w:t>
            </w:r>
            <w:r>
              <w:rPr>
                <w:rFonts w:hint="eastAsia" w:ascii="Cambria Math" w:hAnsi="Cambria Math" w:cs="Cambria Math"/>
                <w:color w:val="auto"/>
                <w:szCs w:val="21"/>
                <w:highlight w:val="none"/>
              </w:rPr>
              <w:t>不按双方签订的合同规定履约，则其全部履约保证金不予退还。</w:t>
            </w:r>
          </w:p>
          <w:p w14:paraId="47FA9338">
            <w:pPr>
              <w:keepNext w:val="0"/>
              <w:keepLines w:val="0"/>
              <w:pageBreakBefore w:val="0"/>
              <w:widowControl w:val="0"/>
              <w:kinsoku/>
              <w:overflowPunct/>
              <w:topLinePunct w:val="0"/>
              <w:bidi w:val="0"/>
              <w:spacing w:line="360" w:lineRule="auto"/>
              <w:contextualSpacing/>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履约保证金指定账户：</w:t>
            </w:r>
          </w:p>
          <w:p w14:paraId="7E9AE6DC">
            <w:pPr>
              <w:keepNext w:val="0"/>
              <w:keepLines w:val="0"/>
              <w:pageBreakBefore w:val="0"/>
              <w:widowControl w:val="0"/>
              <w:kinsoku/>
              <w:overflowPunct/>
              <w:topLinePunct w:val="0"/>
              <w:bidi w:val="0"/>
              <w:spacing w:line="360" w:lineRule="auto"/>
              <w:contextualSpacing/>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开户名称：</w:t>
            </w:r>
            <w:r>
              <w:rPr>
                <w:rFonts w:hint="eastAsia" w:ascii="宋体" w:hAnsi="宋体" w:cs="宋体"/>
                <w:color w:val="auto"/>
                <w:szCs w:val="21"/>
                <w:highlight w:val="none"/>
                <w:lang w:eastAsia="zh-CN"/>
              </w:rPr>
              <w:t>广西物流职业技术学院</w:t>
            </w:r>
          </w:p>
          <w:p w14:paraId="7052CBD5">
            <w:pPr>
              <w:keepNext w:val="0"/>
              <w:keepLines w:val="0"/>
              <w:pageBreakBefore w:val="0"/>
              <w:widowControl w:val="0"/>
              <w:kinsoku/>
              <w:overflowPunct/>
              <w:topLinePunct w:val="0"/>
              <w:bidi w:val="0"/>
              <w:spacing w:line="360" w:lineRule="auto"/>
              <w:contextualSpacing/>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账号：</w:t>
            </w:r>
            <w:r>
              <w:rPr>
                <w:rFonts w:hint="eastAsia" w:ascii="宋体" w:hAnsi="宋体" w:cs="宋体"/>
                <w:color w:val="auto"/>
                <w:szCs w:val="21"/>
                <w:highlight w:val="none"/>
                <w:lang w:eastAsia="zh-CN"/>
              </w:rPr>
              <w:t>2116 7100 0910 0329 09</w:t>
            </w:r>
            <w:r>
              <w:rPr>
                <w:rFonts w:hint="eastAsia" w:ascii="宋体" w:hAnsi="宋体" w:cs="宋体"/>
                <w:color w:val="auto"/>
                <w:szCs w:val="21"/>
                <w:highlight w:val="none"/>
                <w:lang w:val="en-US" w:eastAsia="zh-CN"/>
              </w:rPr>
              <w:t>7</w:t>
            </w:r>
          </w:p>
          <w:p w14:paraId="6EF52F49">
            <w:pPr>
              <w:keepNext w:val="0"/>
              <w:keepLines w:val="0"/>
              <w:pageBreakBefore w:val="0"/>
              <w:widowControl w:val="0"/>
              <w:kinsoku/>
              <w:overflowPunct/>
              <w:topLinePunct w:val="0"/>
              <w:bidi w:val="0"/>
              <w:spacing w:line="360" w:lineRule="auto"/>
              <w:contextualSpacing/>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开户行：</w:t>
            </w:r>
            <w:r>
              <w:rPr>
                <w:rFonts w:hint="eastAsia" w:ascii="宋体" w:hAnsi="宋体" w:cs="宋体"/>
                <w:color w:val="auto"/>
                <w:szCs w:val="21"/>
                <w:highlight w:val="none"/>
                <w:lang w:eastAsia="zh-CN"/>
              </w:rPr>
              <w:t>中国工商银行贵港市贵城支行</w:t>
            </w:r>
          </w:p>
          <w:p w14:paraId="1D98E45F">
            <w:pPr>
              <w:keepNext w:val="0"/>
              <w:keepLines w:val="0"/>
              <w:pageBreakBefore w:val="0"/>
              <w:widowControl w:val="0"/>
              <w:kinsoku/>
              <w:overflowPunct/>
              <w:topLinePunct w:val="0"/>
              <w:bidi w:val="0"/>
              <w:spacing w:line="360" w:lineRule="auto"/>
              <w:contextualSpacing/>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备注：</w:t>
            </w:r>
          </w:p>
          <w:p w14:paraId="77771FAD">
            <w:pPr>
              <w:keepNext w:val="0"/>
              <w:keepLines w:val="0"/>
              <w:pageBreakBefore w:val="0"/>
              <w:widowControl w:val="0"/>
              <w:kinsoku/>
              <w:overflowPunct/>
              <w:topLinePunct w:val="0"/>
              <w:bidi w:val="0"/>
              <w:spacing w:line="360" w:lineRule="auto"/>
              <w:contextualSpacing/>
              <w:rPr>
                <w:rFonts w:hint="eastAsia" w:ascii="宋体" w:hAnsi="宋体" w:cs="宋体"/>
                <w:b/>
                <w:color w:val="auto"/>
                <w:kern w:val="0"/>
                <w:sz w:val="24"/>
                <w:highlight w:val="none"/>
              </w:rPr>
            </w:pPr>
            <w:r>
              <w:rPr>
                <w:rFonts w:hint="eastAsia" w:ascii="宋体" w:hAnsi="宋体" w:cs="宋体"/>
                <w:b/>
                <w:color w:val="auto"/>
                <w:szCs w:val="21"/>
                <w:highlight w:val="none"/>
              </w:rPr>
              <w:t>1</w:t>
            </w:r>
            <w:r>
              <w:rPr>
                <w:rFonts w:ascii="宋体" w:hAnsi="宋体" w:cs="宋体"/>
                <w:b/>
                <w:color w:val="auto"/>
                <w:szCs w:val="21"/>
                <w:highlight w:val="none"/>
              </w:rPr>
              <w:t>.</w:t>
            </w:r>
            <w:r>
              <w:rPr>
                <w:rFonts w:hint="eastAsia" w:ascii="宋体" w:hAnsi="宋体"/>
                <w:b/>
                <w:color w:val="auto"/>
                <w:szCs w:val="21"/>
                <w:highlight w:val="none"/>
              </w:rPr>
              <w:t xml:space="preserve"> </w:t>
            </w:r>
            <w:bookmarkStart w:id="59" w:name="_Hlk54170335"/>
            <w:r>
              <w:rPr>
                <w:rFonts w:hint="eastAsia" w:ascii="宋体" w:hAnsi="宋体"/>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b/>
                <w:color w:val="auto"/>
                <w:kern w:val="0"/>
                <w:sz w:val="24"/>
                <w:highlight w:val="none"/>
              </w:rPr>
              <w:t>。</w:t>
            </w:r>
            <w:bookmarkEnd w:id="59"/>
          </w:p>
          <w:p w14:paraId="5A34F24C">
            <w:pPr>
              <w:keepNext w:val="0"/>
              <w:keepLines w:val="0"/>
              <w:pageBreakBefore w:val="0"/>
              <w:widowControl w:val="0"/>
              <w:kinsoku/>
              <w:overflowPunct/>
              <w:topLinePunct w:val="0"/>
              <w:bidi w:val="0"/>
              <w:spacing w:line="360" w:lineRule="auto"/>
              <w:contextualSpacing/>
              <w:rPr>
                <w:rFonts w:hint="eastAsia" w:ascii="宋体" w:hAnsi="宋体" w:eastAsia="宋体"/>
                <w:b/>
                <w:color w:val="auto"/>
                <w:szCs w:val="21"/>
                <w:highlight w:val="none"/>
                <w:lang w:eastAsia="zh-CN"/>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b/>
                <w:color w:val="auto"/>
                <w:szCs w:val="21"/>
                <w:highlight w:val="none"/>
              </w:rPr>
              <w:t xml:space="preserve">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4897C39F">
            <w:pPr>
              <w:keepNext w:val="0"/>
              <w:keepLines w:val="0"/>
              <w:pageBreakBefore w:val="0"/>
              <w:widowControl w:val="0"/>
              <w:kinsoku/>
              <w:overflowPunct/>
              <w:topLinePunct w:val="0"/>
              <w:bidi w:val="0"/>
              <w:spacing w:line="360" w:lineRule="auto"/>
              <w:contextualSpacing/>
              <w:rPr>
                <w:rFonts w:hint="eastAsia" w:ascii="宋体" w:hAnsi="宋体" w:cs="宋体"/>
                <w:b/>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采用银行、保险机构出具的保函的，必须为无条件保函，否则不予签订合同。</w:t>
            </w:r>
          </w:p>
          <w:p w14:paraId="69AD226D">
            <w:pPr>
              <w:keepNext w:val="0"/>
              <w:keepLines w:val="0"/>
              <w:pageBreakBefore w:val="0"/>
              <w:widowControl w:val="0"/>
              <w:kinsoku/>
              <w:overflowPunct/>
              <w:topLinePunct w:val="0"/>
              <w:bidi w:val="0"/>
              <w:snapToGrid w:val="0"/>
              <w:spacing w:line="360" w:lineRule="auto"/>
              <w:rPr>
                <w:rFonts w:hint="eastAsia" w:ascii="宋体" w:hAnsi="宋体" w:cs="宋体"/>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供应商为联合体的，由联合体任意一方按规定提交的履约保证金，视为有效履约保证金。</w:t>
            </w:r>
          </w:p>
        </w:tc>
      </w:tr>
      <w:tr w14:paraId="56D86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72E61DC">
            <w:pPr>
              <w:keepNext w:val="0"/>
              <w:keepLines w:val="0"/>
              <w:pageBreakBefore w:val="0"/>
              <w:widowControl w:val="0"/>
              <w:kinsoku/>
              <w:overflowPunct/>
              <w:topLinePunct w:val="0"/>
              <w:bidi w:val="0"/>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8263" w:type="dxa"/>
            <w:noWrap w:val="0"/>
            <w:vAlign w:val="center"/>
          </w:tcPr>
          <w:p w14:paraId="49A6CD3B">
            <w:pPr>
              <w:keepNext w:val="0"/>
              <w:keepLines w:val="0"/>
              <w:pageBreakBefore w:val="0"/>
              <w:widowControl w:val="0"/>
              <w:kinsoku/>
              <w:overflowPunct/>
              <w:topLinePunct w:val="0"/>
              <w:autoSpaceDE w:val="0"/>
              <w:autoSpaceDN w:val="0"/>
              <w:bidi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75D762B9">
            <w:pPr>
              <w:keepNext w:val="0"/>
              <w:keepLines w:val="0"/>
              <w:pageBreakBefore w:val="0"/>
              <w:widowControl w:val="0"/>
              <w:kinsoku/>
              <w:overflowPunct/>
              <w:topLinePunct w:val="0"/>
              <w:autoSpaceDE w:val="0"/>
              <w:autoSpaceDN w:val="0"/>
              <w:bidi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41658985">
            <w:pPr>
              <w:keepNext w:val="0"/>
              <w:keepLines w:val="0"/>
              <w:pageBreakBefore w:val="0"/>
              <w:widowControl w:val="0"/>
              <w:kinsoku/>
              <w:overflowPunct/>
              <w:topLinePunct w:val="0"/>
              <w:bidi w:val="0"/>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501DD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413F735">
            <w:pPr>
              <w:keepNext w:val="0"/>
              <w:keepLines w:val="0"/>
              <w:pageBreakBefore w:val="0"/>
              <w:widowControl w:val="0"/>
              <w:kinsoku/>
              <w:overflowPunct/>
              <w:topLinePunct w:val="0"/>
              <w:bidi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8263" w:type="dxa"/>
            <w:noWrap w:val="0"/>
            <w:vAlign w:val="center"/>
          </w:tcPr>
          <w:p w14:paraId="28094C01">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olor w:val="auto"/>
                <w:szCs w:val="21"/>
                <w:highlight w:val="none"/>
              </w:rPr>
            </w:pPr>
            <w:r>
              <w:rPr>
                <w:rFonts w:hint="eastAsia" w:ascii="宋体" w:hAnsi="宋体"/>
                <w:color w:val="auto"/>
                <w:szCs w:val="21"/>
                <w:highlight w:val="none"/>
              </w:rPr>
              <w:t>接收质疑函方式：以书面形式。</w:t>
            </w:r>
          </w:p>
          <w:p w14:paraId="61487F8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olor w:val="auto"/>
                <w:szCs w:val="21"/>
                <w:highlight w:val="none"/>
                <w:lang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ascii="宋体" w:hAnsi="宋体"/>
                <w:color w:val="auto"/>
                <w:szCs w:val="21"/>
                <w:highlight w:val="none"/>
              </w:rPr>
              <w:t>质疑联系部门及联系方式：</w:t>
            </w:r>
            <w:r>
              <w:rPr>
                <w:rFonts w:hint="eastAsia" w:ascii="宋体" w:hAnsi="宋体"/>
                <w:color w:val="auto"/>
                <w:szCs w:val="21"/>
                <w:highlight w:val="none"/>
                <w:lang w:eastAsia="zh-CN"/>
              </w:rPr>
              <w:t>广西建设工程机电设备招标中心有限公司</w:t>
            </w:r>
          </w:p>
          <w:p w14:paraId="57D92ED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rPr>
              <w:t>联系电话：0771-</w:t>
            </w:r>
            <w:r>
              <w:rPr>
                <w:rFonts w:hint="eastAsia" w:ascii="宋体" w:hAnsi="宋体"/>
                <w:color w:val="auto"/>
                <w:szCs w:val="21"/>
                <w:highlight w:val="none"/>
                <w:lang w:val="en-US" w:eastAsia="zh-CN"/>
              </w:rPr>
              <w:t>2807659</w:t>
            </w:r>
          </w:p>
          <w:p w14:paraId="292895A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通讯地址：南宁市青秀区枫林路18号广西国控集团（枫林路办公区）裙楼三层</w:t>
            </w:r>
          </w:p>
          <w:p w14:paraId="3A559B1F">
            <w:pPr>
              <w:keepNext w:val="0"/>
              <w:keepLines w:val="0"/>
              <w:pageBreakBefore w:val="0"/>
              <w:widowControl w:val="0"/>
              <w:shd w:val="clear" w:color="auto"/>
              <w:kinsoku/>
              <w:wordWrap/>
              <w:overflowPunct/>
              <w:topLinePunct w:val="0"/>
              <w:autoSpaceDE/>
              <w:autoSpaceDN/>
              <w:bidi w:val="0"/>
              <w:adjustRightInd/>
              <w:snapToGrid w:val="0"/>
              <w:spacing w:line="360" w:lineRule="auto"/>
              <w:textAlignment w:val="auto"/>
              <w:rPr>
                <w:rFonts w:hint="eastAsia" w:ascii="宋体" w:hAnsi="宋体" w:cs="宋体"/>
                <w:color w:val="auto"/>
                <w:szCs w:val="21"/>
                <w:highlight w:val="none"/>
                <w:u w:val="none"/>
              </w:rPr>
            </w:pPr>
            <w:r>
              <w:rPr>
                <w:rFonts w:hint="eastAsia" w:ascii="宋体" w:hAnsi="宋体" w:cs="宋体"/>
                <w:color w:val="auto"/>
                <w:szCs w:val="21"/>
                <w:highlight w:val="none"/>
                <w:u w:val="none"/>
                <w:lang w:bidi="ar"/>
              </w:rPr>
              <w:t>（2）</w:t>
            </w:r>
            <w:r>
              <w:rPr>
                <w:rFonts w:hint="eastAsia" w:ascii="宋体" w:hAnsi="宋体" w:cs="宋体"/>
                <w:color w:val="auto"/>
                <w:szCs w:val="21"/>
                <w:highlight w:val="none"/>
                <w:u w:val="none"/>
                <w:lang w:eastAsia="zh-CN"/>
              </w:rPr>
              <w:t>广西物流职业技术学院</w:t>
            </w:r>
            <w:r>
              <w:rPr>
                <w:rFonts w:hint="eastAsia" w:ascii="宋体" w:hAnsi="宋体" w:cs="宋体"/>
                <w:color w:val="auto"/>
                <w:szCs w:val="21"/>
                <w:highlight w:val="none"/>
                <w:u w:val="none"/>
              </w:rPr>
              <w:t>；</w:t>
            </w:r>
          </w:p>
          <w:p w14:paraId="3D2928E9">
            <w:pPr>
              <w:keepNext w:val="0"/>
              <w:keepLines w:val="0"/>
              <w:pageBreakBefore w:val="0"/>
              <w:widowControl w:val="0"/>
              <w:shd w:val="clear" w:color="auto"/>
              <w:kinsoku/>
              <w:wordWrap/>
              <w:overflowPunct/>
              <w:topLinePunct w:val="0"/>
              <w:autoSpaceDE/>
              <w:autoSpaceDN/>
              <w:bidi w:val="0"/>
              <w:adjustRightInd/>
              <w:snapToGrid w:val="0"/>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zCs w:val="21"/>
                <w:highlight w:val="none"/>
                <w:lang w:eastAsia="zh-CN" w:bidi="ar"/>
              </w:rPr>
              <w:t>0775-2922216</w:t>
            </w:r>
            <w:r>
              <w:rPr>
                <w:rFonts w:hint="eastAsia" w:ascii="宋体" w:hAnsi="宋体" w:cs="宋体"/>
                <w:color w:val="auto"/>
                <w:szCs w:val="21"/>
                <w:highlight w:val="none"/>
                <w:lang w:bidi="ar"/>
              </w:rPr>
              <w:t xml:space="preserve"> </w:t>
            </w:r>
          </w:p>
          <w:p w14:paraId="3E1BB24D">
            <w:pPr>
              <w:pStyle w:val="13"/>
              <w:keepNext w:val="0"/>
              <w:keepLines w:val="0"/>
              <w:pageBreakBefore w:val="0"/>
              <w:widowControl w:val="0"/>
              <w:kinsoku/>
              <w:wordWrap/>
              <w:overflowPunct/>
              <w:topLinePunct w:val="0"/>
              <w:autoSpaceDE/>
              <w:autoSpaceDN/>
              <w:bidi w:val="0"/>
              <w:adjustRightInd/>
              <w:spacing w:line="360" w:lineRule="auto"/>
              <w:textAlignment w:val="auto"/>
              <w:rPr>
                <w:rFonts w:hint="eastAsia" w:eastAsia="宋体"/>
                <w:color w:val="auto"/>
                <w:highlight w:val="none"/>
                <w:lang w:eastAsia="zh-CN"/>
              </w:rPr>
            </w:pPr>
            <w:r>
              <w:rPr>
                <w:rFonts w:hint="eastAsia" w:ascii="宋体" w:hAnsi="宋体" w:cs="宋体"/>
                <w:color w:val="auto"/>
                <w:szCs w:val="21"/>
                <w:highlight w:val="none"/>
                <w:lang w:bidi="ar"/>
              </w:rPr>
              <w:t>通讯地址：</w:t>
            </w:r>
            <w:r>
              <w:rPr>
                <w:rFonts w:hint="eastAsia" w:ascii="宋体" w:cs="Arial"/>
                <w:color w:val="auto"/>
                <w:szCs w:val="21"/>
                <w:highlight w:val="none"/>
                <w:lang w:eastAsia="zh-CN"/>
              </w:rPr>
              <w:t>广西贵港市港北区聚贤路8号</w:t>
            </w:r>
          </w:p>
          <w:p w14:paraId="1658700A">
            <w:pPr>
              <w:pStyle w:val="19"/>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hAnsi="宋体"/>
                <w:color w:val="auto"/>
                <w:highlight w:val="none"/>
              </w:rPr>
            </w:pPr>
            <w:r>
              <w:rPr>
                <w:rFonts w:hint="eastAsia" w:hAnsi="宋体"/>
                <w:color w:val="auto"/>
                <w:sz w:val="21"/>
                <w:szCs w:val="21"/>
                <w:highlight w:val="none"/>
              </w:rPr>
              <w:t>业务时间：每天上午</w:t>
            </w:r>
            <w:r>
              <w:rPr>
                <w:rFonts w:hAnsi="宋体"/>
                <w:color w:val="auto"/>
                <w:sz w:val="21"/>
                <w:szCs w:val="21"/>
                <w:highlight w:val="none"/>
              </w:rPr>
              <w:t>8</w:t>
            </w:r>
            <w:r>
              <w:rPr>
                <w:rFonts w:hint="eastAsia" w:hAnsi="宋体"/>
                <w:color w:val="auto"/>
                <w:sz w:val="21"/>
                <w:szCs w:val="21"/>
                <w:highlight w:val="none"/>
              </w:rPr>
              <w:t>时</w:t>
            </w:r>
            <w:r>
              <w:rPr>
                <w:rFonts w:hint="eastAsia" w:hAnsi="宋体"/>
                <w:color w:val="auto"/>
                <w:sz w:val="21"/>
                <w:szCs w:val="21"/>
                <w:highlight w:val="none"/>
                <w:lang w:val="en-US" w:eastAsia="zh-CN"/>
              </w:rPr>
              <w:t>3</w:t>
            </w:r>
            <w:r>
              <w:rPr>
                <w:rFonts w:hAnsi="宋体"/>
                <w:color w:val="auto"/>
                <w:sz w:val="21"/>
                <w:szCs w:val="21"/>
                <w:highlight w:val="none"/>
              </w:rPr>
              <w:t>0</w:t>
            </w:r>
            <w:r>
              <w:rPr>
                <w:rFonts w:hint="eastAsia" w:hAnsi="宋体"/>
                <w:color w:val="auto"/>
                <w:sz w:val="21"/>
                <w:szCs w:val="21"/>
                <w:highlight w:val="none"/>
              </w:rPr>
              <w:t>分到</w:t>
            </w:r>
            <w:r>
              <w:rPr>
                <w:rFonts w:hAnsi="宋体"/>
                <w:color w:val="auto"/>
                <w:sz w:val="21"/>
                <w:szCs w:val="21"/>
                <w:highlight w:val="none"/>
              </w:rPr>
              <w:t>12</w:t>
            </w:r>
            <w:r>
              <w:rPr>
                <w:rFonts w:hint="eastAsia" w:hAnsi="宋体"/>
                <w:color w:val="auto"/>
                <w:sz w:val="21"/>
                <w:szCs w:val="21"/>
                <w:highlight w:val="none"/>
              </w:rPr>
              <w:t>时</w:t>
            </w:r>
            <w:r>
              <w:rPr>
                <w:rFonts w:hAnsi="宋体"/>
                <w:color w:val="auto"/>
                <w:sz w:val="21"/>
                <w:szCs w:val="21"/>
                <w:highlight w:val="none"/>
              </w:rPr>
              <w:t>00</w:t>
            </w:r>
            <w:r>
              <w:rPr>
                <w:rFonts w:hint="eastAsia" w:hAnsi="宋体"/>
                <w:color w:val="auto"/>
                <w:sz w:val="21"/>
                <w:szCs w:val="21"/>
                <w:highlight w:val="none"/>
              </w:rPr>
              <w:t>分，下午</w:t>
            </w:r>
            <w:r>
              <w:rPr>
                <w:rFonts w:hAnsi="宋体"/>
                <w:color w:val="auto"/>
                <w:sz w:val="21"/>
                <w:szCs w:val="21"/>
                <w:highlight w:val="none"/>
              </w:rPr>
              <w:t>3</w:t>
            </w:r>
            <w:r>
              <w:rPr>
                <w:rFonts w:hint="eastAsia" w:hAnsi="宋体"/>
                <w:color w:val="auto"/>
                <w:sz w:val="21"/>
                <w:szCs w:val="21"/>
                <w:highlight w:val="none"/>
              </w:rPr>
              <w:t>时</w:t>
            </w:r>
            <w:r>
              <w:rPr>
                <w:rFonts w:hAnsi="宋体"/>
                <w:color w:val="auto"/>
                <w:sz w:val="21"/>
                <w:szCs w:val="21"/>
                <w:highlight w:val="none"/>
              </w:rPr>
              <w:t>00</w:t>
            </w:r>
            <w:r>
              <w:rPr>
                <w:rFonts w:hint="eastAsia" w:hAnsi="宋体"/>
                <w:color w:val="auto"/>
                <w:sz w:val="21"/>
                <w:szCs w:val="21"/>
                <w:highlight w:val="none"/>
              </w:rPr>
              <w:t>分到</w:t>
            </w:r>
            <w:r>
              <w:rPr>
                <w:rFonts w:hAnsi="宋体"/>
                <w:color w:val="auto"/>
                <w:sz w:val="21"/>
                <w:szCs w:val="21"/>
                <w:highlight w:val="none"/>
              </w:rPr>
              <w:t>6</w:t>
            </w:r>
            <w:r>
              <w:rPr>
                <w:rFonts w:hint="eastAsia" w:hAnsi="宋体"/>
                <w:color w:val="auto"/>
                <w:sz w:val="21"/>
                <w:szCs w:val="21"/>
                <w:highlight w:val="none"/>
              </w:rPr>
              <w:t>时</w:t>
            </w:r>
            <w:r>
              <w:rPr>
                <w:rFonts w:hAnsi="宋体"/>
                <w:color w:val="auto"/>
                <w:sz w:val="21"/>
                <w:szCs w:val="21"/>
                <w:highlight w:val="none"/>
              </w:rPr>
              <w:t xml:space="preserve"> 00</w:t>
            </w:r>
            <w:r>
              <w:rPr>
                <w:rFonts w:hint="eastAsia" w:hAnsi="宋体"/>
                <w:color w:val="auto"/>
                <w:sz w:val="21"/>
                <w:szCs w:val="21"/>
                <w:highlight w:val="none"/>
              </w:rPr>
              <w:t>分，双休日和法定节假日不办理业务。</w:t>
            </w:r>
          </w:p>
        </w:tc>
      </w:tr>
      <w:tr w14:paraId="25659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92" w:type="dxa"/>
            <w:noWrap w:val="0"/>
            <w:vAlign w:val="center"/>
          </w:tcPr>
          <w:p w14:paraId="6536B45C">
            <w:pPr>
              <w:keepNext w:val="0"/>
              <w:keepLines w:val="0"/>
              <w:pageBreakBefore w:val="0"/>
              <w:widowControl w:val="0"/>
              <w:kinsoku/>
              <w:overflowPunct/>
              <w:topLinePunct w:val="0"/>
              <w:bidi w:val="0"/>
              <w:spacing w:line="360" w:lineRule="auto"/>
              <w:jc w:val="center"/>
              <w:rPr>
                <w:rFonts w:hint="eastAsia" w:ascii="宋体" w:hAnsi="宋体" w:cs="宋体"/>
                <w:color w:val="auto"/>
                <w:sz w:val="21"/>
                <w:szCs w:val="21"/>
                <w:highlight w:val="none"/>
              </w:rPr>
            </w:pPr>
            <w:r>
              <w:rPr>
                <w:rFonts w:ascii="宋体" w:hAnsi="宋体" w:cs="宋体"/>
                <w:color w:val="auto"/>
                <w:sz w:val="21"/>
                <w:szCs w:val="21"/>
                <w:highlight w:val="none"/>
              </w:rPr>
              <w:t>32.1</w:t>
            </w:r>
          </w:p>
        </w:tc>
        <w:tc>
          <w:tcPr>
            <w:tcW w:w="8263" w:type="dxa"/>
            <w:noWrap w:val="0"/>
            <w:vAlign w:val="center"/>
          </w:tcPr>
          <w:p w14:paraId="010722E5">
            <w:pPr>
              <w:pStyle w:val="19"/>
              <w:keepNext w:val="0"/>
              <w:keepLines w:val="0"/>
              <w:pageBreakBefore w:val="0"/>
              <w:widowControl w:val="0"/>
              <w:kinsoku/>
              <w:overflowPunct/>
              <w:topLinePunct w:val="0"/>
              <w:bidi w:val="0"/>
              <w:snapToGrid w:val="0"/>
              <w:spacing w:line="360" w:lineRule="auto"/>
              <w:rPr>
                <w:rFonts w:hint="eastAsia" w:hAnsi="宋体" w:cs="宋体"/>
                <w:color w:val="auto"/>
                <w:sz w:val="21"/>
                <w:szCs w:val="21"/>
                <w:highlight w:val="none"/>
              </w:rPr>
            </w:pPr>
            <w:r>
              <w:rPr>
                <w:rFonts w:hint="eastAsia" w:hAnsi="宋体" w:cs="宋体"/>
                <w:color w:val="auto"/>
                <w:sz w:val="21"/>
                <w:szCs w:val="21"/>
                <w:highlight w:val="none"/>
              </w:rPr>
              <w:t>1.采购代理费支付方式：</w:t>
            </w:r>
          </w:p>
          <w:p w14:paraId="12B5933A">
            <w:pPr>
              <w:pStyle w:val="19"/>
              <w:keepNext w:val="0"/>
              <w:keepLines w:val="0"/>
              <w:pageBreakBefore w:val="0"/>
              <w:widowControl w:val="0"/>
              <w:kinsoku/>
              <w:overflowPunct/>
              <w:topLinePunct w:val="0"/>
              <w:bidi w:val="0"/>
              <w:snapToGrid w:val="0"/>
              <w:spacing w:line="360" w:lineRule="auto"/>
              <w:rPr>
                <w:rFonts w:hint="eastAsia" w:hAnsi="宋体" w:cs="宋体"/>
                <w:color w:val="auto"/>
                <w:sz w:val="21"/>
                <w:szCs w:val="21"/>
                <w:highlight w:val="none"/>
              </w:rPr>
            </w:pPr>
            <w:r>
              <w:rPr>
                <w:rFonts w:hint="eastAsia" w:hAnsi="宋体" w:cs="宋体"/>
                <w:color w:val="auto"/>
                <w:sz w:val="21"/>
                <w:szCs w:val="21"/>
                <w:highlight w:val="none"/>
              </w:rPr>
              <w:t>本项目代理服务费由</w:t>
            </w:r>
            <w:r>
              <w:rPr>
                <w:rFonts w:hint="eastAsia" w:hAnsi="宋体" w:cs="宋体"/>
                <w:color w:val="auto"/>
                <w:sz w:val="21"/>
                <w:szCs w:val="21"/>
                <w:highlight w:val="none"/>
                <w:u w:val="single"/>
              </w:rPr>
              <w:t>成交供应商</w:t>
            </w:r>
            <w:r>
              <w:rPr>
                <w:rFonts w:hint="eastAsia" w:hAnsi="宋体" w:cs="宋体"/>
                <w:color w:val="auto"/>
                <w:sz w:val="21"/>
                <w:szCs w:val="21"/>
                <w:highlight w:val="none"/>
              </w:rPr>
              <w:t>一次性向采购代理机构支付。</w:t>
            </w:r>
          </w:p>
          <w:p w14:paraId="658EDC19">
            <w:pPr>
              <w:pStyle w:val="19"/>
              <w:keepNext w:val="0"/>
              <w:keepLines w:val="0"/>
              <w:pageBreakBefore w:val="0"/>
              <w:widowControl w:val="0"/>
              <w:kinsoku/>
              <w:overflowPunct/>
              <w:topLinePunct w:val="0"/>
              <w:bidi w:val="0"/>
              <w:snapToGrid w:val="0"/>
              <w:spacing w:line="360" w:lineRule="auto"/>
              <w:rPr>
                <w:rFonts w:hint="eastAsia" w:hAnsi="宋体" w:cs="宋体"/>
                <w:color w:val="auto"/>
                <w:sz w:val="21"/>
                <w:szCs w:val="21"/>
                <w:highlight w:val="none"/>
              </w:rPr>
            </w:pPr>
            <w:r>
              <w:rPr>
                <w:rFonts w:hint="eastAsia" w:hAnsi="宋体" w:cs="宋体"/>
                <w:color w:val="auto"/>
                <w:sz w:val="21"/>
                <w:szCs w:val="21"/>
                <w:highlight w:val="none"/>
              </w:rPr>
              <w:t>2.采购代理费收取标准：</w:t>
            </w:r>
          </w:p>
          <w:p w14:paraId="25B60879">
            <w:pPr>
              <w:pStyle w:val="19"/>
              <w:keepNext w:val="0"/>
              <w:keepLines w:val="0"/>
              <w:pageBreakBefore w:val="0"/>
              <w:widowControl w:val="0"/>
              <w:kinsoku/>
              <w:overflowPunct/>
              <w:topLinePunct w:val="0"/>
              <w:bidi w:val="0"/>
              <w:snapToGrid w:val="0"/>
              <w:spacing w:line="360" w:lineRule="auto"/>
              <w:rPr>
                <w:rFonts w:hint="eastAsia" w:hAnsi="宋体" w:cs="宋体"/>
                <w:color w:val="auto"/>
                <w:sz w:val="21"/>
                <w:szCs w:val="21"/>
                <w:highlight w:val="none"/>
              </w:rPr>
            </w:pPr>
            <w:r>
              <w:rPr>
                <w:rFonts w:hint="eastAsia" w:hAnsi="宋体" w:cs="宋体"/>
                <w:color w:val="auto"/>
                <w:sz w:val="21"/>
                <w:szCs w:val="21"/>
                <w:highlight w:val="none"/>
              </w:rPr>
              <w:t>以分标（</w:t>
            </w:r>
            <w:r>
              <w:rPr>
                <w:rFonts w:hint="eastAsia" w:hAnsi="宋体" w:cs="宋体"/>
                <w:color w:val="auto"/>
                <w:sz w:val="21"/>
                <w:szCs w:val="21"/>
                <w:highlight w:val="none"/>
                <w:lang w:eastAsia="zh-CN"/>
              </w:rPr>
              <w:t>☑</w:t>
            </w:r>
            <w:r>
              <w:rPr>
                <w:rFonts w:hint="eastAsia" w:hAnsi="宋体" w:cs="宋体"/>
                <w:color w:val="auto"/>
                <w:sz w:val="21"/>
                <w:szCs w:val="21"/>
                <w:highlight w:val="none"/>
              </w:rPr>
              <w:t>成交金额/</w:t>
            </w:r>
            <w:r>
              <w:rPr>
                <w:rFonts w:hint="eastAsia" w:hAnsi="宋体" w:cs="宋体"/>
                <w:color w:val="auto"/>
                <w:sz w:val="21"/>
                <w:szCs w:val="21"/>
                <w:highlight w:val="none"/>
                <w:lang w:eastAsia="zh-CN"/>
              </w:rPr>
              <w:t>□</w:t>
            </w:r>
            <w:r>
              <w:rPr>
                <w:rFonts w:hint="eastAsia" w:hAnsi="宋体" w:cs="宋体"/>
                <w:color w:val="auto"/>
                <w:sz w:val="21"/>
                <w:szCs w:val="21"/>
                <w:highlight w:val="none"/>
              </w:rPr>
              <w:t>采购预算/</w:t>
            </w:r>
            <w:r>
              <w:rPr>
                <w:rFonts w:hint="eastAsia" w:hAnsi="宋体" w:cs="宋体"/>
                <w:color w:val="auto"/>
                <w:sz w:val="21"/>
                <w:szCs w:val="21"/>
                <w:highlight w:val="none"/>
                <w:lang w:eastAsia="zh-CN"/>
              </w:rPr>
              <w:t>□</w:t>
            </w:r>
            <w:r>
              <w:rPr>
                <w:rFonts w:hint="eastAsia" w:hAnsi="宋体" w:cs="宋体"/>
                <w:color w:val="auto"/>
                <w:sz w:val="21"/>
                <w:szCs w:val="21"/>
                <w:highlight w:val="none"/>
              </w:rPr>
              <w:t>暂定成交金额/□其他</w:t>
            </w:r>
            <w:r>
              <w:rPr>
                <w:rFonts w:hint="eastAsia" w:hAnsi="宋体" w:cs="宋体"/>
                <w:color w:val="auto"/>
                <w:sz w:val="21"/>
                <w:szCs w:val="21"/>
                <w:highlight w:val="none"/>
                <w:u w:val="single"/>
              </w:rPr>
              <w:t xml:space="preserve"> </w:t>
            </w:r>
            <w:r>
              <w:rPr>
                <w:rFonts w:hAnsi="宋体" w:cs="宋体"/>
                <w:color w:val="auto"/>
                <w:sz w:val="21"/>
                <w:szCs w:val="21"/>
                <w:highlight w:val="none"/>
                <w:u w:val="single"/>
              </w:rPr>
              <w:t xml:space="preserve">  </w:t>
            </w:r>
            <w:r>
              <w:rPr>
                <w:rFonts w:hint="eastAsia" w:hAnsi="宋体" w:cs="宋体"/>
                <w:color w:val="auto"/>
                <w:sz w:val="21"/>
                <w:szCs w:val="21"/>
                <w:highlight w:val="none"/>
              </w:rPr>
              <w:t>）为计费额，按本须知正文第</w:t>
            </w:r>
            <w:r>
              <w:rPr>
                <w:rFonts w:hAnsi="宋体" w:cs="宋体"/>
                <w:color w:val="auto"/>
                <w:sz w:val="21"/>
                <w:szCs w:val="21"/>
                <w:highlight w:val="none"/>
              </w:rPr>
              <w:t>32</w:t>
            </w:r>
            <w:r>
              <w:rPr>
                <w:rFonts w:hint="eastAsia" w:hAnsi="宋体" w:cs="宋体"/>
                <w:color w:val="auto"/>
                <w:sz w:val="21"/>
                <w:szCs w:val="21"/>
                <w:highlight w:val="none"/>
              </w:rPr>
              <w:t>.</w:t>
            </w:r>
            <w:r>
              <w:rPr>
                <w:rFonts w:hAnsi="宋体" w:cs="宋体"/>
                <w:color w:val="auto"/>
                <w:sz w:val="21"/>
                <w:szCs w:val="21"/>
                <w:highlight w:val="none"/>
              </w:rPr>
              <w:t>2</w:t>
            </w:r>
            <w:r>
              <w:rPr>
                <w:rFonts w:hint="eastAsia" w:hAnsi="宋体" w:cs="宋体"/>
                <w:color w:val="auto"/>
                <w:sz w:val="21"/>
                <w:szCs w:val="21"/>
                <w:highlight w:val="none"/>
              </w:rPr>
              <w:t>条规定的收费计算标准（</w:t>
            </w:r>
            <w:r>
              <w:rPr>
                <w:rFonts w:hint="eastAsia" w:hAnsi="宋体" w:cs="宋体"/>
                <w:color w:val="auto"/>
                <w:sz w:val="21"/>
                <w:szCs w:val="21"/>
                <w:highlight w:val="none"/>
                <w:lang w:eastAsia="zh-CN"/>
              </w:rPr>
              <w:t>□</w:t>
            </w:r>
            <w:r>
              <w:rPr>
                <w:rFonts w:hint="eastAsia" w:hAnsi="宋体" w:cs="宋体"/>
                <w:color w:val="auto"/>
                <w:sz w:val="21"/>
                <w:szCs w:val="21"/>
                <w:highlight w:val="none"/>
              </w:rPr>
              <w:t>货物类/</w:t>
            </w:r>
            <w:r>
              <w:rPr>
                <w:rFonts w:hint="eastAsia" w:hAnsi="宋体" w:cs="宋体"/>
                <w:color w:val="auto"/>
                <w:sz w:val="21"/>
                <w:szCs w:val="21"/>
                <w:highlight w:val="none"/>
                <w:lang w:eastAsia="zh-CN"/>
              </w:rPr>
              <w:t>□</w:t>
            </w:r>
            <w:r>
              <w:rPr>
                <w:rFonts w:hint="eastAsia" w:hAnsi="宋体" w:cs="宋体"/>
                <w:color w:val="auto"/>
                <w:sz w:val="21"/>
                <w:szCs w:val="21"/>
                <w:highlight w:val="none"/>
              </w:rPr>
              <w:t>服务类/</w:t>
            </w:r>
            <w:r>
              <w:rPr>
                <w:rFonts w:hint="eastAsia" w:hAnsi="宋体" w:cs="宋体"/>
                <w:color w:val="auto"/>
                <w:sz w:val="21"/>
                <w:szCs w:val="21"/>
                <w:highlight w:val="none"/>
                <w:lang w:eastAsia="zh-CN"/>
              </w:rPr>
              <w:t>☑</w:t>
            </w:r>
            <w:r>
              <w:rPr>
                <w:rFonts w:hint="eastAsia" w:hAnsi="宋体" w:cs="宋体"/>
                <w:color w:val="auto"/>
                <w:sz w:val="21"/>
                <w:szCs w:val="21"/>
                <w:highlight w:val="none"/>
              </w:rPr>
              <w:t>工程类）采用差额定率累进法计算出收费基准价格，采购代理收费以（</w:t>
            </w:r>
            <w:r>
              <w:rPr>
                <w:rFonts w:hint="eastAsia" w:hAnsi="宋体" w:cs="宋体"/>
                <w:color w:val="auto"/>
                <w:sz w:val="21"/>
                <w:szCs w:val="21"/>
                <w:highlight w:val="none"/>
                <w:lang w:eastAsia="zh-CN"/>
              </w:rPr>
              <w:t>□</w:t>
            </w:r>
            <w:r>
              <w:rPr>
                <w:rFonts w:hint="eastAsia" w:hAnsi="宋体" w:cs="宋体"/>
                <w:color w:val="auto"/>
                <w:sz w:val="21"/>
                <w:szCs w:val="21"/>
                <w:highlight w:val="none"/>
              </w:rPr>
              <w:t>收费基准价格/</w:t>
            </w:r>
            <w:r>
              <w:rPr>
                <w:rFonts w:hint="eastAsia" w:hAnsi="宋体" w:cs="宋体"/>
                <w:color w:val="auto"/>
                <w:sz w:val="21"/>
                <w:szCs w:val="21"/>
                <w:highlight w:val="none"/>
                <w:lang w:eastAsia="zh-CN"/>
              </w:rPr>
              <w:t>☑</w:t>
            </w:r>
            <w:r>
              <w:rPr>
                <w:rFonts w:hint="eastAsia" w:hAnsi="宋体" w:cs="宋体"/>
                <w:color w:val="auto"/>
                <w:sz w:val="21"/>
                <w:szCs w:val="21"/>
                <w:highlight w:val="none"/>
              </w:rPr>
              <w:t>收费基准价格下浮</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20 </w:t>
            </w:r>
            <w:r>
              <w:rPr>
                <w:rFonts w:hAnsi="宋体" w:cs="宋体"/>
                <w:color w:val="auto"/>
                <w:sz w:val="21"/>
                <w:szCs w:val="21"/>
                <w:highlight w:val="none"/>
                <w:u w:val="single"/>
              </w:rPr>
              <w:t xml:space="preserve"> </w:t>
            </w:r>
            <w:r>
              <w:rPr>
                <w:rFonts w:hint="eastAsia" w:hAnsi="宋体" w:cs="宋体"/>
                <w:color w:val="auto"/>
                <w:sz w:val="21"/>
                <w:szCs w:val="21"/>
                <w:highlight w:val="none"/>
                <w:u w:val="single"/>
              </w:rPr>
              <w:t>%</w:t>
            </w:r>
            <w:r>
              <w:rPr>
                <w:rFonts w:hAnsi="宋体" w:cs="宋体"/>
                <w:color w:val="auto"/>
                <w:sz w:val="21"/>
                <w:szCs w:val="21"/>
                <w:highlight w:val="none"/>
              </w:rPr>
              <w:t>/</w:t>
            </w:r>
            <w:r>
              <w:rPr>
                <w:rFonts w:hint="eastAsia" w:hAnsi="宋体" w:cs="宋体"/>
                <w:color w:val="auto"/>
                <w:sz w:val="21"/>
                <w:szCs w:val="21"/>
                <w:highlight w:val="none"/>
              </w:rPr>
              <w:t>□收费基准价格上浮</w:t>
            </w:r>
            <w:r>
              <w:rPr>
                <w:rFonts w:hint="eastAsia" w:hAnsi="宋体" w:cs="宋体"/>
                <w:color w:val="auto"/>
                <w:sz w:val="21"/>
                <w:szCs w:val="21"/>
                <w:highlight w:val="none"/>
                <w:u w:val="single"/>
              </w:rPr>
              <w:t xml:space="preserve"> </w:t>
            </w:r>
            <w:r>
              <w:rPr>
                <w:rFonts w:hAnsi="宋体" w:cs="宋体"/>
                <w:color w:val="auto"/>
                <w:sz w:val="21"/>
                <w:szCs w:val="21"/>
                <w:highlight w:val="none"/>
                <w:u w:val="single"/>
              </w:rPr>
              <w:t xml:space="preserve">  </w:t>
            </w:r>
            <w:r>
              <w:rPr>
                <w:rFonts w:hint="eastAsia" w:hAnsi="宋体" w:cs="宋体"/>
                <w:color w:val="auto"/>
                <w:sz w:val="21"/>
                <w:szCs w:val="21"/>
                <w:highlight w:val="none"/>
                <w:u w:val="single"/>
              </w:rPr>
              <w:t>%</w:t>
            </w:r>
            <w:r>
              <w:rPr>
                <w:rFonts w:hint="eastAsia" w:hAnsi="宋体" w:cs="宋体"/>
                <w:color w:val="auto"/>
                <w:sz w:val="21"/>
                <w:szCs w:val="21"/>
                <w:highlight w:val="none"/>
              </w:rPr>
              <w:t>）计收。</w:t>
            </w:r>
          </w:p>
          <w:p w14:paraId="44B4E5DE">
            <w:pPr>
              <w:pStyle w:val="19"/>
              <w:keepNext w:val="0"/>
              <w:keepLines w:val="0"/>
              <w:pageBreakBefore w:val="0"/>
              <w:widowControl w:val="0"/>
              <w:kinsoku/>
              <w:overflowPunct/>
              <w:topLinePunct w:val="0"/>
              <w:bidi w:val="0"/>
              <w:snapToGrid w:val="0"/>
              <w:spacing w:line="360" w:lineRule="auto"/>
              <w:rPr>
                <w:rFonts w:hAnsi="宋体" w:cs="宋体"/>
                <w:color w:val="auto"/>
                <w:sz w:val="21"/>
                <w:szCs w:val="21"/>
                <w:highlight w:val="none"/>
                <w:u w:val="single"/>
              </w:rPr>
            </w:pPr>
            <w:r>
              <w:rPr>
                <w:rFonts w:hint="eastAsia" w:hAnsi="宋体" w:cs="宋体"/>
                <w:color w:val="auto"/>
                <w:sz w:val="21"/>
                <w:szCs w:val="21"/>
                <w:highlight w:val="none"/>
              </w:rPr>
              <w:t>□固定采购代理收费</w:t>
            </w:r>
            <w:r>
              <w:rPr>
                <w:rFonts w:hint="eastAsia" w:hAnsi="宋体" w:cs="宋体"/>
                <w:color w:val="auto"/>
                <w:sz w:val="21"/>
                <w:szCs w:val="21"/>
                <w:highlight w:val="none"/>
                <w:u w:val="single"/>
              </w:rPr>
              <w:t xml:space="preserve">              。</w:t>
            </w:r>
          </w:p>
          <w:p w14:paraId="577E59E6">
            <w:pPr>
              <w:pStyle w:val="19"/>
              <w:keepNext w:val="0"/>
              <w:keepLines w:val="0"/>
              <w:pageBreakBefore w:val="0"/>
              <w:widowControl w:val="0"/>
              <w:kinsoku/>
              <w:overflowPunct/>
              <w:topLinePunct w:val="0"/>
              <w:bidi w:val="0"/>
              <w:snapToGrid w:val="0"/>
              <w:spacing w:line="360" w:lineRule="auto"/>
              <w:rPr>
                <w:rFonts w:hint="eastAsia" w:hAnsi="宋体" w:cs="宋体"/>
                <w:color w:val="auto"/>
                <w:sz w:val="21"/>
                <w:szCs w:val="21"/>
                <w:highlight w:val="none"/>
              </w:rPr>
            </w:pPr>
            <w:r>
              <w:rPr>
                <w:rFonts w:hint="eastAsia" w:hAnsi="宋体" w:cs="宋体"/>
                <w:color w:val="auto"/>
                <w:sz w:val="21"/>
                <w:szCs w:val="21"/>
                <w:highlight w:val="none"/>
              </w:rPr>
              <w:t>3. 采购代理费收取银行账户</w:t>
            </w:r>
          </w:p>
          <w:p w14:paraId="18B6124A">
            <w:pPr>
              <w:pStyle w:val="19"/>
              <w:keepNext w:val="0"/>
              <w:keepLines w:val="0"/>
              <w:pageBreakBefore w:val="0"/>
              <w:widowControl w:val="0"/>
              <w:kinsoku/>
              <w:overflowPunct/>
              <w:topLinePunct w:val="0"/>
              <w:bidi w:val="0"/>
              <w:snapToGrid w:val="0"/>
              <w:spacing w:line="360" w:lineRule="auto"/>
              <w:rPr>
                <w:rFonts w:hint="eastAsia" w:hAnsi="宋体" w:eastAsia="宋体" w:cs="宋体"/>
                <w:color w:val="auto"/>
                <w:sz w:val="21"/>
                <w:szCs w:val="21"/>
                <w:highlight w:val="none"/>
                <w:lang w:eastAsia="zh-CN"/>
              </w:rPr>
            </w:pPr>
            <w:r>
              <w:rPr>
                <w:rFonts w:hint="eastAsia" w:hAnsi="宋体" w:cs="宋体"/>
                <w:color w:val="auto"/>
                <w:sz w:val="21"/>
                <w:szCs w:val="21"/>
                <w:highlight w:val="none"/>
              </w:rPr>
              <w:t>开户名称：</w:t>
            </w:r>
            <w:r>
              <w:rPr>
                <w:rFonts w:hint="eastAsia" w:hAnsi="宋体" w:cs="宋体"/>
                <w:color w:val="auto"/>
                <w:sz w:val="21"/>
                <w:szCs w:val="21"/>
                <w:highlight w:val="none"/>
                <w:lang w:eastAsia="zh-CN"/>
              </w:rPr>
              <w:t>广西建设工程机电设备招标中心有限公司</w:t>
            </w:r>
          </w:p>
          <w:p w14:paraId="273C4309">
            <w:pPr>
              <w:pStyle w:val="19"/>
              <w:keepNext w:val="0"/>
              <w:keepLines w:val="0"/>
              <w:pageBreakBefore w:val="0"/>
              <w:widowControl w:val="0"/>
              <w:kinsoku/>
              <w:overflowPunct/>
              <w:topLinePunct w:val="0"/>
              <w:bidi w:val="0"/>
              <w:snapToGrid w:val="0"/>
              <w:spacing w:line="360" w:lineRule="auto"/>
              <w:rPr>
                <w:rFonts w:hint="eastAsia" w:hAnsi="宋体" w:eastAsia="宋体" w:cs="宋体"/>
                <w:color w:val="auto"/>
                <w:sz w:val="21"/>
                <w:szCs w:val="21"/>
                <w:highlight w:val="none"/>
                <w:lang w:eastAsia="zh-CN"/>
              </w:rPr>
            </w:pPr>
            <w:r>
              <w:rPr>
                <w:rFonts w:hint="eastAsia" w:hAnsi="宋体" w:cs="宋体"/>
                <w:color w:val="auto"/>
                <w:sz w:val="21"/>
                <w:szCs w:val="21"/>
                <w:highlight w:val="none"/>
              </w:rPr>
              <w:t>银行账号：</w:t>
            </w:r>
            <w:r>
              <w:rPr>
                <w:rFonts w:hint="eastAsia" w:hAnsi="宋体" w:cs="宋体"/>
                <w:color w:val="auto"/>
                <w:sz w:val="21"/>
                <w:szCs w:val="21"/>
                <w:highlight w:val="none"/>
                <w:lang w:eastAsia="zh-CN"/>
              </w:rPr>
              <w:t>7719 0142 3310 201</w:t>
            </w:r>
          </w:p>
          <w:p w14:paraId="4FE27174">
            <w:pPr>
              <w:pStyle w:val="19"/>
              <w:keepNext w:val="0"/>
              <w:keepLines w:val="0"/>
              <w:pageBreakBefore w:val="0"/>
              <w:widowControl w:val="0"/>
              <w:kinsoku/>
              <w:overflowPunct/>
              <w:topLinePunct w:val="0"/>
              <w:bidi w:val="0"/>
              <w:snapToGrid w:val="0"/>
              <w:spacing w:line="360" w:lineRule="auto"/>
              <w:rPr>
                <w:rFonts w:hint="eastAsia" w:hAnsi="宋体" w:cs="宋体"/>
                <w:color w:val="auto"/>
                <w:sz w:val="21"/>
                <w:szCs w:val="21"/>
                <w:highlight w:val="none"/>
              </w:rPr>
            </w:pPr>
            <w:r>
              <w:rPr>
                <w:rFonts w:hint="eastAsia" w:hAnsi="宋体" w:cs="宋体"/>
                <w:color w:val="auto"/>
                <w:sz w:val="21"/>
                <w:szCs w:val="21"/>
                <w:highlight w:val="none"/>
              </w:rPr>
              <w:t>开户银行：</w:t>
            </w:r>
            <w:r>
              <w:rPr>
                <w:rFonts w:hint="eastAsia" w:hAnsi="宋体" w:cs="宋体"/>
                <w:color w:val="auto"/>
                <w:sz w:val="21"/>
                <w:szCs w:val="21"/>
                <w:highlight w:val="none"/>
                <w:lang w:eastAsia="zh-CN"/>
              </w:rPr>
              <w:t xml:space="preserve">招商银行南宁分行营业部 </w:t>
            </w:r>
          </w:p>
        </w:tc>
      </w:tr>
      <w:tr w14:paraId="71660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51B4121">
            <w:pPr>
              <w:keepNext w:val="0"/>
              <w:keepLines w:val="0"/>
              <w:pageBreakBefore w:val="0"/>
              <w:widowControl w:val="0"/>
              <w:kinsoku/>
              <w:overflowPunct/>
              <w:topLinePunct w:val="0"/>
              <w:bidi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w:t>
            </w:r>
            <w:r>
              <w:rPr>
                <w:rFonts w:ascii="宋体" w:hAnsi="宋体" w:cs="宋体"/>
                <w:color w:val="auto"/>
                <w:sz w:val="21"/>
                <w:szCs w:val="21"/>
                <w:highlight w:val="none"/>
              </w:rPr>
              <w:t>3.1</w:t>
            </w:r>
          </w:p>
        </w:tc>
        <w:tc>
          <w:tcPr>
            <w:tcW w:w="8263" w:type="dxa"/>
            <w:noWrap w:val="0"/>
            <w:vAlign w:val="center"/>
          </w:tcPr>
          <w:p w14:paraId="671427E4">
            <w:pPr>
              <w:pStyle w:val="19"/>
              <w:keepNext w:val="0"/>
              <w:keepLines w:val="0"/>
              <w:pageBreakBefore w:val="0"/>
              <w:widowControl w:val="0"/>
              <w:kinsoku/>
              <w:overflowPunct/>
              <w:topLinePunct w:val="0"/>
              <w:bidi w:val="0"/>
              <w:snapToGrid w:val="0"/>
              <w:spacing w:line="360" w:lineRule="auto"/>
              <w:rPr>
                <w:rFonts w:hint="eastAsia" w:hAnsi="宋体" w:cs="宋体"/>
                <w:color w:val="auto"/>
                <w:kern w:val="2"/>
                <w:sz w:val="21"/>
                <w:szCs w:val="21"/>
                <w:highlight w:val="none"/>
              </w:rPr>
            </w:pPr>
            <w:r>
              <w:rPr>
                <w:rFonts w:hint="eastAsia" w:hAnsi="宋体"/>
                <w:color w:val="auto"/>
                <w:sz w:val="21"/>
                <w:szCs w:val="21"/>
                <w:highlight w:val="none"/>
              </w:rPr>
              <w:t>解释：</w:t>
            </w:r>
            <w:r>
              <w:rPr>
                <w:rFonts w:hAnsi="宋体"/>
                <w:color w:val="auto"/>
                <w:sz w:val="21"/>
                <w:szCs w:val="21"/>
                <w:highlight w:val="none"/>
              </w:rPr>
              <w:t>构成本</w:t>
            </w:r>
            <w:r>
              <w:rPr>
                <w:rFonts w:hint="eastAsia" w:hAnsi="宋体"/>
                <w:color w:val="auto"/>
                <w:sz w:val="21"/>
                <w:szCs w:val="21"/>
                <w:highlight w:val="none"/>
              </w:rPr>
              <w:t>磋商文件</w:t>
            </w:r>
            <w:r>
              <w:rPr>
                <w:rFonts w:hAnsi="宋体"/>
                <w:color w:val="auto"/>
                <w:sz w:val="21"/>
                <w:szCs w:val="21"/>
                <w:highlight w:val="none"/>
              </w:rPr>
              <w:t>的各个组成文件应互为解释，互为说明；除</w:t>
            </w:r>
            <w:r>
              <w:rPr>
                <w:rFonts w:hint="eastAsia" w:hAnsi="宋体"/>
                <w:color w:val="auto"/>
                <w:sz w:val="21"/>
                <w:szCs w:val="21"/>
                <w:highlight w:val="none"/>
              </w:rPr>
              <w:t>磋商文件</w:t>
            </w:r>
            <w:r>
              <w:rPr>
                <w:rFonts w:hAnsi="宋体"/>
                <w:color w:val="auto"/>
                <w:sz w:val="21"/>
                <w:szCs w:val="21"/>
                <w:highlight w:val="none"/>
              </w:rPr>
              <w:t>中有特别规定外，仅适用于</w:t>
            </w:r>
            <w:r>
              <w:rPr>
                <w:rFonts w:hint="eastAsia" w:hAnsi="宋体"/>
                <w:color w:val="auto"/>
                <w:sz w:val="21"/>
                <w:szCs w:val="21"/>
                <w:highlight w:val="none"/>
                <w:lang w:eastAsia="zh-CN"/>
              </w:rPr>
              <w:t>响应</w:t>
            </w:r>
            <w:r>
              <w:rPr>
                <w:rFonts w:hAnsi="宋体"/>
                <w:color w:val="auto"/>
                <w:sz w:val="21"/>
                <w:szCs w:val="21"/>
                <w:highlight w:val="none"/>
              </w:rPr>
              <w:t>阶段的规定，按</w:t>
            </w:r>
            <w:r>
              <w:rPr>
                <w:rFonts w:hint="eastAsia" w:hAnsi="宋体"/>
                <w:color w:val="auto"/>
                <w:sz w:val="21"/>
                <w:szCs w:val="21"/>
                <w:highlight w:val="none"/>
              </w:rPr>
              <w:t>更正公告（澄清公告）</w:t>
            </w:r>
            <w:r>
              <w:rPr>
                <w:rFonts w:hAnsi="宋体"/>
                <w:color w:val="auto"/>
                <w:sz w:val="21"/>
                <w:szCs w:val="21"/>
                <w:highlight w:val="none"/>
              </w:rPr>
              <w:t>、</w:t>
            </w:r>
            <w:r>
              <w:rPr>
                <w:rFonts w:hint="eastAsia" w:hAnsi="宋体"/>
                <w:color w:val="auto"/>
                <w:sz w:val="21"/>
                <w:szCs w:val="21"/>
                <w:highlight w:val="none"/>
              </w:rPr>
              <w:t>竞争性磋商</w:t>
            </w:r>
            <w:r>
              <w:rPr>
                <w:rFonts w:hAnsi="宋体"/>
                <w:color w:val="auto"/>
                <w:sz w:val="21"/>
                <w:szCs w:val="21"/>
                <w:highlight w:val="none"/>
              </w:rPr>
              <w:t>公告</w:t>
            </w:r>
            <w:r>
              <w:rPr>
                <w:rFonts w:hint="eastAsia" w:hAnsi="宋体" w:cs="宋体"/>
                <w:color w:val="auto"/>
                <w:sz w:val="21"/>
                <w:szCs w:val="21"/>
                <w:highlight w:val="none"/>
              </w:rPr>
              <w:t>或者</w:t>
            </w:r>
            <w:r>
              <w:rPr>
                <w:rFonts w:hint="eastAsia" w:hAnsi="宋体" w:cs="宋体"/>
                <w:color w:val="auto"/>
                <w:sz w:val="21"/>
                <w:szCs w:val="21"/>
                <w:highlight w:val="none"/>
                <w:lang w:eastAsia="zh-CN"/>
              </w:rPr>
              <w:t>响应</w:t>
            </w:r>
            <w:r>
              <w:rPr>
                <w:rFonts w:hint="eastAsia" w:hAnsi="宋体" w:cs="宋体"/>
                <w:color w:val="auto"/>
                <w:sz w:val="21"/>
                <w:szCs w:val="21"/>
                <w:highlight w:val="none"/>
              </w:rPr>
              <w:t>邀请函</w:t>
            </w:r>
            <w:r>
              <w:rPr>
                <w:rFonts w:hAnsi="宋体"/>
                <w:color w:val="auto"/>
                <w:sz w:val="21"/>
                <w:szCs w:val="21"/>
                <w:highlight w:val="none"/>
              </w:rPr>
              <w:t>、</w:t>
            </w:r>
            <w:r>
              <w:rPr>
                <w:rFonts w:hint="eastAsia" w:hAnsi="宋体"/>
                <w:color w:val="auto"/>
                <w:sz w:val="21"/>
                <w:szCs w:val="21"/>
                <w:highlight w:val="none"/>
              </w:rPr>
              <w:t>供应商</w:t>
            </w:r>
            <w:r>
              <w:rPr>
                <w:rFonts w:hAnsi="宋体"/>
                <w:color w:val="auto"/>
                <w:sz w:val="21"/>
                <w:szCs w:val="21"/>
                <w:highlight w:val="none"/>
              </w:rPr>
              <w:t>须知</w:t>
            </w:r>
            <w:r>
              <w:rPr>
                <w:rFonts w:hint="eastAsia" w:hAnsi="宋体"/>
                <w:color w:val="auto"/>
                <w:sz w:val="21"/>
                <w:szCs w:val="21"/>
                <w:highlight w:val="none"/>
              </w:rPr>
              <w:t>、采购需求</w:t>
            </w:r>
            <w:r>
              <w:rPr>
                <w:rFonts w:hAnsi="宋体"/>
                <w:color w:val="auto"/>
                <w:sz w:val="21"/>
                <w:szCs w:val="21"/>
                <w:highlight w:val="none"/>
              </w:rPr>
              <w:t>、</w:t>
            </w:r>
            <w:r>
              <w:rPr>
                <w:rFonts w:hint="eastAsia"/>
                <w:color w:val="auto"/>
                <w:sz w:val="21"/>
                <w:szCs w:val="21"/>
                <w:highlight w:val="none"/>
              </w:rPr>
              <w:t>评审程序、评审方法和评审标准</w:t>
            </w:r>
            <w:r>
              <w:rPr>
                <w:rFonts w:hAnsi="宋体"/>
                <w:color w:val="auto"/>
                <w:sz w:val="21"/>
                <w:szCs w:val="21"/>
                <w:highlight w:val="none"/>
              </w:rPr>
              <w:t>、</w:t>
            </w:r>
            <w:r>
              <w:rPr>
                <w:rFonts w:hint="eastAsia" w:hAnsi="宋体"/>
                <w:color w:val="auto"/>
                <w:sz w:val="21"/>
                <w:szCs w:val="21"/>
                <w:highlight w:val="none"/>
              </w:rPr>
              <w:t>响应</w:t>
            </w:r>
            <w:r>
              <w:rPr>
                <w:rFonts w:hAnsi="宋体"/>
                <w:color w:val="auto"/>
                <w:sz w:val="21"/>
                <w:szCs w:val="21"/>
                <w:highlight w:val="none"/>
              </w:rPr>
              <w:t>文件格式</w:t>
            </w:r>
            <w:r>
              <w:rPr>
                <w:rFonts w:hint="eastAsia" w:hAnsi="宋体"/>
                <w:color w:val="auto"/>
                <w:sz w:val="21"/>
                <w:szCs w:val="21"/>
                <w:highlight w:val="none"/>
              </w:rPr>
              <w:t>、合同文本</w:t>
            </w:r>
            <w:r>
              <w:rPr>
                <w:rFonts w:hAnsi="宋体"/>
                <w:color w:val="auto"/>
                <w:sz w:val="21"/>
                <w:szCs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szCs w:val="21"/>
                <w:highlight w:val="none"/>
              </w:rPr>
              <w:t>更正公告（澄清公告）</w:t>
            </w:r>
            <w:r>
              <w:rPr>
                <w:rFonts w:hAnsi="宋体"/>
                <w:color w:val="auto"/>
                <w:sz w:val="21"/>
                <w:szCs w:val="21"/>
                <w:highlight w:val="none"/>
              </w:rPr>
              <w:t>与同步更新的</w:t>
            </w:r>
            <w:r>
              <w:rPr>
                <w:rFonts w:hint="eastAsia" w:hAnsi="宋体"/>
                <w:color w:val="auto"/>
                <w:sz w:val="21"/>
                <w:szCs w:val="21"/>
                <w:highlight w:val="none"/>
              </w:rPr>
              <w:t>磋商文件</w:t>
            </w:r>
            <w:r>
              <w:rPr>
                <w:rFonts w:hAnsi="宋体"/>
                <w:color w:val="auto"/>
                <w:sz w:val="21"/>
                <w:szCs w:val="21"/>
                <w:highlight w:val="none"/>
              </w:rPr>
              <w:t>不一致时以</w:t>
            </w:r>
            <w:r>
              <w:rPr>
                <w:rFonts w:hint="eastAsia" w:hAnsi="宋体"/>
                <w:color w:val="auto"/>
                <w:sz w:val="21"/>
                <w:szCs w:val="21"/>
                <w:highlight w:val="none"/>
              </w:rPr>
              <w:t>更正公告（澄清公告）</w:t>
            </w:r>
            <w:r>
              <w:rPr>
                <w:rFonts w:hAnsi="宋体"/>
                <w:color w:val="auto"/>
                <w:sz w:val="21"/>
                <w:szCs w:val="21"/>
                <w:highlight w:val="none"/>
              </w:rPr>
              <w:t>为准。按本款前述规定仍不能形成结论的，由</w:t>
            </w:r>
            <w:r>
              <w:rPr>
                <w:rFonts w:hint="eastAsia" w:hAnsi="宋体"/>
                <w:color w:val="auto"/>
                <w:sz w:val="21"/>
                <w:szCs w:val="21"/>
                <w:highlight w:val="none"/>
              </w:rPr>
              <w:t>采购</w:t>
            </w:r>
            <w:r>
              <w:rPr>
                <w:rFonts w:hAnsi="宋体"/>
                <w:color w:val="auto"/>
                <w:sz w:val="21"/>
                <w:szCs w:val="21"/>
                <w:highlight w:val="none"/>
              </w:rPr>
              <w:t>人</w:t>
            </w:r>
            <w:r>
              <w:rPr>
                <w:rFonts w:hint="eastAsia" w:hAnsi="宋体"/>
                <w:color w:val="auto"/>
                <w:sz w:val="21"/>
                <w:szCs w:val="21"/>
                <w:highlight w:val="none"/>
              </w:rPr>
              <w:t>或者采购代理机构</w:t>
            </w:r>
            <w:r>
              <w:rPr>
                <w:rFonts w:hAnsi="宋体"/>
                <w:color w:val="auto"/>
                <w:sz w:val="21"/>
                <w:szCs w:val="21"/>
                <w:highlight w:val="none"/>
              </w:rPr>
              <w:t>负责解释。</w:t>
            </w:r>
          </w:p>
        </w:tc>
      </w:tr>
      <w:tr w14:paraId="4919A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A58E1BC">
            <w:pPr>
              <w:keepNext w:val="0"/>
              <w:keepLines w:val="0"/>
              <w:pageBreakBefore w:val="0"/>
              <w:widowControl w:val="0"/>
              <w:kinsoku/>
              <w:overflowPunct/>
              <w:topLinePunct w:val="0"/>
              <w:bidi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33.2</w:t>
            </w:r>
          </w:p>
        </w:tc>
        <w:tc>
          <w:tcPr>
            <w:tcW w:w="8263" w:type="dxa"/>
            <w:noWrap w:val="0"/>
            <w:vAlign w:val="center"/>
          </w:tcPr>
          <w:p w14:paraId="4E0D4F03">
            <w:pPr>
              <w:pStyle w:val="19"/>
              <w:keepNext w:val="0"/>
              <w:keepLines w:val="0"/>
              <w:pageBreakBefore w:val="0"/>
              <w:widowControl w:val="0"/>
              <w:kinsoku/>
              <w:overflowPunct/>
              <w:topLinePunct w:val="0"/>
              <w:bidi w:val="0"/>
              <w:snapToGrid w:val="0"/>
              <w:spacing w:line="360" w:lineRule="auto"/>
              <w:rPr>
                <w:rFonts w:hint="eastAsia" w:hAnsi="宋体"/>
                <w:color w:val="auto"/>
                <w:sz w:val="21"/>
                <w:szCs w:val="21"/>
                <w:highlight w:val="none"/>
              </w:rPr>
            </w:pPr>
            <w:r>
              <w:rPr>
                <w:rFonts w:hint="eastAsia" w:hAnsi="宋体"/>
                <w:color w:val="auto"/>
                <w:sz w:val="21"/>
                <w:highlight w:val="none"/>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5E7AA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CC4EAB4">
            <w:pPr>
              <w:keepNext w:val="0"/>
              <w:keepLines w:val="0"/>
              <w:pageBreakBefore w:val="0"/>
              <w:widowControl w:val="0"/>
              <w:kinsoku/>
              <w:overflowPunct/>
              <w:topLinePunct w:val="0"/>
              <w:bidi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lang w:val="en-US" w:eastAsia="zh-CN"/>
              </w:rPr>
              <w:t>3</w:t>
            </w:r>
          </w:p>
        </w:tc>
        <w:tc>
          <w:tcPr>
            <w:tcW w:w="8263" w:type="dxa"/>
            <w:noWrap w:val="0"/>
            <w:vAlign w:val="center"/>
          </w:tcPr>
          <w:p w14:paraId="1447CF66">
            <w:pPr>
              <w:pStyle w:val="19"/>
              <w:keepNext w:val="0"/>
              <w:keepLines w:val="0"/>
              <w:pageBreakBefore w:val="0"/>
              <w:widowControl w:val="0"/>
              <w:kinsoku/>
              <w:overflowPunct/>
              <w:topLinePunct w:val="0"/>
              <w:bidi w:val="0"/>
              <w:snapToGrid w:val="0"/>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w:t>
            </w:r>
            <w:r>
              <w:rPr>
                <w:rFonts w:hint="eastAsia" w:hAnsi="宋体" w:cs="宋体"/>
                <w:color w:val="auto"/>
                <w:sz w:val="21"/>
                <w:highlight w:val="none"/>
                <w:lang w:eastAsia="zh-CN"/>
              </w:rPr>
              <w:t>响应</w:t>
            </w:r>
            <w:r>
              <w:rPr>
                <w:rFonts w:hint="eastAsia" w:hAnsi="宋体" w:cs="宋体"/>
                <w:color w:val="auto"/>
                <w:sz w:val="21"/>
                <w:highlight w:val="none"/>
              </w:rPr>
              <w:t>/投标专用章、业务专用章及银行的转账章、现金收讫章、现金付讫章等其他形式印章均不能代替公章。</w:t>
            </w:r>
          </w:p>
          <w:p w14:paraId="2B8AE207">
            <w:pPr>
              <w:pStyle w:val="19"/>
              <w:keepNext w:val="0"/>
              <w:keepLines w:val="0"/>
              <w:pageBreakBefore w:val="0"/>
              <w:widowControl w:val="0"/>
              <w:kinsoku/>
              <w:overflowPunct/>
              <w:topLinePunct w:val="0"/>
              <w:bidi w:val="0"/>
              <w:snapToGrid w:val="0"/>
              <w:spacing w:line="360" w:lineRule="auto"/>
              <w:rPr>
                <w:rFonts w:hint="eastAsia" w:hAnsi="宋体" w:cs="宋体"/>
                <w:color w:val="auto"/>
                <w:sz w:val="21"/>
                <w:highlight w:val="none"/>
              </w:rPr>
            </w:pPr>
            <w:r>
              <w:rPr>
                <w:rFonts w:hint="eastAsia" w:hAnsi="宋体" w:cs="宋体"/>
                <w:bCs/>
                <w:color w:val="auto"/>
                <w:sz w:val="21"/>
                <w:highlight w:val="none"/>
              </w:rPr>
              <w:t>2.本磋商文件所称的“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0F1AB1FA">
            <w:pPr>
              <w:pStyle w:val="19"/>
              <w:keepNext w:val="0"/>
              <w:keepLines w:val="0"/>
              <w:pageBreakBefore w:val="0"/>
              <w:widowControl w:val="0"/>
              <w:kinsoku/>
              <w:overflowPunct/>
              <w:topLinePunct w:val="0"/>
              <w:bidi w:val="0"/>
              <w:snapToGrid w:val="0"/>
              <w:spacing w:line="360" w:lineRule="auto"/>
              <w:rPr>
                <w:rFonts w:hint="eastAsia" w:hAnsi="宋体" w:cs="宋体"/>
                <w:bCs/>
                <w:color w:val="auto"/>
                <w:sz w:val="21"/>
                <w:highlight w:val="none"/>
              </w:rPr>
            </w:pPr>
            <w:r>
              <w:rPr>
                <w:rFonts w:hAnsi="宋体" w:cs="宋体"/>
                <w:color w:val="auto"/>
                <w:sz w:val="21"/>
                <w:highlight w:val="none"/>
              </w:rPr>
              <w:t>3</w:t>
            </w:r>
            <w:r>
              <w:rPr>
                <w:rFonts w:hint="eastAsia" w:hAnsi="宋体" w:cs="宋体"/>
                <w:color w:val="auto"/>
                <w:sz w:val="21"/>
                <w:highlight w:val="none"/>
              </w:rPr>
              <w:t>.供应商为其他组织或者自然人时，本磋商文件规定的法定代表人指负责人或者自然人。本磋商文件所称负责人是指参加</w:t>
            </w:r>
            <w:r>
              <w:rPr>
                <w:rFonts w:hint="eastAsia" w:hAnsi="宋体" w:cs="宋体"/>
                <w:color w:val="auto"/>
                <w:sz w:val="21"/>
                <w:highlight w:val="none"/>
                <w:lang w:eastAsia="zh-CN"/>
              </w:rPr>
              <w:t>响应</w:t>
            </w:r>
            <w:r>
              <w:rPr>
                <w:rFonts w:hint="eastAsia" w:hAnsi="宋体" w:cs="宋体"/>
                <w:color w:val="auto"/>
                <w:sz w:val="21"/>
                <w:highlight w:val="none"/>
              </w:rPr>
              <w:t>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w:t>
            </w:r>
            <w:r>
              <w:rPr>
                <w:rFonts w:hint="eastAsia" w:hAnsi="宋体" w:cs="宋体"/>
                <w:color w:val="auto"/>
                <w:sz w:val="21"/>
                <w:highlight w:val="none"/>
                <w:lang w:eastAsia="zh-CN"/>
              </w:rPr>
              <w:t>响应</w:t>
            </w:r>
            <w:r>
              <w:rPr>
                <w:rFonts w:hint="eastAsia" w:hAnsi="宋体" w:cs="宋体"/>
                <w:color w:val="auto"/>
                <w:sz w:val="21"/>
                <w:highlight w:val="none"/>
              </w:rPr>
              <w:t>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6D7F3A0F">
            <w:pPr>
              <w:pStyle w:val="19"/>
              <w:keepNext w:val="0"/>
              <w:keepLines w:val="0"/>
              <w:pageBreakBefore w:val="0"/>
              <w:widowControl w:val="0"/>
              <w:kinsoku/>
              <w:overflowPunct/>
              <w:topLinePunct w:val="0"/>
              <w:bidi w:val="0"/>
              <w:snapToGrid w:val="0"/>
              <w:spacing w:line="360" w:lineRule="auto"/>
              <w:rPr>
                <w:rFonts w:hAnsi="宋体" w:cs="宋体"/>
                <w:color w:val="auto"/>
                <w:sz w:val="21"/>
                <w:highlight w:val="none"/>
              </w:rPr>
            </w:pPr>
            <w:r>
              <w:rPr>
                <w:rFonts w:hAnsi="宋体" w:cs="宋体"/>
                <w:color w:val="auto"/>
                <w:sz w:val="21"/>
                <w:highlight w:val="none"/>
              </w:rPr>
              <w:t>4.</w:t>
            </w:r>
            <w:r>
              <w:rPr>
                <w:rFonts w:hint="eastAsia" w:hAnsi="宋体" w:cs="宋体"/>
                <w:color w:val="auto"/>
                <w:sz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5536F220">
            <w:pPr>
              <w:pStyle w:val="19"/>
              <w:keepNext w:val="0"/>
              <w:keepLines w:val="0"/>
              <w:pageBreakBefore w:val="0"/>
              <w:widowControl w:val="0"/>
              <w:kinsoku/>
              <w:overflowPunct/>
              <w:topLinePunct w:val="0"/>
              <w:bidi w:val="0"/>
              <w:snapToGrid w:val="0"/>
              <w:spacing w:line="360" w:lineRule="auto"/>
              <w:rPr>
                <w:rFonts w:hint="eastAsia" w:hAnsi="宋体" w:cs="宋体"/>
                <w:color w:val="auto"/>
                <w:sz w:val="21"/>
                <w:highlight w:val="none"/>
              </w:rPr>
            </w:pPr>
            <w:r>
              <w:rPr>
                <w:rFonts w:hint="eastAsia" w:hAnsi="宋体" w:cs="宋体"/>
                <w:color w:val="auto"/>
                <w:sz w:val="21"/>
                <w:highlight w:val="none"/>
              </w:rPr>
              <w:t>5</w:t>
            </w:r>
            <w:r>
              <w:rPr>
                <w:rFonts w:hAnsi="宋体" w:cs="宋体"/>
                <w:color w:val="auto"/>
                <w:sz w:val="21"/>
                <w:highlight w:val="none"/>
              </w:rPr>
              <w:t>.</w:t>
            </w:r>
            <w:r>
              <w:rPr>
                <w:rFonts w:hint="eastAsia" w:hAnsi="宋体" w:cs="宋体"/>
                <w:color w:val="auto"/>
                <w:sz w:val="21"/>
                <w:highlight w:val="none"/>
              </w:rPr>
              <w:t>本磋商文件所称的“以上”“以下”“以内”“届满”，包括本数；所称的“不满”“超过”“以外”，不包括本数。</w:t>
            </w:r>
          </w:p>
        </w:tc>
      </w:tr>
    </w:tbl>
    <w:p w14:paraId="6DDDCA34">
      <w:pPr>
        <w:keepNext w:val="0"/>
        <w:keepLines w:val="0"/>
        <w:pageBreakBefore w:val="0"/>
        <w:widowControl w:val="0"/>
        <w:kinsoku/>
        <w:overflowPunct/>
        <w:topLinePunct w:val="0"/>
        <w:bidi w:val="0"/>
        <w:spacing w:line="360" w:lineRule="auto"/>
        <w:jc w:val="center"/>
        <w:outlineLvl w:val="1"/>
        <w:rPr>
          <w:rFonts w:hint="eastAsia" w:ascii="宋体" w:hAnsi="宋体"/>
          <w:b/>
          <w:color w:val="auto"/>
          <w:sz w:val="32"/>
          <w:szCs w:val="32"/>
          <w:highlight w:val="none"/>
        </w:rPr>
      </w:pPr>
      <w:r>
        <w:rPr>
          <w:rFonts w:ascii="宋体" w:hAnsi="宋体"/>
          <w:b/>
          <w:color w:val="auto"/>
          <w:sz w:val="32"/>
          <w:szCs w:val="32"/>
          <w:highlight w:val="none"/>
        </w:rPr>
        <w:br w:type="page"/>
      </w:r>
      <w:bookmarkStart w:id="60" w:name="_Toc9701"/>
      <w:r>
        <w:rPr>
          <w:rFonts w:hint="eastAsia" w:ascii="宋体" w:hAnsi="宋体"/>
          <w:b/>
          <w:color w:val="auto"/>
          <w:sz w:val="32"/>
          <w:szCs w:val="32"/>
          <w:highlight w:val="none"/>
        </w:rPr>
        <w:t>供应商须知正文</w:t>
      </w:r>
      <w:bookmarkEnd w:id="60"/>
    </w:p>
    <w:p w14:paraId="6B503A04">
      <w:pPr>
        <w:spacing w:line="400" w:lineRule="exact"/>
        <w:jc w:val="center"/>
        <w:rPr>
          <w:rFonts w:hint="eastAsia" w:ascii="宋体" w:hAnsi="宋体"/>
          <w:b/>
          <w:color w:val="auto"/>
          <w:sz w:val="32"/>
          <w:szCs w:val="32"/>
          <w:highlight w:val="none"/>
        </w:rPr>
      </w:pPr>
    </w:p>
    <w:p w14:paraId="7C492070">
      <w:pPr>
        <w:spacing w:line="400" w:lineRule="exact"/>
        <w:jc w:val="center"/>
        <w:outlineLvl w:val="1"/>
        <w:rPr>
          <w:rFonts w:hint="eastAsia" w:ascii="宋体" w:hAnsi="宋体"/>
          <w:b/>
          <w:color w:val="auto"/>
          <w:sz w:val="32"/>
          <w:szCs w:val="32"/>
          <w:highlight w:val="none"/>
        </w:rPr>
      </w:pPr>
      <w:bookmarkStart w:id="61" w:name="_Toc23357"/>
      <w:r>
        <w:rPr>
          <w:rFonts w:hint="eastAsia" w:ascii="宋体" w:hAnsi="宋体"/>
          <w:b/>
          <w:color w:val="auto"/>
          <w:sz w:val="32"/>
          <w:szCs w:val="32"/>
          <w:highlight w:val="none"/>
        </w:rPr>
        <w:t>一、总则</w:t>
      </w:r>
      <w:bookmarkEnd w:id="61"/>
    </w:p>
    <w:p w14:paraId="17EBC361">
      <w:pPr>
        <w:spacing w:line="400" w:lineRule="exact"/>
        <w:rPr>
          <w:rFonts w:hint="eastAsia" w:ascii="宋体" w:hAnsi="宋体"/>
          <w:color w:val="auto"/>
          <w:szCs w:val="21"/>
          <w:highlight w:val="none"/>
        </w:rPr>
      </w:pPr>
    </w:p>
    <w:p w14:paraId="37B0B3A0">
      <w:pPr>
        <w:spacing w:line="360" w:lineRule="auto"/>
        <w:ind w:firstLine="482" w:firstLineChars="200"/>
        <w:outlineLvl w:val="2"/>
        <w:rPr>
          <w:rFonts w:hint="eastAsia" w:ascii="黑体" w:hAnsi="黑体" w:eastAsia="黑体" w:cs="宋体"/>
          <w:b/>
          <w:bCs/>
          <w:color w:val="auto"/>
          <w:sz w:val="24"/>
          <w:highlight w:val="none"/>
        </w:rPr>
      </w:pPr>
      <w:bookmarkStart w:id="62" w:name="_Toc28089"/>
      <w:r>
        <w:rPr>
          <w:rFonts w:hint="eastAsia" w:ascii="黑体" w:hAnsi="黑体" w:eastAsia="黑体" w:cs="宋体"/>
          <w:b/>
          <w:bCs/>
          <w:color w:val="auto"/>
          <w:sz w:val="24"/>
          <w:highlight w:val="none"/>
        </w:rPr>
        <w:t>1.适用范围</w:t>
      </w:r>
      <w:bookmarkEnd w:id="62"/>
    </w:p>
    <w:p w14:paraId="005165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032958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73ED5665">
      <w:pPr>
        <w:spacing w:line="360" w:lineRule="auto"/>
        <w:ind w:firstLine="482" w:firstLineChars="200"/>
        <w:outlineLvl w:val="2"/>
        <w:rPr>
          <w:rFonts w:hint="eastAsia" w:ascii="黑体" w:hAnsi="黑体" w:eastAsia="黑体" w:cs="宋体"/>
          <w:b/>
          <w:bCs/>
          <w:color w:val="auto"/>
          <w:sz w:val="24"/>
          <w:highlight w:val="none"/>
        </w:rPr>
      </w:pPr>
      <w:bookmarkStart w:id="63" w:name="_Toc11304"/>
      <w:r>
        <w:rPr>
          <w:rFonts w:hint="eastAsia" w:ascii="黑体" w:hAnsi="黑体" w:eastAsia="黑体" w:cs="宋体"/>
          <w:b/>
          <w:bCs/>
          <w:color w:val="auto"/>
          <w:sz w:val="24"/>
          <w:highlight w:val="none"/>
        </w:rPr>
        <w:t>2.定义</w:t>
      </w:r>
      <w:bookmarkEnd w:id="63"/>
    </w:p>
    <w:p w14:paraId="724195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6D16991E">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752C72A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43C3165">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30E96D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”是指供应商按照本项目竞争性磋商公告或者邀请函规定的方式获取磋商文件、提交响应文件并希望获得标的的行为。</w:t>
      </w:r>
    </w:p>
    <w:p w14:paraId="6BC205F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6E2B496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B9B681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1B90404">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373C3871">
      <w:pPr>
        <w:spacing w:line="360" w:lineRule="auto"/>
        <w:ind w:firstLine="420" w:firstLineChars="20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1FCBD4E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7B8E776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2620DA0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lang w:bidi="ar"/>
        </w:rPr>
        <w:t>2.13“评审报价”是指供应商提交的最后报价并经修正（如有）和政策功能价格扣除（如有）后的价格。</w:t>
      </w:r>
    </w:p>
    <w:p w14:paraId="79DCC568">
      <w:pPr>
        <w:spacing w:line="360" w:lineRule="auto"/>
        <w:ind w:firstLine="482" w:firstLineChars="200"/>
        <w:outlineLvl w:val="2"/>
        <w:rPr>
          <w:rFonts w:ascii="黑体" w:hAnsi="黑体" w:eastAsia="黑体" w:cs="宋体"/>
          <w:b/>
          <w:bCs/>
          <w:color w:val="auto"/>
          <w:sz w:val="24"/>
          <w:highlight w:val="none"/>
        </w:rPr>
      </w:pPr>
      <w:bookmarkStart w:id="64" w:name="_Toc9957"/>
      <w:r>
        <w:rPr>
          <w:rFonts w:hint="eastAsia" w:ascii="黑体" w:hAnsi="黑体" w:eastAsia="黑体" w:cs="宋体"/>
          <w:b/>
          <w:bCs/>
          <w:color w:val="auto"/>
          <w:sz w:val="24"/>
          <w:highlight w:val="none"/>
        </w:rPr>
        <w:t>3.供应商的资格条件</w:t>
      </w:r>
      <w:bookmarkEnd w:id="64"/>
    </w:p>
    <w:p w14:paraId="1EB6FC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71376C7">
      <w:pPr>
        <w:spacing w:line="360" w:lineRule="auto"/>
        <w:ind w:firstLine="482" w:firstLineChars="200"/>
        <w:outlineLvl w:val="2"/>
        <w:rPr>
          <w:rFonts w:hint="eastAsia" w:ascii="黑体" w:hAnsi="黑体" w:eastAsia="黑体" w:cs="宋体"/>
          <w:b/>
          <w:bCs/>
          <w:color w:val="auto"/>
          <w:sz w:val="24"/>
          <w:highlight w:val="none"/>
        </w:rPr>
      </w:pPr>
      <w:bookmarkStart w:id="65" w:name="_Toc3456"/>
      <w:r>
        <w:rPr>
          <w:rFonts w:hint="eastAsia" w:ascii="黑体" w:hAnsi="黑体" w:eastAsia="黑体" w:cs="宋体"/>
          <w:b/>
          <w:bCs/>
          <w:color w:val="auto"/>
          <w:sz w:val="24"/>
          <w:highlight w:val="none"/>
        </w:rPr>
        <w:t>4.</w:t>
      </w:r>
      <w:r>
        <w:rPr>
          <w:rFonts w:hint="eastAsia" w:ascii="黑体" w:hAnsi="黑体" w:eastAsia="黑体" w:cs="宋体"/>
          <w:b/>
          <w:bCs/>
          <w:color w:val="auto"/>
          <w:sz w:val="24"/>
          <w:highlight w:val="none"/>
          <w:lang w:val="en-US" w:eastAsia="zh-CN"/>
        </w:rPr>
        <w:t>磋商</w:t>
      </w:r>
      <w:r>
        <w:rPr>
          <w:rFonts w:hint="eastAsia" w:ascii="黑体" w:hAnsi="黑体" w:eastAsia="黑体" w:cs="宋体"/>
          <w:b/>
          <w:bCs/>
          <w:color w:val="auto"/>
          <w:sz w:val="24"/>
          <w:highlight w:val="none"/>
        </w:rPr>
        <w:t>费用</w:t>
      </w:r>
      <w:bookmarkEnd w:id="65"/>
    </w:p>
    <w:p w14:paraId="3055BE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结果如何，均应自行承担。</w:t>
      </w:r>
    </w:p>
    <w:p w14:paraId="177050D2">
      <w:pPr>
        <w:spacing w:line="360" w:lineRule="auto"/>
        <w:ind w:firstLine="482" w:firstLineChars="200"/>
        <w:outlineLvl w:val="2"/>
        <w:rPr>
          <w:rFonts w:hint="eastAsia" w:ascii="黑体" w:hAnsi="黑体" w:eastAsia="黑体" w:cs="宋体"/>
          <w:b/>
          <w:bCs/>
          <w:color w:val="auto"/>
          <w:sz w:val="24"/>
          <w:highlight w:val="none"/>
          <w:lang w:eastAsia="zh-CN"/>
        </w:rPr>
      </w:pPr>
      <w:bookmarkStart w:id="66" w:name="_Toc10854"/>
      <w:r>
        <w:rPr>
          <w:rFonts w:hint="eastAsia" w:ascii="黑体" w:hAnsi="黑体" w:eastAsia="黑体" w:cs="宋体"/>
          <w:b/>
          <w:bCs/>
          <w:color w:val="auto"/>
          <w:sz w:val="24"/>
          <w:highlight w:val="none"/>
        </w:rPr>
        <w:t>5.联合体</w:t>
      </w:r>
      <w:r>
        <w:rPr>
          <w:rFonts w:hint="eastAsia" w:ascii="黑体" w:hAnsi="黑体" w:eastAsia="黑体" w:cs="宋体"/>
          <w:b/>
          <w:bCs/>
          <w:color w:val="auto"/>
          <w:sz w:val="24"/>
          <w:highlight w:val="none"/>
          <w:lang w:eastAsia="zh-CN"/>
        </w:rPr>
        <w:t>响应</w:t>
      </w:r>
      <w:bookmarkEnd w:id="66"/>
    </w:p>
    <w:p w14:paraId="27918F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，详见“供应商须知前附表”。</w:t>
      </w:r>
    </w:p>
    <w:p w14:paraId="073888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w:t>
      </w:r>
      <w:r>
        <w:rPr>
          <w:rFonts w:hint="eastAsia" w:ascii="宋体" w:hAnsi="宋体"/>
          <w:color w:val="auto"/>
          <w:highlight w:val="none"/>
          <w:lang w:eastAsia="zh-CN"/>
        </w:rPr>
        <w:t>响应</w:t>
      </w:r>
      <w:r>
        <w:rPr>
          <w:rFonts w:hint="eastAsia" w:ascii="宋体" w:hAnsi="宋体"/>
          <w:color w:val="auto"/>
          <w:highlight w:val="none"/>
        </w:rPr>
        <w:t>，</w:t>
      </w:r>
      <w:r>
        <w:rPr>
          <w:rFonts w:hint="eastAsia" w:ascii="宋体" w:hAnsi="宋体" w:cs="宋体"/>
          <w:color w:val="auto"/>
          <w:szCs w:val="21"/>
          <w:highlight w:val="none"/>
        </w:rPr>
        <w:t>联合体</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要求详见“供应商须知前附表”。</w:t>
      </w:r>
    </w:p>
    <w:p w14:paraId="288DFB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w:t>
      </w:r>
      <w:bookmarkStart w:id="67" w:name="_Hlk66782192"/>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67"/>
    </w:p>
    <w:p w14:paraId="142C699E">
      <w:pPr>
        <w:spacing w:line="360" w:lineRule="auto"/>
        <w:ind w:firstLine="482" w:firstLineChars="200"/>
        <w:outlineLvl w:val="2"/>
        <w:rPr>
          <w:rFonts w:hint="eastAsia" w:ascii="黑体" w:hAnsi="黑体" w:eastAsia="黑体" w:cs="宋体"/>
          <w:b/>
          <w:bCs/>
          <w:color w:val="auto"/>
          <w:sz w:val="24"/>
          <w:highlight w:val="none"/>
        </w:rPr>
      </w:pPr>
      <w:bookmarkStart w:id="68" w:name="_Toc8709"/>
      <w:r>
        <w:rPr>
          <w:rFonts w:hint="eastAsia" w:ascii="黑体" w:hAnsi="黑体" w:eastAsia="黑体" w:cs="宋体"/>
          <w:b/>
          <w:bCs/>
          <w:color w:val="auto"/>
          <w:sz w:val="24"/>
          <w:highlight w:val="none"/>
        </w:rPr>
        <w:t>6.转包与分包</w:t>
      </w:r>
      <w:bookmarkEnd w:id="68"/>
      <w:r>
        <w:rPr>
          <w:rFonts w:hint="eastAsia" w:ascii="黑体" w:hAnsi="黑体" w:eastAsia="黑体" w:cs="宋体"/>
          <w:b/>
          <w:bCs/>
          <w:color w:val="auto"/>
          <w:sz w:val="24"/>
          <w:highlight w:val="none"/>
        </w:rPr>
        <w:t xml:space="preserve">             </w:t>
      </w:r>
    </w:p>
    <w:p w14:paraId="2EEC6C60">
      <w:pPr>
        <w:keepNext w:val="0"/>
        <w:keepLines w:val="0"/>
        <w:spacing w:before="0" w:after="0" w:line="360" w:lineRule="auto"/>
        <w:ind w:left="420" w:leftChars="200"/>
        <w:outlineLvl w:val="9"/>
        <w:rPr>
          <w:rFonts w:hint="eastAsia" w:ascii="宋体" w:hAnsi="宋体"/>
          <w:b w:val="0"/>
          <w:color w:val="auto"/>
          <w:sz w:val="21"/>
          <w:szCs w:val="21"/>
          <w:highlight w:val="none"/>
        </w:rPr>
      </w:pPr>
      <w:bookmarkStart w:id="69" w:name="_Toc254970532"/>
      <w:bookmarkStart w:id="70" w:name="_Toc254970673"/>
      <w:r>
        <w:rPr>
          <w:rFonts w:hint="eastAsia" w:ascii="宋体" w:hAnsi="宋体"/>
          <w:b w:val="0"/>
          <w:color w:val="auto"/>
          <w:sz w:val="21"/>
          <w:szCs w:val="21"/>
          <w:highlight w:val="none"/>
        </w:rPr>
        <w:t>6.1本项目不允许转包。</w:t>
      </w:r>
    </w:p>
    <w:p w14:paraId="67461240">
      <w:pPr>
        <w:keepNext w:val="0"/>
        <w:keepLines w:val="0"/>
        <w:spacing w:before="0" w:after="0" w:line="360" w:lineRule="auto"/>
        <w:ind w:firstLine="315" w:firstLineChars="150"/>
        <w:outlineLvl w:val="9"/>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5659F30F">
      <w:pPr>
        <w:keepNext w:val="0"/>
        <w:keepLines w:val="0"/>
        <w:spacing w:before="0" w:after="0" w:line="360" w:lineRule="auto"/>
        <w:ind w:firstLine="315" w:firstLineChars="150"/>
        <w:outlineLvl w:val="9"/>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5BA92E1B">
      <w:pPr>
        <w:spacing w:line="360" w:lineRule="auto"/>
        <w:ind w:firstLine="482" w:firstLineChars="200"/>
        <w:outlineLvl w:val="2"/>
        <w:rPr>
          <w:rFonts w:hint="eastAsia" w:ascii="黑体" w:hAnsi="黑体" w:eastAsia="黑体" w:cs="宋体"/>
          <w:b/>
          <w:bCs/>
          <w:color w:val="auto"/>
          <w:sz w:val="24"/>
          <w:highlight w:val="none"/>
        </w:rPr>
      </w:pPr>
      <w:bookmarkStart w:id="71" w:name="_Toc20200"/>
      <w:r>
        <w:rPr>
          <w:rFonts w:hint="eastAsia" w:ascii="黑体" w:hAnsi="黑体" w:eastAsia="黑体" w:cs="宋体"/>
          <w:b/>
          <w:bCs/>
          <w:color w:val="auto"/>
          <w:sz w:val="24"/>
          <w:highlight w:val="none"/>
        </w:rPr>
        <w:t>7.特别说明</w:t>
      </w:r>
      <w:bookmarkEnd w:id="69"/>
      <w:bookmarkEnd w:id="70"/>
      <w:bookmarkEnd w:id="71"/>
    </w:p>
    <w:p w14:paraId="79F3D780">
      <w:pPr>
        <w:spacing w:line="360" w:lineRule="auto"/>
        <w:ind w:firstLine="420" w:firstLineChars="200"/>
        <w:rPr>
          <w:rFonts w:hint="eastAsia" w:ascii="宋体" w:hAnsi="宋体" w:cs="宋体"/>
          <w:color w:val="auto"/>
          <w:szCs w:val="21"/>
          <w:highlight w:val="none"/>
        </w:rPr>
      </w:pPr>
      <w:bookmarkStart w:id="72" w:name="_8.1提供相同品牌产品且通过资格审查、符合性审查的不同投标人参加同一合"/>
      <w:bookmarkEnd w:id="72"/>
      <w:r>
        <w:rPr>
          <w:rFonts w:hint="eastAsia" w:ascii="宋体" w:hAnsi="宋体" w:cs="宋体"/>
          <w:color w:val="auto"/>
          <w:szCs w:val="21"/>
          <w:highlight w:val="none"/>
        </w:rPr>
        <w:t>7.</w:t>
      </w:r>
      <w:r>
        <w:rPr>
          <w:rFonts w:ascii="宋体" w:hAnsi="宋体" w:cs="宋体"/>
          <w:color w:val="auto"/>
          <w:szCs w:val="21"/>
          <w:highlight w:val="none"/>
        </w:rPr>
        <w:t>1</w:t>
      </w:r>
      <w:bookmarkStart w:id="73"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73"/>
    <w:p w14:paraId="199249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505ED0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活动中提供任何疑似虚假材料，将报监管部门查处；签订合同后发现的，成交供应商须依照《中华人民共和国消费者权益保护法》规定赔偿采购人，且民事赔偿并不免除违法供应商的行政与刑事责任。</w:t>
      </w:r>
    </w:p>
    <w:p w14:paraId="68DAB154">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w:t>
      </w:r>
      <w:r>
        <w:rPr>
          <w:rFonts w:ascii="宋体" w:hAnsi="宋体" w:cs="宋体"/>
          <w:b/>
          <w:bCs/>
          <w:color w:val="auto"/>
          <w:szCs w:val="21"/>
          <w:highlight w:val="none"/>
        </w:rPr>
        <w:t>4</w:t>
      </w:r>
      <w:r>
        <w:rPr>
          <w:rFonts w:hint="eastAsia" w:ascii="宋体" w:hAnsi="宋体" w:cs="宋体"/>
          <w:b/>
          <w:bCs/>
          <w:color w:val="auto"/>
          <w:szCs w:val="21"/>
          <w:highlight w:val="none"/>
        </w:rPr>
        <w:t>在政府采购活动中，采购人员及相关人员与供应商有下列利害关系之一的，应当回避：</w:t>
      </w:r>
    </w:p>
    <w:p w14:paraId="229D0BF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（1）参加采购活动前3年内与供应商存在劳动关系；</w:t>
      </w:r>
    </w:p>
    <w:p w14:paraId="4FE12C88">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（2）参加采购活动前3年内担任供应商的董事、监事；</w:t>
      </w:r>
    </w:p>
    <w:p w14:paraId="7D1202FB">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（3）参加采购活动前3年内是供应商的控股股东或者实际控制人；</w:t>
      </w:r>
    </w:p>
    <w:p w14:paraId="0F951B9D">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（4）与供应商的法定代表人或者负责人有夫妻、直系血亲、三代以内旁系血亲或者近姻亲关系；</w:t>
      </w:r>
    </w:p>
    <w:p w14:paraId="70C88C05">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（5）与供应商有其他可能影响政府采购活动公平、公正进行的关系。</w:t>
      </w:r>
    </w:p>
    <w:p w14:paraId="0B2204EE">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5F2BE5">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w:t>
      </w:r>
      <w:r>
        <w:rPr>
          <w:rFonts w:ascii="宋体" w:hAnsi="宋体" w:cs="宋体"/>
          <w:b/>
          <w:bCs/>
          <w:color w:val="auto"/>
          <w:szCs w:val="21"/>
          <w:highlight w:val="none"/>
        </w:rPr>
        <w:t>5</w:t>
      </w:r>
      <w:r>
        <w:rPr>
          <w:rFonts w:hint="eastAsia" w:ascii="宋体" w:hAnsi="宋体" w:cs="宋体"/>
          <w:b/>
          <w:bCs/>
          <w:color w:val="auto"/>
          <w:szCs w:val="21"/>
          <w:highlight w:val="none"/>
        </w:rPr>
        <w:t>有下列情形之一的视为供应商相互串通</w:t>
      </w:r>
      <w:r>
        <w:rPr>
          <w:rFonts w:hint="eastAsia" w:ascii="宋体" w:hAnsi="宋体" w:cs="宋体"/>
          <w:b/>
          <w:bCs/>
          <w:color w:val="auto"/>
          <w:szCs w:val="21"/>
          <w:highlight w:val="none"/>
          <w:lang w:eastAsia="zh-CN"/>
        </w:rPr>
        <w:t>响应</w:t>
      </w:r>
      <w:r>
        <w:rPr>
          <w:rFonts w:hint="eastAsia" w:ascii="宋体" w:hAnsi="宋体" w:cs="宋体"/>
          <w:b/>
          <w:bCs/>
          <w:color w:val="auto"/>
          <w:szCs w:val="21"/>
          <w:highlight w:val="none"/>
        </w:rPr>
        <w:t>，响应文件将被视为无效：</w:t>
      </w:r>
    </w:p>
    <w:p w14:paraId="740F670D">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1273F820">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（2）不同供应商委托同一单位或者个人办理</w:t>
      </w:r>
      <w:r>
        <w:rPr>
          <w:rFonts w:hint="eastAsia" w:ascii="宋体" w:hAnsi="宋体" w:cs="宋体"/>
          <w:b/>
          <w:bCs/>
          <w:color w:val="auto"/>
          <w:szCs w:val="21"/>
          <w:highlight w:val="none"/>
          <w:lang w:eastAsia="zh-CN"/>
        </w:rPr>
        <w:t>响应</w:t>
      </w:r>
      <w:r>
        <w:rPr>
          <w:rFonts w:hint="eastAsia" w:ascii="宋体" w:hAnsi="宋体" w:cs="宋体"/>
          <w:b/>
          <w:bCs/>
          <w:color w:val="auto"/>
          <w:szCs w:val="21"/>
          <w:highlight w:val="none"/>
        </w:rPr>
        <w:t>事宜；</w:t>
      </w:r>
    </w:p>
    <w:p w14:paraId="4FB97CFF">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（3）不同的供应商的响应文件载明的项目管理员为同一个人；</w:t>
      </w:r>
    </w:p>
    <w:p w14:paraId="44C61FD3">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（4）不同供应商的响应文件异常一致或者报价呈规律性差异；</w:t>
      </w:r>
    </w:p>
    <w:p w14:paraId="14404AC8">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（5）不同供应商的响应文件相互混装；</w:t>
      </w:r>
    </w:p>
    <w:p w14:paraId="3E7A6995">
      <w:pPr>
        <w:tabs>
          <w:tab w:val="left" w:pos="6931"/>
        </w:tabs>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（6）不同供应商的磋商保证金从同一单位或者个人账户转出。</w:t>
      </w:r>
      <w:r>
        <w:rPr>
          <w:rFonts w:ascii="宋体" w:hAnsi="宋体" w:cs="宋体"/>
          <w:b/>
          <w:bCs/>
          <w:color w:val="auto"/>
          <w:szCs w:val="21"/>
          <w:highlight w:val="none"/>
        </w:rPr>
        <w:tab/>
      </w:r>
    </w:p>
    <w:p w14:paraId="2CD0667E">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w:t>
      </w:r>
      <w:r>
        <w:rPr>
          <w:rFonts w:ascii="宋体" w:hAnsi="宋体" w:cs="宋体"/>
          <w:b/>
          <w:bCs/>
          <w:color w:val="auto"/>
          <w:szCs w:val="21"/>
          <w:highlight w:val="none"/>
        </w:rPr>
        <w:t>6</w:t>
      </w:r>
      <w:r>
        <w:rPr>
          <w:rFonts w:hint="eastAsia" w:ascii="宋体" w:hAnsi="宋体" w:cs="宋体"/>
          <w:b/>
          <w:bCs/>
          <w:color w:val="auto"/>
          <w:szCs w:val="21"/>
          <w:highlight w:val="none"/>
        </w:rPr>
        <w:t>供应商有下列情形之一的，属于恶意串通行为，将报同级监督管理部门：</w:t>
      </w:r>
    </w:p>
    <w:p w14:paraId="43F887F7">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（1）供应商直接或者间接从采购人或者采购代理机构处获得其他供应商的相关信息并修改其响应文件；</w:t>
      </w:r>
    </w:p>
    <w:p w14:paraId="5FFA6B61">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（2）供应商按照采购人或者采购代理机构的授意撤换、修改响应文件；</w:t>
      </w:r>
    </w:p>
    <w:p w14:paraId="18D4198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（3）供应商之间协商报价、技术方案等响应文件或者响应文件的实质性内容；</w:t>
      </w:r>
    </w:p>
    <w:p w14:paraId="3BCE66B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（4）属于同一集团、协会、商会等组织成员的供应商按照该组织要求协同参加政府采购活动；</w:t>
      </w:r>
    </w:p>
    <w:p w14:paraId="746EBC7E">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w:t>
      </w:r>
      <w:r>
        <w:rPr>
          <w:rFonts w:hint="eastAsia" w:ascii="宋体" w:hAnsi="宋体" w:cs="宋体"/>
          <w:b/>
          <w:bCs/>
          <w:color w:val="auto"/>
          <w:szCs w:val="21"/>
          <w:highlight w:val="none"/>
          <w:lang w:eastAsia="zh-CN"/>
        </w:rPr>
        <w:t>响应</w:t>
      </w:r>
      <w:r>
        <w:rPr>
          <w:rFonts w:hint="eastAsia" w:ascii="宋体" w:hAnsi="宋体" w:cs="宋体"/>
          <w:b/>
          <w:bCs/>
          <w:color w:val="auto"/>
          <w:szCs w:val="21"/>
          <w:highlight w:val="none"/>
        </w:rPr>
        <w:t>；</w:t>
      </w:r>
    </w:p>
    <w:p w14:paraId="58B205C5">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（6）供应商之间商定部分供应商放弃参加政府采购活动或者放弃成交；</w:t>
      </w:r>
    </w:p>
    <w:p w14:paraId="6D028806">
      <w:pPr>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（7）供应商与采购人或者采购代理机构之间、供应商相互之间，为谋求特定供应商成交或者排斥其他供应商的其他串通行为。</w:t>
      </w:r>
    </w:p>
    <w:p w14:paraId="074B391E">
      <w:pPr>
        <w:spacing w:line="360" w:lineRule="auto"/>
        <w:ind w:left="1" w:firstLine="417" w:firstLineChars="199"/>
        <w:jc w:val="center"/>
        <w:rPr>
          <w:rFonts w:hint="eastAsia" w:ascii="宋体" w:hAnsi="宋体"/>
          <w:color w:val="auto"/>
          <w:highlight w:val="none"/>
        </w:rPr>
      </w:pPr>
      <w:bookmarkStart w:id="74" w:name="_Toc254970675"/>
      <w:bookmarkStart w:id="75" w:name="_Toc254970534"/>
    </w:p>
    <w:p w14:paraId="236E9965">
      <w:pPr>
        <w:spacing w:line="360" w:lineRule="auto"/>
        <w:jc w:val="center"/>
        <w:outlineLvl w:val="1"/>
        <w:rPr>
          <w:rFonts w:hint="eastAsia" w:ascii="宋体" w:hAnsi="宋体"/>
          <w:b/>
          <w:bCs/>
          <w:color w:val="auto"/>
          <w:sz w:val="32"/>
          <w:szCs w:val="32"/>
          <w:highlight w:val="none"/>
        </w:rPr>
      </w:pPr>
      <w:bookmarkStart w:id="76" w:name="_Toc20718"/>
      <w:r>
        <w:rPr>
          <w:rFonts w:hint="eastAsia" w:ascii="宋体" w:hAnsi="宋体"/>
          <w:b/>
          <w:bCs/>
          <w:color w:val="auto"/>
          <w:sz w:val="32"/>
          <w:szCs w:val="32"/>
          <w:highlight w:val="none"/>
        </w:rPr>
        <w:t>二、磋商文件</w:t>
      </w:r>
      <w:bookmarkEnd w:id="74"/>
      <w:bookmarkEnd w:id="75"/>
      <w:bookmarkEnd w:id="76"/>
    </w:p>
    <w:p w14:paraId="717130CE">
      <w:pPr>
        <w:spacing w:line="360" w:lineRule="auto"/>
        <w:rPr>
          <w:rFonts w:hint="eastAsia" w:ascii="宋体" w:hAnsi="宋体"/>
          <w:color w:val="auto"/>
          <w:szCs w:val="21"/>
          <w:highlight w:val="none"/>
        </w:rPr>
      </w:pPr>
    </w:p>
    <w:p w14:paraId="046AFC56">
      <w:pPr>
        <w:spacing w:line="360" w:lineRule="auto"/>
        <w:ind w:firstLine="482" w:firstLineChars="200"/>
        <w:outlineLvl w:val="2"/>
        <w:rPr>
          <w:rFonts w:hint="eastAsia" w:ascii="黑体" w:hAnsi="黑体" w:eastAsia="黑体" w:cs="宋体"/>
          <w:b/>
          <w:bCs/>
          <w:color w:val="auto"/>
          <w:sz w:val="24"/>
          <w:highlight w:val="none"/>
        </w:rPr>
      </w:pPr>
      <w:bookmarkStart w:id="77" w:name="_Toc9469"/>
      <w:r>
        <w:rPr>
          <w:rFonts w:hint="eastAsia" w:ascii="黑体" w:hAnsi="黑体" w:eastAsia="黑体" w:cs="宋体"/>
          <w:b/>
          <w:bCs/>
          <w:color w:val="auto"/>
          <w:sz w:val="24"/>
          <w:highlight w:val="none"/>
        </w:rPr>
        <w:t>8.磋商文件的构成</w:t>
      </w:r>
      <w:bookmarkEnd w:id="77"/>
    </w:p>
    <w:p w14:paraId="307A7E32">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（1）竞争性磋商公告；</w:t>
      </w:r>
    </w:p>
    <w:p w14:paraId="2976A9F4">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（2）供应商须知； </w:t>
      </w:r>
    </w:p>
    <w:p w14:paraId="30E05534">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（3）采购需求；</w:t>
      </w:r>
    </w:p>
    <w:p w14:paraId="239649FA">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（4）评审程序、评审方法和评审标准；</w:t>
      </w:r>
    </w:p>
    <w:p w14:paraId="09543695">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（5）响应文件格式；</w:t>
      </w:r>
    </w:p>
    <w:p w14:paraId="48AE7BBF">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（6）合同文本。</w:t>
      </w:r>
    </w:p>
    <w:p w14:paraId="652C73E4">
      <w:pPr>
        <w:spacing w:line="360" w:lineRule="auto"/>
        <w:ind w:firstLine="420" w:firstLineChars="200"/>
        <w:jc w:val="left"/>
        <w:rPr>
          <w:rFonts w:hint="eastAsia" w:ascii="宋体" w:hAnsi="宋体"/>
          <w:color w:val="auto"/>
          <w:szCs w:val="21"/>
          <w:highlight w:val="none"/>
        </w:rPr>
      </w:pPr>
      <w:r>
        <w:rPr>
          <w:rFonts w:hint="eastAsia"/>
          <w:color w:val="auto"/>
          <w:highlight w:val="none"/>
          <w:lang w:val="en-US" w:eastAsia="zh-CN"/>
        </w:rPr>
        <w:t>（7）</w:t>
      </w:r>
      <w:r>
        <w:rPr>
          <w:rFonts w:hint="eastAsia" w:ascii="宋体" w:hAnsi="宋体" w:cs="宋体"/>
          <w:color w:val="auto"/>
          <w:szCs w:val="21"/>
          <w:highlight w:val="none"/>
          <w:lang w:bidi="ar"/>
        </w:rPr>
        <w:t xml:space="preserve"> 质疑、投诉材料格式。</w:t>
      </w:r>
    </w:p>
    <w:p w14:paraId="32E6570D">
      <w:pPr>
        <w:spacing w:line="360" w:lineRule="auto"/>
        <w:ind w:firstLine="482" w:firstLineChars="200"/>
        <w:outlineLvl w:val="2"/>
        <w:rPr>
          <w:rFonts w:hint="eastAsia" w:ascii="黑体" w:hAnsi="黑体" w:eastAsia="黑体" w:cs="宋体"/>
          <w:b/>
          <w:bCs/>
          <w:color w:val="auto"/>
          <w:sz w:val="24"/>
          <w:highlight w:val="none"/>
        </w:rPr>
      </w:pPr>
      <w:bookmarkStart w:id="78" w:name="_Toc32219"/>
      <w:r>
        <w:rPr>
          <w:rFonts w:hint="eastAsia" w:ascii="黑体" w:hAnsi="黑体" w:eastAsia="黑体" w:cs="宋体"/>
          <w:b/>
          <w:bCs/>
          <w:color w:val="auto"/>
          <w:sz w:val="24"/>
          <w:highlight w:val="none"/>
        </w:rPr>
        <w:t>9.供应商的询问</w:t>
      </w:r>
      <w:bookmarkEnd w:id="78"/>
    </w:p>
    <w:p w14:paraId="62E54C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供应商应认真阅读磋商文件的采购需求，如供应商对磋商文件有疑问的，如要求采购人作出澄清或者修改的，供应商应在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14B2461A">
      <w:pPr>
        <w:spacing w:line="360" w:lineRule="auto"/>
        <w:ind w:firstLine="482" w:firstLineChars="200"/>
        <w:outlineLvl w:val="2"/>
        <w:rPr>
          <w:rFonts w:hint="eastAsia" w:ascii="黑体" w:hAnsi="黑体" w:eastAsia="黑体" w:cs="宋体"/>
          <w:b/>
          <w:bCs/>
          <w:color w:val="auto"/>
          <w:sz w:val="24"/>
          <w:highlight w:val="none"/>
        </w:rPr>
      </w:pPr>
      <w:bookmarkStart w:id="79" w:name="_Toc2515"/>
      <w:r>
        <w:rPr>
          <w:rFonts w:hint="eastAsia" w:ascii="黑体" w:hAnsi="黑体" w:eastAsia="黑体" w:cs="宋体"/>
          <w:b/>
          <w:bCs/>
          <w:color w:val="auto"/>
          <w:sz w:val="24"/>
          <w:highlight w:val="none"/>
        </w:rPr>
        <w:t>10.磋商文件的澄清和修改</w:t>
      </w:r>
      <w:bookmarkEnd w:id="79"/>
    </w:p>
    <w:p w14:paraId="5138E009">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10.1已获取磋商文件的潜在供应商，若有问题需要澄清，应于应标截止时间前，以书面形式向采购代理机构提出，采购代理机构与采购人研究后，对认为有必要回答的问题，按照本章10.3的内容处理。</w:t>
      </w:r>
    </w:p>
    <w:p w14:paraId="3970BBC5">
      <w:pPr>
        <w:shd w:val="clear" w:color="auto"/>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lang w:bidi="ar"/>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EDA244B">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25C86D19">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10.4</w:t>
      </w:r>
      <w:r>
        <w:rPr>
          <w:rFonts w:hint="eastAsia" w:ascii="宋体" w:hAnsi="宋体" w:cs="宋体"/>
          <w:color w:val="auto"/>
          <w:highlight w:val="none"/>
          <w:shd w:val="clear" w:color="auto" w:fill="FFFFFF"/>
          <w:lang w:bidi="ar"/>
        </w:rPr>
        <w:t>采购信息更正公告的内容应当包括采购人和采购代理机构名称、地址、联系方式，原公告的采购项目名称及首次公告日期，更正事项、内容及日期，采购项目联系人和电话。</w:t>
      </w:r>
    </w:p>
    <w:p w14:paraId="0DA9617B">
      <w:pPr>
        <w:shd w:val="clear" w:color="auto"/>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bidi="ar"/>
        </w:rPr>
        <w:t>10.5  采购人和采购代理机构可以视采购具体情况，变更提交首次响应文件截止时间和竞谈时间，将变更时间将在“采购文件公告”中“七、其他补充事宜2.网上查询地址”规定的政府采购信息发布媒体上发布更正公告。</w:t>
      </w:r>
    </w:p>
    <w:p w14:paraId="590A3823">
      <w:pPr>
        <w:spacing w:line="360" w:lineRule="auto"/>
        <w:ind w:firstLine="400" w:firstLineChars="200"/>
        <w:rPr>
          <w:rFonts w:hint="eastAsia" w:ascii="宋体" w:hAnsi="宋体"/>
          <w:color w:val="auto"/>
          <w:szCs w:val="21"/>
          <w:highlight w:val="none"/>
        </w:rPr>
      </w:pPr>
      <w:r>
        <w:rPr>
          <w:rFonts w:hint="eastAsia" w:ascii="宋体" w:hAnsi="宋体" w:cs="宋体"/>
          <w:color w:val="auto"/>
          <w:kern w:val="0"/>
          <w:sz w:val="20"/>
          <w:szCs w:val="21"/>
          <w:highlight w:val="none"/>
          <w:lang w:bidi="ar"/>
        </w:rPr>
        <w:t>▲</w:t>
      </w:r>
      <w:r>
        <w:rPr>
          <w:rFonts w:hint="eastAsia" w:ascii="宋体" w:hAnsi="宋体" w:cs="宋体"/>
          <w:b/>
          <w:color w:val="auto"/>
          <w:kern w:val="0"/>
          <w:sz w:val="20"/>
          <w:szCs w:val="21"/>
          <w:highlight w:val="none"/>
          <w:lang w:bidi="ar"/>
        </w:rPr>
        <w:t>响应文件未按磋商文件的澄清、修改的内容编制，又不符合实质性要求的，其响应文件作无效处理。</w:t>
      </w:r>
    </w:p>
    <w:p w14:paraId="198C8FE0">
      <w:pPr>
        <w:spacing w:line="360" w:lineRule="auto"/>
        <w:rPr>
          <w:rFonts w:hint="eastAsia" w:ascii="宋体" w:hAnsi="宋体"/>
          <w:color w:val="auto"/>
          <w:szCs w:val="21"/>
          <w:highlight w:val="none"/>
        </w:rPr>
      </w:pPr>
    </w:p>
    <w:p w14:paraId="25EA8118">
      <w:pPr>
        <w:spacing w:line="360" w:lineRule="auto"/>
        <w:jc w:val="center"/>
        <w:outlineLvl w:val="1"/>
        <w:rPr>
          <w:rFonts w:hint="eastAsia" w:ascii="宋体" w:hAnsi="宋体"/>
          <w:b/>
          <w:bCs/>
          <w:color w:val="auto"/>
          <w:szCs w:val="21"/>
          <w:highlight w:val="none"/>
        </w:rPr>
      </w:pPr>
      <w:bookmarkStart w:id="80" w:name="_Toc8481"/>
      <w:r>
        <w:rPr>
          <w:rFonts w:hint="eastAsia" w:ascii="宋体" w:hAnsi="宋体"/>
          <w:b/>
          <w:bCs/>
          <w:color w:val="auto"/>
          <w:sz w:val="32"/>
          <w:szCs w:val="32"/>
          <w:highlight w:val="none"/>
        </w:rPr>
        <w:t>三、响应文件的编制</w:t>
      </w:r>
      <w:bookmarkEnd w:id="80"/>
    </w:p>
    <w:p w14:paraId="0A1845FD">
      <w:pPr>
        <w:spacing w:line="360" w:lineRule="auto"/>
        <w:rPr>
          <w:rFonts w:hint="eastAsia" w:ascii="宋体" w:hAnsi="宋体"/>
          <w:color w:val="auto"/>
          <w:szCs w:val="21"/>
          <w:highlight w:val="none"/>
        </w:rPr>
      </w:pPr>
    </w:p>
    <w:p w14:paraId="38E2C346">
      <w:pPr>
        <w:spacing w:line="360" w:lineRule="auto"/>
        <w:ind w:firstLine="482" w:firstLineChars="200"/>
        <w:outlineLvl w:val="2"/>
        <w:rPr>
          <w:rFonts w:hint="eastAsia" w:ascii="黑体" w:hAnsi="黑体" w:eastAsia="黑体" w:cs="宋体"/>
          <w:b/>
          <w:bCs/>
          <w:color w:val="auto"/>
          <w:sz w:val="24"/>
          <w:highlight w:val="none"/>
        </w:rPr>
      </w:pPr>
      <w:bookmarkStart w:id="81" w:name="_Toc27843"/>
      <w:r>
        <w:rPr>
          <w:rFonts w:hint="eastAsia" w:ascii="黑体" w:hAnsi="黑体" w:eastAsia="黑体" w:cs="宋体"/>
          <w:b/>
          <w:bCs/>
          <w:color w:val="auto"/>
          <w:sz w:val="24"/>
          <w:highlight w:val="none"/>
        </w:rPr>
        <w:t>11.响应文件的编制原则</w:t>
      </w:r>
      <w:bookmarkEnd w:id="81"/>
    </w:p>
    <w:p w14:paraId="62BCE7B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w:t>
      </w:r>
      <w:r>
        <w:rPr>
          <w:rFonts w:hint="eastAsia" w:ascii="宋体" w:hAnsi="宋体"/>
          <w:color w:val="auto"/>
          <w:szCs w:val="21"/>
          <w:highlight w:val="none"/>
        </w:rPr>
        <w:t>提出的要求和条件作出明确响应</w:t>
      </w:r>
      <w:r>
        <w:rPr>
          <w:rFonts w:hint="eastAsia" w:ascii="宋体" w:hAnsi="宋体" w:cs="宋体"/>
          <w:color w:val="auto"/>
          <w:szCs w:val="21"/>
          <w:highlight w:val="none"/>
        </w:rPr>
        <w:t>。</w:t>
      </w:r>
    </w:p>
    <w:p w14:paraId="5E247EBE">
      <w:pPr>
        <w:spacing w:line="360" w:lineRule="auto"/>
        <w:ind w:firstLine="482" w:firstLineChars="200"/>
        <w:outlineLvl w:val="2"/>
        <w:rPr>
          <w:rFonts w:ascii="黑体" w:hAnsi="黑体" w:eastAsia="黑体" w:cs="宋体"/>
          <w:b/>
          <w:bCs/>
          <w:color w:val="auto"/>
          <w:sz w:val="24"/>
          <w:highlight w:val="none"/>
        </w:rPr>
      </w:pPr>
      <w:bookmarkStart w:id="82" w:name="_Toc19374"/>
      <w:r>
        <w:rPr>
          <w:rFonts w:hint="eastAsia" w:ascii="黑体" w:hAnsi="黑体" w:eastAsia="黑体" w:cs="宋体"/>
          <w:b/>
          <w:bCs/>
          <w:color w:val="auto"/>
          <w:sz w:val="24"/>
          <w:highlight w:val="none"/>
        </w:rPr>
        <w:t>12.响应文件的组成</w:t>
      </w:r>
      <w:bookmarkEnd w:id="82"/>
    </w:p>
    <w:p w14:paraId="06AC8E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56A5BA99">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2710A102">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0955B462">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4FE0B56E">
      <w:pPr>
        <w:spacing w:line="360" w:lineRule="auto"/>
        <w:ind w:firstLine="482" w:firstLineChars="200"/>
        <w:outlineLvl w:val="2"/>
        <w:rPr>
          <w:rFonts w:hint="eastAsia" w:ascii="黑体" w:hAnsi="黑体" w:eastAsia="黑体" w:cs="宋体"/>
          <w:b/>
          <w:bCs/>
          <w:color w:val="auto"/>
          <w:sz w:val="24"/>
          <w:highlight w:val="none"/>
        </w:rPr>
      </w:pPr>
      <w:bookmarkStart w:id="83" w:name="_Toc17966"/>
      <w:r>
        <w:rPr>
          <w:rFonts w:hint="eastAsia" w:ascii="黑体" w:hAnsi="黑体" w:eastAsia="黑体" w:cs="宋体"/>
          <w:b/>
          <w:bCs/>
          <w:color w:val="auto"/>
          <w:sz w:val="24"/>
          <w:highlight w:val="none"/>
        </w:rPr>
        <w:t>13.计量单位</w:t>
      </w:r>
      <w:bookmarkEnd w:id="83"/>
    </w:p>
    <w:p w14:paraId="32BABB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73913767">
      <w:pPr>
        <w:spacing w:line="360" w:lineRule="auto"/>
        <w:ind w:firstLine="482" w:firstLineChars="200"/>
        <w:outlineLvl w:val="2"/>
        <w:rPr>
          <w:rFonts w:hint="eastAsia" w:ascii="黑体" w:hAnsi="黑体" w:eastAsia="黑体" w:cs="宋体"/>
          <w:b/>
          <w:bCs/>
          <w:color w:val="auto"/>
          <w:sz w:val="24"/>
          <w:highlight w:val="none"/>
        </w:rPr>
      </w:pPr>
      <w:bookmarkStart w:id="84" w:name="_Toc15063"/>
      <w:r>
        <w:rPr>
          <w:rFonts w:hint="eastAsia" w:ascii="黑体" w:hAnsi="黑体" w:eastAsia="黑体" w:cs="宋体"/>
          <w:b/>
          <w:bCs/>
          <w:color w:val="auto"/>
          <w:sz w:val="24"/>
          <w:highlight w:val="none"/>
        </w:rPr>
        <w:t>14.</w:t>
      </w:r>
      <w:r>
        <w:rPr>
          <w:rFonts w:hint="eastAsia" w:ascii="黑体" w:hAnsi="黑体" w:eastAsia="黑体" w:cs="宋体"/>
          <w:b/>
          <w:bCs/>
          <w:color w:val="auto"/>
          <w:sz w:val="24"/>
          <w:highlight w:val="none"/>
          <w:lang w:eastAsia="zh-CN"/>
        </w:rPr>
        <w:t>竞标</w:t>
      </w:r>
      <w:r>
        <w:rPr>
          <w:rFonts w:hint="eastAsia" w:ascii="黑体" w:hAnsi="黑体" w:eastAsia="黑体" w:cs="宋体"/>
          <w:b/>
          <w:bCs/>
          <w:color w:val="auto"/>
          <w:sz w:val="24"/>
          <w:highlight w:val="none"/>
        </w:rPr>
        <w:t>的风险</w:t>
      </w:r>
      <w:bookmarkEnd w:id="84"/>
    </w:p>
    <w:p w14:paraId="4473FC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38A1F97E">
      <w:pPr>
        <w:spacing w:line="360" w:lineRule="auto"/>
        <w:ind w:firstLine="482" w:firstLineChars="200"/>
        <w:outlineLvl w:val="2"/>
        <w:rPr>
          <w:rFonts w:hint="eastAsia" w:ascii="黑体" w:hAnsi="黑体" w:eastAsia="黑体" w:cs="宋体"/>
          <w:b/>
          <w:bCs/>
          <w:color w:val="auto"/>
          <w:sz w:val="24"/>
          <w:highlight w:val="none"/>
        </w:rPr>
      </w:pPr>
      <w:bookmarkStart w:id="85" w:name="_Toc29324"/>
      <w:r>
        <w:rPr>
          <w:rFonts w:hint="eastAsia" w:ascii="黑体" w:hAnsi="黑体" w:eastAsia="黑体" w:cs="宋体"/>
          <w:b/>
          <w:bCs/>
          <w:color w:val="auto"/>
          <w:sz w:val="24"/>
          <w:highlight w:val="none"/>
        </w:rPr>
        <w:t>15.</w:t>
      </w:r>
      <w:r>
        <w:rPr>
          <w:rFonts w:hint="eastAsia" w:ascii="黑体" w:hAnsi="黑体" w:eastAsia="黑体" w:cs="宋体"/>
          <w:b/>
          <w:bCs/>
          <w:color w:val="auto"/>
          <w:sz w:val="24"/>
          <w:highlight w:val="none"/>
          <w:lang w:eastAsia="zh-CN"/>
        </w:rPr>
        <w:t>竞标</w:t>
      </w:r>
      <w:r>
        <w:rPr>
          <w:rFonts w:hint="eastAsia" w:ascii="黑体" w:hAnsi="黑体" w:eastAsia="黑体" w:cs="宋体"/>
          <w:b/>
          <w:bCs/>
          <w:color w:val="auto"/>
          <w:sz w:val="24"/>
          <w:highlight w:val="none"/>
        </w:rPr>
        <w:t>报价</w:t>
      </w:r>
      <w:bookmarkEnd w:id="85"/>
    </w:p>
    <w:p w14:paraId="5C5E2D92">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报价应按磋商文件中“</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报价表”格式填写。</w:t>
      </w:r>
    </w:p>
    <w:p w14:paraId="5D332026">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报价的内容见“供应商须知前附表”。</w:t>
      </w:r>
    </w:p>
    <w:p w14:paraId="1D5D0683">
      <w:pPr>
        <w:spacing w:line="360" w:lineRule="auto"/>
        <w:ind w:left="426" w:leftChars="203"/>
        <w:rPr>
          <w:rFonts w:hint="eastAsia" w:ascii="宋体" w:hAnsi="宋体" w:cs="宋体"/>
          <w:color w:val="auto"/>
          <w:szCs w:val="21"/>
          <w:highlight w:val="none"/>
        </w:rPr>
      </w:pPr>
      <w:r>
        <w:rPr>
          <w:rFonts w:hint="eastAsia" w:ascii="宋体" w:hAnsi="宋体" w:cs="宋体"/>
          <w:color w:val="auto"/>
          <w:szCs w:val="21"/>
          <w:highlight w:val="none"/>
        </w:rPr>
        <w:t>15.3</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报价要求</w:t>
      </w:r>
    </w:p>
    <w:p w14:paraId="693FCC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报价应符合以下要求，否则响应文件按无效响应处理：</w:t>
      </w:r>
    </w:p>
    <w:p w14:paraId="28CF7F7E">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（1）供应商必须就“采购需求”中所</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的每个分标的全部内容分别作完整唯一总价报价，</w:t>
      </w:r>
    </w:p>
    <w:p w14:paraId="772C34CE">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266B04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的分标的单项内容作唯一报价。</w:t>
      </w:r>
    </w:p>
    <w:p w14:paraId="096A6A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报价（包含首次报价、最后报价）超过所</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分标规定的采购预算金额或者最高限价的，其响应文件将按无效处理。</w:t>
      </w:r>
    </w:p>
    <w:p w14:paraId="3C7C08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bookmarkStart w:id="86" w:name="_Hlk42592874"/>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报价（包含首次报价、最后报价）超过分项采购预算金额或者最高限价的，其响应文件将按无效处理。</w:t>
      </w:r>
    </w:p>
    <w:bookmarkEnd w:id="86"/>
    <w:p w14:paraId="322B2E11">
      <w:pPr>
        <w:spacing w:line="360" w:lineRule="auto"/>
        <w:ind w:firstLine="482" w:firstLineChars="200"/>
        <w:outlineLvl w:val="2"/>
        <w:rPr>
          <w:rFonts w:hint="eastAsia" w:ascii="黑体" w:hAnsi="黑体" w:eastAsia="黑体" w:cs="宋体"/>
          <w:b/>
          <w:bCs/>
          <w:color w:val="auto"/>
          <w:sz w:val="24"/>
          <w:highlight w:val="none"/>
        </w:rPr>
      </w:pPr>
      <w:bookmarkStart w:id="87" w:name="_Toc976"/>
      <w:r>
        <w:rPr>
          <w:rFonts w:hint="eastAsia" w:ascii="黑体" w:hAnsi="黑体" w:eastAsia="黑体" w:cs="宋体"/>
          <w:b/>
          <w:bCs/>
          <w:color w:val="auto"/>
          <w:sz w:val="24"/>
          <w:highlight w:val="none"/>
        </w:rPr>
        <w:t>16.</w:t>
      </w:r>
      <w:r>
        <w:rPr>
          <w:rFonts w:hint="eastAsia" w:ascii="黑体" w:hAnsi="黑体" w:eastAsia="黑体" w:cs="宋体"/>
          <w:b/>
          <w:bCs/>
          <w:color w:val="auto"/>
          <w:sz w:val="24"/>
          <w:highlight w:val="none"/>
          <w:lang w:eastAsia="zh-CN"/>
        </w:rPr>
        <w:t>竞标</w:t>
      </w:r>
      <w:r>
        <w:rPr>
          <w:rFonts w:hint="eastAsia" w:ascii="黑体" w:hAnsi="黑体" w:eastAsia="黑体" w:cs="宋体"/>
          <w:b/>
          <w:bCs/>
          <w:color w:val="auto"/>
          <w:sz w:val="24"/>
          <w:highlight w:val="none"/>
        </w:rPr>
        <w:t>有效期</w:t>
      </w:r>
      <w:bookmarkEnd w:id="87"/>
    </w:p>
    <w:p w14:paraId="702BA5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有效期是指为保证采购人有足够的时间在提交响应文件后完成评审、确定成交供应商、合同签订等工作而要求供应商提交的响应文件在一定时间内保持有效的期限。</w:t>
      </w:r>
    </w:p>
    <w:p w14:paraId="141872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16.2 </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有效期应由供应商按“供应商须知前附表”规定的期限作出响应。</w:t>
      </w:r>
      <w:r>
        <w:rPr>
          <w:rFonts w:hint="eastAsia" w:ascii="宋体" w:hAnsi="宋体"/>
          <w:color w:val="auto"/>
          <w:szCs w:val="21"/>
          <w:highlight w:val="none"/>
        </w:rPr>
        <w:t>承诺的</w:t>
      </w:r>
      <w:r>
        <w:rPr>
          <w:rFonts w:hint="eastAsia" w:ascii="宋体" w:hAnsi="宋体"/>
          <w:color w:val="auto"/>
          <w:szCs w:val="21"/>
          <w:highlight w:val="none"/>
          <w:lang w:eastAsia="zh-CN"/>
        </w:rPr>
        <w:t>竞标</w:t>
      </w:r>
      <w:r>
        <w:rPr>
          <w:rFonts w:hint="eastAsia" w:ascii="宋体" w:hAnsi="宋体"/>
          <w:color w:val="auto"/>
          <w:szCs w:val="21"/>
          <w:highlight w:val="none"/>
        </w:rPr>
        <w:t>有效期低于采购文件规定期限的，供应商的响应文件作无效处理。</w:t>
      </w:r>
    </w:p>
    <w:p w14:paraId="10D62F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有效期内均保持有效。</w:t>
      </w:r>
    </w:p>
    <w:p w14:paraId="3CA52F5A">
      <w:pPr>
        <w:spacing w:line="360" w:lineRule="auto"/>
        <w:ind w:firstLine="482" w:firstLineChars="200"/>
        <w:outlineLvl w:val="2"/>
        <w:rPr>
          <w:rFonts w:hint="eastAsia" w:ascii="黑体" w:hAnsi="黑体" w:eastAsia="黑体" w:cs="宋体"/>
          <w:b/>
          <w:bCs/>
          <w:color w:val="auto"/>
          <w:sz w:val="24"/>
          <w:highlight w:val="none"/>
        </w:rPr>
      </w:pPr>
      <w:bookmarkStart w:id="88" w:name="_Toc31376"/>
      <w:r>
        <w:rPr>
          <w:rFonts w:hint="eastAsia" w:ascii="黑体" w:hAnsi="黑体" w:eastAsia="黑体" w:cs="宋体"/>
          <w:b/>
          <w:bCs/>
          <w:color w:val="auto"/>
          <w:sz w:val="24"/>
          <w:highlight w:val="none"/>
        </w:rPr>
        <w:t>17.磋商保证金</w:t>
      </w:r>
      <w:bookmarkEnd w:id="88"/>
    </w:p>
    <w:p w14:paraId="743FBD76">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7FE859B7">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704EDC86">
      <w:pPr>
        <w:spacing w:line="360" w:lineRule="auto"/>
        <w:ind w:firstLine="420" w:firstLineChars="200"/>
        <w:rPr>
          <w:rFonts w:hint="eastAsia" w:ascii="宋体" w:hAnsi="宋体" w:cs="宋体"/>
          <w:color w:val="auto"/>
          <w:szCs w:val="21"/>
          <w:highlight w:val="none"/>
        </w:rPr>
      </w:pPr>
      <w:bookmarkStart w:id="89"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w:t>
      </w:r>
      <w:r>
        <w:rPr>
          <w:rFonts w:hint="eastAsia" w:ascii="宋体" w:hAnsi="宋体" w:cs="宋体"/>
          <w:color w:val="auto"/>
          <w:spacing w:val="-6"/>
          <w:szCs w:val="21"/>
          <w:highlight w:val="none"/>
          <w:lang w:eastAsia="zh-CN"/>
        </w:rPr>
        <w:t>响应</w:t>
      </w:r>
      <w:r>
        <w:rPr>
          <w:rFonts w:hint="eastAsia" w:ascii="宋体" w:hAnsi="宋体" w:cs="宋体"/>
          <w:color w:val="auto"/>
          <w:spacing w:val="-6"/>
          <w:szCs w:val="21"/>
          <w:highlight w:val="none"/>
        </w:rPr>
        <w:t>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89"/>
      <w:r>
        <w:rPr>
          <w:rFonts w:hint="eastAsia" w:ascii="宋体" w:hAnsi="宋体" w:cs="宋体"/>
          <w:color w:val="auto"/>
          <w:szCs w:val="21"/>
          <w:highlight w:val="none"/>
        </w:rPr>
        <w:t xml:space="preserve"> </w:t>
      </w:r>
    </w:p>
    <w:p w14:paraId="1582BD0C">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17.3除逾期退还磋商保证金和终止采购的情形以外，磋商保证金不计息。</w:t>
      </w:r>
    </w:p>
    <w:p w14:paraId="33F9AA95">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33BAD1C1">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7CC9E518">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29CEF8C2">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2C3A193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7145AE0E">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04965274">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6C911056">
      <w:pPr>
        <w:spacing w:line="360" w:lineRule="auto"/>
        <w:ind w:firstLine="482" w:firstLineChars="200"/>
        <w:outlineLvl w:val="2"/>
        <w:rPr>
          <w:rFonts w:hint="eastAsia" w:ascii="黑体" w:hAnsi="黑体" w:eastAsia="黑体" w:cs="宋体"/>
          <w:b/>
          <w:bCs/>
          <w:color w:val="auto"/>
          <w:sz w:val="24"/>
          <w:highlight w:val="none"/>
        </w:rPr>
      </w:pPr>
      <w:bookmarkStart w:id="90" w:name="_Toc23448"/>
      <w:r>
        <w:rPr>
          <w:rFonts w:hint="eastAsia" w:ascii="黑体" w:hAnsi="黑体" w:eastAsia="黑体" w:cs="宋体"/>
          <w:b/>
          <w:bCs/>
          <w:color w:val="auto"/>
          <w:sz w:val="24"/>
          <w:highlight w:val="none"/>
        </w:rPr>
        <w:t>18.响应文件编制的要求</w:t>
      </w:r>
      <w:bookmarkEnd w:id="90"/>
    </w:p>
    <w:p w14:paraId="098044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EB402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过程中能够对相关数据电文进行加密和使用电子签章。</w:t>
      </w:r>
    </w:p>
    <w:p w14:paraId="3066D5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1CAB89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供应商为自然人的，标注的供应商名称应与身份证姓名及签名一致，否则其响应文件按无效响应处理。</w:t>
      </w:r>
    </w:p>
    <w:p w14:paraId="3F1AB0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4DBF756">
      <w:pPr>
        <w:spacing w:line="360" w:lineRule="auto"/>
        <w:ind w:firstLine="422" w:firstLineChars="200"/>
        <w:rPr>
          <w:rFonts w:hint="eastAsia" w:ascii="黑体" w:hAnsi="黑体" w:eastAsia="黑体" w:cs="宋体"/>
          <w:b/>
          <w:bCs/>
          <w:color w:val="auto"/>
          <w:sz w:val="24"/>
          <w:highlight w:val="none"/>
        </w:rPr>
      </w:pPr>
      <w:r>
        <w:rPr>
          <w:rFonts w:hint="eastAsia"/>
          <w:b/>
          <w:bCs/>
          <w:color w:val="auto"/>
          <w:highlight w:val="none"/>
          <w:lang w:val="en-US" w:eastAsia="zh-CN"/>
        </w:rPr>
        <w:t>19.</w:t>
      </w:r>
      <w:r>
        <w:rPr>
          <w:rFonts w:hint="eastAsia" w:ascii="黑体" w:hAnsi="黑体" w:eastAsia="黑体" w:cs="宋体"/>
          <w:b/>
          <w:bCs/>
          <w:color w:val="auto"/>
          <w:sz w:val="24"/>
          <w:highlight w:val="none"/>
        </w:rPr>
        <w:t>响应文件的密封和标记</w:t>
      </w:r>
    </w:p>
    <w:p w14:paraId="63E18707">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50612384">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19.2使用“政采云电子交易客户端”需要提前申领CA数字证书，申领流程见该项目采购公告附件。</w:t>
      </w:r>
    </w:p>
    <w:p w14:paraId="43B6C7E8">
      <w:pPr>
        <w:pStyle w:val="19"/>
        <w:spacing w:line="360" w:lineRule="auto"/>
        <w:ind w:firstLine="420" w:firstLineChars="200"/>
        <w:rPr>
          <w:rFonts w:hint="eastAsia" w:hAnsi="宋体" w:cs="仿宋_GB2312"/>
          <w:color w:val="auto"/>
          <w:sz w:val="21"/>
          <w:highlight w:val="none"/>
        </w:rPr>
      </w:pPr>
      <w:r>
        <w:rPr>
          <w:rFonts w:hint="eastAsia" w:hAnsi="宋体" w:cs="仿宋_GB2312"/>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42CE7D0F">
      <w:pPr>
        <w:spacing w:line="360" w:lineRule="auto"/>
        <w:ind w:firstLine="420" w:firstLineChars="200"/>
        <w:rPr>
          <w:rFonts w:hint="eastAsia" w:ascii="宋体" w:hAnsi="宋体" w:cs="宋体"/>
          <w:color w:val="auto"/>
          <w:szCs w:val="21"/>
          <w:highlight w:val="none"/>
        </w:rPr>
      </w:pPr>
    </w:p>
    <w:p w14:paraId="14A51AA0">
      <w:pPr>
        <w:spacing w:line="360" w:lineRule="auto"/>
        <w:ind w:firstLine="482" w:firstLineChars="200"/>
        <w:outlineLvl w:val="2"/>
        <w:rPr>
          <w:rFonts w:hint="eastAsia" w:ascii="黑体" w:hAnsi="黑体" w:eastAsia="黑体" w:cs="宋体"/>
          <w:b/>
          <w:bCs/>
          <w:color w:val="auto"/>
          <w:sz w:val="24"/>
          <w:highlight w:val="none"/>
        </w:rPr>
      </w:pPr>
      <w:bookmarkStart w:id="91" w:name="_Toc22993"/>
      <w:r>
        <w:rPr>
          <w:rFonts w:hint="eastAsia" w:ascii="黑体" w:hAnsi="黑体" w:eastAsia="黑体" w:cs="宋体"/>
          <w:b/>
          <w:bCs/>
          <w:color w:val="auto"/>
          <w:sz w:val="24"/>
          <w:highlight w:val="none"/>
        </w:rPr>
        <w:t>20.响应文件的提交</w:t>
      </w:r>
      <w:bookmarkEnd w:id="91"/>
    </w:p>
    <w:p w14:paraId="59A80A77">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20.1供应商必须在“供应商须知前附表”规定的时间和地点提交响应文件。</w:t>
      </w:r>
    </w:p>
    <w:p w14:paraId="23FC9548">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20.2 在响应文件提交截止时间以后，不能补充、修改响应文件。</w:t>
      </w:r>
    </w:p>
    <w:p w14:paraId="37678094">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20.3 在提交“最后报价”后，供应商不能退出谈判。</w:t>
      </w:r>
    </w:p>
    <w:p w14:paraId="3110A5AB">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20.4 电子交易平台收到响应文件，将妥善保存并即时向供应商发出确认回执通知。在响应文件提交截止时间前，除供应商补充、修改或者撤回响应文件外，任何单位和个人不得解密或提取响应文件。</w:t>
      </w:r>
    </w:p>
    <w:p w14:paraId="62F31EE8">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20.5 采购机构不可视情况延长提交响应文件的截止时间。</w:t>
      </w:r>
    </w:p>
    <w:p w14:paraId="09D0461B">
      <w:pPr>
        <w:shd w:val="clear" w:color="auto"/>
        <w:spacing w:line="360" w:lineRule="auto"/>
        <w:ind w:firstLine="420" w:firstLineChars="200"/>
        <w:rPr>
          <w:color w:val="auto"/>
          <w:highlight w:val="none"/>
        </w:rPr>
      </w:pPr>
      <w:r>
        <w:rPr>
          <w:rFonts w:hint="eastAsia" w:ascii="宋体" w:hAnsi="宋体" w:cs="宋体"/>
          <w:color w:val="auto"/>
          <w:szCs w:val="21"/>
          <w:highlight w:val="none"/>
          <w:lang w:bidi="ar"/>
        </w:rPr>
        <w:t>20.6备份响应文件。</w:t>
      </w:r>
      <w:r>
        <w:rPr>
          <w:rFonts w:hint="eastAsia" w:ascii="宋体" w:hAnsi="宋体" w:cs="宋体"/>
          <w:bCs/>
          <w:color w:val="auto"/>
          <w:szCs w:val="21"/>
          <w:highlight w:val="none"/>
          <w:lang w:bidi="ar"/>
        </w:rPr>
        <w:t>详在“供应商须知前附表”。</w:t>
      </w:r>
    </w:p>
    <w:p w14:paraId="6C445C98">
      <w:pPr>
        <w:spacing w:line="360" w:lineRule="auto"/>
        <w:ind w:firstLine="420" w:firstLineChars="200"/>
        <w:rPr>
          <w:rFonts w:hint="eastAsia" w:ascii="宋体" w:hAnsi="宋体" w:cs="宋体"/>
          <w:color w:val="auto"/>
          <w:szCs w:val="21"/>
          <w:highlight w:val="none"/>
        </w:rPr>
      </w:pPr>
    </w:p>
    <w:p w14:paraId="3888B80C">
      <w:pPr>
        <w:spacing w:line="360" w:lineRule="auto"/>
        <w:ind w:firstLine="482" w:firstLineChars="200"/>
        <w:outlineLvl w:val="2"/>
        <w:rPr>
          <w:rFonts w:hint="eastAsia" w:ascii="黑体" w:hAnsi="黑体" w:eastAsia="黑体" w:cs="宋体"/>
          <w:b/>
          <w:bCs/>
          <w:color w:val="auto"/>
          <w:sz w:val="24"/>
          <w:highlight w:val="none"/>
        </w:rPr>
      </w:pPr>
      <w:bookmarkStart w:id="92" w:name="_Toc26535"/>
      <w:r>
        <w:rPr>
          <w:rFonts w:hint="eastAsia" w:ascii="黑体" w:hAnsi="黑体" w:eastAsia="黑体" w:cs="宋体"/>
          <w:b/>
          <w:bCs/>
          <w:color w:val="auto"/>
          <w:sz w:val="24"/>
          <w:highlight w:val="none"/>
        </w:rPr>
        <w:t>21.首次响应文件的补充、修改与撤回</w:t>
      </w:r>
      <w:bookmarkEnd w:id="92"/>
    </w:p>
    <w:p w14:paraId="40A69B46">
      <w:pPr>
        <w:snapToGrid w:val="0"/>
        <w:spacing w:line="360" w:lineRule="auto"/>
        <w:ind w:firstLine="420"/>
        <w:jc w:val="left"/>
        <w:rPr>
          <w:rFonts w:hint="eastAsia" w:ascii="宋体" w:hAnsi="宋体"/>
          <w:color w:val="auto"/>
          <w:szCs w:val="21"/>
          <w:highlight w:val="none"/>
        </w:rPr>
      </w:pPr>
      <w:bookmarkStart w:id="93" w:name="_Toc254970543"/>
      <w:bookmarkStart w:id="94" w:name="_Toc254970684"/>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文件制作与投送教程”）</w:t>
      </w:r>
    </w:p>
    <w:bookmarkEnd w:id="93"/>
    <w:bookmarkEnd w:id="94"/>
    <w:p w14:paraId="3A18D9F2">
      <w:pPr>
        <w:pStyle w:val="72"/>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3C57E6C3">
      <w:pPr>
        <w:spacing w:line="360" w:lineRule="auto"/>
        <w:ind w:firstLine="482" w:firstLineChars="200"/>
        <w:outlineLvl w:val="2"/>
        <w:rPr>
          <w:rFonts w:ascii="黑体" w:hAnsi="黑体" w:eastAsia="黑体" w:cs="宋体"/>
          <w:b/>
          <w:bCs/>
          <w:color w:val="auto"/>
          <w:sz w:val="24"/>
          <w:highlight w:val="none"/>
        </w:rPr>
      </w:pPr>
      <w:bookmarkStart w:id="95" w:name="_Toc8024"/>
      <w:bookmarkStart w:id="96" w:name="_Hlk45702405"/>
      <w:r>
        <w:rPr>
          <w:rFonts w:hint="eastAsia" w:ascii="黑体" w:hAnsi="黑体" w:eastAsia="黑体" w:cs="宋体"/>
          <w:b/>
          <w:bCs/>
          <w:color w:val="auto"/>
          <w:sz w:val="24"/>
          <w:highlight w:val="none"/>
        </w:rPr>
        <w:t>22.响应文件的退回</w:t>
      </w:r>
      <w:bookmarkEnd w:id="95"/>
    </w:p>
    <w:p w14:paraId="36FB65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04BB900C">
      <w:pPr>
        <w:spacing w:line="360" w:lineRule="auto"/>
        <w:ind w:firstLine="482" w:firstLineChars="200"/>
        <w:outlineLvl w:val="2"/>
        <w:rPr>
          <w:rFonts w:ascii="黑体" w:hAnsi="黑体" w:eastAsia="黑体" w:cs="宋体"/>
          <w:b/>
          <w:bCs/>
          <w:color w:val="auto"/>
          <w:sz w:val="24"/>
          <w:highlight w:val="none"/>
        </w:rPr>
      </w:pPr>
      <w:bookmarkStart w:id="97" w:name="_Toc9370"/>
      <w:r>
        <w:rPr>
          <w:rFonts w:hint="eastAsia" w:ascii="黑体" w:hAnsi="黑体" w:eastAsia="黑体" w:cs="宋体"/>
          <w:b/>
          <w:bCs/>
          <w:color w:val="auto"/>
          <w:sz w:val="24"/>
          <w:highlight w:val="none"/>
        </w:rPr>
        <w:t>23.截止时间后的撤回</w:t>
      </w:r>
      <w:bookmarkEnd w:id="97"/>
    </w:p>
    <w:p w14:paraId="61778FD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p>
    <w:bookmarkEnd w:id="96"/>
    <w:p w14:paraId="154DB6D7">
      <w:pPr>
        <w:spacing w:line="360" w:lineRule="auto"/>
        <w:rPr>
          <w:rFonts w:hint="eastAsia" w:ascii="宋体" w:hAnsi="宋体"/>
          <w:color w:val="auto"/>
          <w:szCs w:val="21"/>
          <w:highlight w:val="none"/>
        </w:rPr>
      </w:pPr>
    </w:p>
    <w:p w14:paraId="042C346F">
      <w:pPr>
        <w:spacing w:line="360" w:lineRule="auto"/>
        <w:ind w:left="420" w:firstLine="420"/>
        <w:jc w:val="center"/>
        <w:outlineLvl w:val="1"/>
        <w:rPr>
          <w:rFonts w:hint="eastAsia" w:ascii="宋体" w:hAnsi="宋体"/>
          <w:b/>
          <w:bCs/>
          <w:color w:val="auto"/>
          <w:sz w:val="32"/>
          <w:szCs w:val="32"/>
          <w:highlight w:val="none"/>
        </w:rPr>
      </w:pPr>
      <w:bookmarkStart w:id="98" w:name="_Toc24579"/>
      <w:r>
        <w:rPr>
          <w:rFonts w:hint="eastAsia" w:ascii="宋体" w:hAnsi="宋体"/>
          <w:b/>
          <w:bCs/>
          <w:color w:val="auto"/>
          <w:sz w:val="32"/>
          <w:szCs w:val="32"/>
          <w:highlight w:val="none"/>
        </w:rPr>
        <w:t>四、评审及磋商</w:t>
      </w:r>
      <w:bookmarkEnd w:id="98"/>
    </w:p>
    <w:p w14:paraId="3DBC81CA">
      <w:pPr>
        <w:spacing w:line="360" w:lineRule="auto"/>
        <w:ind w:left="420" w:firstLine="420"/>
        <w:rPr>
          <w:rFonts w:hint="eastAsia" w:ascii="宋体" w:hAnsi="宋体"/>
          <w:color w:val="auto"/>
          <w:szCs w:val="21"/>
          <w:highlight w:val="none"/>
        </w:rPr>
      </w:pPr>
    </w:p>
    <w:p w14:paraId="7900E26C">
      <w:pPr>
        <w:spacing w:line="360" w:lineRule="auto"/>
        <w:ind w:firstLine="482" w:firstLineChars="200"/>
        <w:outlineLvl w:val="2"/>
        <w:rPr>
          <w:rFonts w:hint="eastAsia" w:ascii="黑体" w:hAnsi="黑体" w:eastAsia="黑体" w:cs="宋体"/>
          <w:b/>
          <w:bCs/>
          <w:color w:val="auto"/>
          <w:sz w:val="24"/>
          <w:highlight w:val="none"/>
        </w:rPr>
      </w:pPr>
      <w:bookmarkStart w:id="99" w:name="_Toc7088"/>
      <w:r>
        <w:rPr>
          <w:rFonts w:hint="eastAsia" w:ascii="黑体" w:hAnsi="黑体" w:eastAsia="黑体" w:cs="宋体"/>
          <w:b/>
          <w:bCs/>
          <w:color w:val="auto"/>
          <w:sz w:val="24"/>
          <w:highlight w:val="none"/>
        </w:rPr>
        <w:t>24.磋商小组成立</w:t>
      </w:r>
      <w:bookmarkEnd w:id="99"/>
    </w:p>
    <w:p w14:paraId="2AF70B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4F7E45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2B5DF34">
      <w:pPr>
        <w:spacing w:line="360" w:lineRule="auto"/>
        <w:ind w:firstLine="420" w:firstLineChars="20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6934AF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24.4参加过采购项目前期规划编制论证的专家，不得参加该采购项目的评审活动。</w:t>
      </w:r>
    </w:p>
    <w:p w14:paraId="089D90BD">
      <w:pPr>
        <w:spacing w:line="360" w:lineRule="auto"/>
        <w:ind w:firstLine="482" w:firstLineChars="200"/>
        <w:outlineLvl w:val="2"/>
        <w:rPr>
          <w:rFonts w:ascii="黑体" w:hAnsi="黑体" w:eastAsia="黑体" w:cs="宋体"/>
          <w:b/>
          <w:bCs/>
          <w:color w:val="auto"/>
          <w:sz w:val="24"/>
          <w:highlight w:val="none"/>
        </w:rPr>
      </w:pPr>
      <w:bookmarkStart w:id="100" w:name="_Toc28830"/>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bookmarkEnd w:id="100"/>
    </w:p>
    <w:p w14:paraId="3D6EE53E">
      <w:pPr>
        <w:spacing w:line="360" w:lineRule="auto"/>
        <w:ind w:firstLine="420" w:firstLineChars="20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235751E7">
      <w:pPr>
        <w:spacing w:line="360" w:lineRule="auto"/>
        <w:ind w:firstLine="482" w:firstLineChars="200"/>
        <w:outlineLvl w:val="2"/>
        <w:rPr>
          <w:rFonts w:hint="eastAsia" w:ascii="黑体" w:hAnsi="黑体" w:eastAsia="黑体" w:cs="宋体"/>
          <w:b/>
          <w:bCs/>
          <w:color w:val="auto"/>
          <w:sz w:val="24"/>
          <w:highlight w:val="none"/>
        </w:rPr>
      </w:pPr>
      <w:bookmarkStart w:id="101" w:name="_Toc9441"/>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bookmarkEnd w:id="101"/>
    </w:p>
    <w:p w14:paraId="3F644A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5CC88AD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1FAF87F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6.3 </w:t>
      </w:r>
      <w:r>
        <w:rPr>
          <w:rFonts w:hint="eastAsia" w:ascii="宋体" w:hAnsi="宋体"/>
          <w:color w:val="auto"/>
          <w:szCs w:val="21"/>
          <w:highlight w:val="none"/>
        </w:rPr>
        <w:t>商务/技术要求允许负偏离的条款数详见“供应商须知前附表”。</w:t>
      </w:r>
    </w:p>
    <w:p w14:paraId="16BFCFF1">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w:t>
      </w:r>
      <w:r>
        <w:rPr>
          <w:rFonts w:ascii="宋体" w:hAnsi="宋体" w:cs="宋体"/>
          <w:color w:val="auto"/>
          <w:highlight w:val="none"/>
        </w:rPr>
        <w:t>4</w:t>
      </w:r>
      <w:r>
        <w:rPr>
          <w:rFonts w:hint="eastAsia" w:ascii="宋体" w:hAnsi="宋体" w:cs="宋体"/>
          <w:color w:val="auto"/>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EBC0BD2">
      <w:pPr>
        <w:spacing w:line="360" w:lineRule="auto"/>
        <w:ind w:firstLine="420" w:firstLineChars="20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6.5</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35EE3ED2">
      <w:pPr>
        <w:spacing w:line="360" w:lineRule="auto"/>
        <w:ind w:firstLine="420" w:firstLineChars="200"/>
        <w:rPr>
          <w:rFonts w:hint="eastAsia" w:hAnsi="宋体"/>
          <w:color w:val="auto"/>
          <w:highlight w:val="none"/>
        </w:rPr>
      </w:pPr>
      <w:r>
        <w:rPr>
          <w:rFonts w:hint="eastAsia" w:hAnsi="宋体"/>
          <w:color w:val="auto"/>
          <w:highlight w:val="none"/>
        </w:rPr>
        <w:t xml:space="preserve">（1）电子交易平台发生故障而无法登录访问的； </w:t>
      </w:r>
    </w:p>
    <w:p w14:paraId="43C05665">
      <w:pPr>
        <w:spacing w:line="360" w:lineRule="auto"/>
        <w:ind w:firstLine="420" w:firstLineChars="200"/>
        <w:rPr>
          <w:rFonts w:hint="eastAsia" w:hAnsi="宋体"/>
          <w:color w:val="auto"/>
          <w:highlight w:val="none"/>
        </w:rPr>
      </w:pPr>
      <w:r>
        <w:rPr>
          <w:rFonts w:hint="eastAsia" w:hAnsi="宋体"/>
          <w:color w:val="auto"/>
          <w:highlight w:val="none"/>
        </w:rPr>
        <w:t>（2）电子交易平台应用或数据库出现错误，不能进行正常操作的；</w:t>
      </w:r>
    </w:p>
    <w:p w14:paraId="53A0E8B4">
      <w:pPr>
        <w:spacing w:line="360" w:lineRule="auto"/>
        <w:ind w:firstLine="420" w:firstLineChars="200"/>
        <w:rPr>
          <w:rFonts w:hint="eastAsia" w:hAnsi="宋体"/>
          <w:color w:val="auto"/>
          <w:highlight w:val="none"/>
        </w:rPr>
      </w:pPr>
      <w:r>
        <w:rPr>
          <w:rFonts w:hint="eastAsia" w:hAnsi="宋体"/>
          <w:color w:val="auto"/>
          <w:highlight w:val="none"/>
        </w:rPr>
        <w:t>（3）电子交易平台发现严重安全漏洞，有潜在泄密危险的；</w:t>
      </w:r>
    </w:p>
    <w:p w14:paraId="51A01DDB">
      <w:pPr>
        <w:spacing w:line="360" w:lineRule="auto"/>
        <w:ind w:firstLine="420" w:firstLineChars="200"/>
        <w:rPr>
          <w:rFonts w:hint="eastAsia" w:hAnsi="宋体"/>
          <w:color w:val="auto"/>
          <w:highlight w:val="none"/>
        </w:rPr>
      </w:pPr>
      <w:r>
        <w:rPr>
          <w:rFonts w:hint="eastAsia" w:hAnsi="宋体"/>
          <w:color w:val="auto"/>
          <w:highlight w:val="none"/>
        </w:rPr>
        <w:t xml:space="preserve">（4）病毒发作导致不能进行正常操作的； </w:t>
      </w:r>
    </w:p>
    <w:p w14:paraId="23A97937">
      <w:pPr>
        <w:spacing w:line="360" w:lineRule="auto"/>
        <w:ind w:firstLine="420" w:firstLineChars="200"/>
        <w:rPr>
          <w:rFonts w:hint="eastAsia" w:hAnsi="宋体"/>
          <w:color w:val="auto"/>
          <w:highlight w:val="none"/>
        </w:rPr>
      </w:pPr>
      <w:r>
        <w:rPr>
          <w:rFonts w:hint="eastAsia" w:hAnsi="宋体"/>
          <w:color w:val="auto"/>
          <w:highlight w:val="none"/>
        </w:rPr>
        <w:t>（5）其他无法保证电子交易的公平、公正和安全的情况。</w:t>
      </w:r>
    </w:p>
    <w:p w14:paraId="70874F86">
      <w:pPr>
        <w:spacing w:line="360" w:lineRule="auto"/>
        <w:ind w:firstLine="420" w:firstLineChars="200"/>
        <w:rPr>
          <w:rFonts w:hint="eastAsia" w:ascii="宋体" w:hAnsi="宋体" w:cs="宋体"/>
          <w:color w:val="auto"/>
          <w:szCs w:val="21"/>
          <w:highlight w:val="none"/>
        </w:rPr>
      </w:pPr>
      <w:r>
        <w:rPr>
          <w:rFonts w:hint="eastAsia" w:ascii="宋体" w:hAnsi="宋体"/>
          <w:color w:val="auto"/>
          <w:highlight w:val="none"/>
        </w:rPr>
        <w:t>26.</w:t>
      </w:r>
      <w:r>
        <w:rPr>
          <w:rFonts w:ascii="宋体" w:hAnsi="宋体"/>
          <w:color w:val="auto"/>
          <w:highlight w:val="none"/>
        </w:rPr>
        <w:t>6</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38267F78">
      <w:pPr>
        <w:spacing w:line="360" w:lineRule="auto"/>
        <w:ind w:firstLine="482" w:firstLineChars="200"/>
        <w:outlineLvl w:val="2"/>
        <w:rPr>
          <w:rFonts w:hint="eastAsia" w:ascii="黑体" w:hAnsi="黑体" w:eastAsia="黑体" w:cs="宋体"/>
          <w:b/>
          <w:bCs/>
          <w:color w:val="auto"/>
          <w:sz w:val="24"/>
          <w:highlight w:val="none"/>
        </w:rPr>
      </w:pPr>
      <w:bookmarkStart w:id="102" w:name="_Toc19999"/>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bookmarkEnd w:id="102"/>
    </w:p>
    <w:p w14:paraId="537B4F7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4A96481">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27.2成交通知及成交结果公告。</w:t>
      </w:r>
      <w:r>
        <w:rPr>
          <w:rFonts w:hint="eastAsia" w:ascii="宋体" w:hAnsi="宋体" w:cs="宋体"/>
          <w:color w:val="auto"/>
          <w:kern w:val="0"/>
          <w:szCs w:val="21"/>
          <w:highlight w:val="none"/>
          <w:lang w:bidi="ar"/>
        </w:rPr>
        <w:t>采购代理机构应当在成交供应商确定后2个工作日内，在省级以上财政部门指定的媒体上公告成交结果，同时向成交供应商发出成交通知书</w:t>
      </w:r>
      <w:r>
        <w:rPr>
          <w:rFonts w:hint="eastAsia" w:ascii="宋体" w:hAnsi="宋体" w:cs="宋体"/>
          <w:color w:val="auto"/>
          <w:szCs w:val="21"/>
          <w:highlight w:val="none"/>
          <w:lang w:bidi="ar"/>
        </w:rPr>
        <w:t>，成交通知书规定签订合同的时间不得超过25日。</w:t>
      </w:r>
    </w:p>
    <w:p w14:paraId="37C89360">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27.3采购人或者采购代理机构发出成交通知书前，应当对成交供应商信用进行查询核实，对列入失信被执行人、税收违法黑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4190BB63">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50A2318">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lang w:bidi="ar"/>
        </w:rPr>
        <w:t>27.5</w:t>
      </w:r>
      <w:r>
        <w:rPr>
          <w:rFonts w:hint="eastAsia" w:ascii="宋体" w:hAnsi="宋体" w:cs="宋体"/>
          <w:color w:val="auto"/>
          <w:szCs w:val="21"/>
          <w:highlight w:val="none"/>
          <w:lang w:bidi="ar"/>
        </w:rPr>
        <w:t>排名第一的成交候选人放弃成交，采购人可以按照评审报告推荐的成交候选人名单排序，依法确定下一候选人为成交供应商，也可以重新开展政府采购活动。</w:t>
      </w:r>
    </w:p>
    <w:p w14:paraId="047D963C">
      <w:pPr>
        <w:spacing w:line="360" w:lineRule="auto"/>
        <w:ind w:firstLine="482" w:firstLineChars="200"/>
        <w:outlineLvl w:val="2"/>
        <w:rPr>
          <w:rFonts w:hint="eastAsia" w:ascii="黑体" w:hAnsi="黑体" w:eastAsia="黑体" w:cs="宋体"/>
          <w:b/>
          <w:bCs/>
          <w:color w:val="auto"/>
          <w:sz w:val="24"/>
          <w:highlight w:val="none"/>
        </w:rPr>
      </w:pPr>
      <w:bookmarkStart w:id="103" w:name="_Toc8900"/>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bookmarkEnd w:id="103"/>
    </w:p>
    <w:p w14:paraId="63E35553">
      <w:pPr>
        <w:shd w:val="clear" w:color="auto"/>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28.1 履约保证金的金额、提交方式、退付的时间和条件详见 “供应商须知前附表”。成交供应商未按规定提交履约保证金的，视为拒绝与采购人签订合同，采购人可以按照评审报告推荐的成交候选人名单排序，依法确定下一候选人为成交供应商，也可以重新开展政府采购活动。</w:t>
      </w:r>
    </w:p>
    <w:p w14:paraId="72597DE1">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bidi="ar"/>
        </w:rPr>
        <w:t>28.2签订合同后，如成交供应商不按双方签订的合同规定履约，则没收其全部履约保证金，履约保证金不足以赔偿损失的，按实际损失赔偿。</w:t>
      </w:r>
    </w:p>
    <w:p w14:paraId="02511C6C">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在履约保证金退还日期前，若成交供应商的开户名称、开户银行、账号有变动的，请以书面形式通知履约保证金收取单位，否则由此产生的后果由成交供应商自行承担。</w:t>
      </w:r>
    </w:p>
    <w:p w14:paraId="737031B7">
      <w:pPr>
        <w:spacing w:line="360" w:lineRule="auto"/>
        <w:ind w:firstLine="482" w:firstLineChars="200"/>
        <w:outlineLvl w:val="2"/>
        <w:rPr>
          <w:rFonts w:hint="eastAsia" w:ascii="黑体" w:hAnsi="黑体" w:eastAsia="黑体" w:cs="宋体"/>
          <w:b/>
          <w:bCs/>
          <w:color w:val="auto"/>
          <w:sz w:val="24"/>
          <w:highlight w:val="none"/>
        </w:rPr>
      </w:pPr>
      <w:bookmarkStart w:id="104" w:name="_Toc3178"/>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bookmarkEnd w:id="104"/>
    </w:p>
    <w:p w14:paraId="74454FD0">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534005B9">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17834F2F">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426005B">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551285B">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B1F3546">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0DD9A98D">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66094D91">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24CC55C">
      <w:pPr>
        <w:spacing w:line="360" w:lineRule="auto"/>
        <w:ind w:firstLine="482" w:firstLineChars="200"/>
        <w:outlineLvl w:val="2"/>
        <w:rPr>
          <w:rFonts w:hint="eastAsia" w:ascii="黑体" w:hAnsi="黑体" w:eastAsia="黑体" w:cs="宋体"/>
          <w:b/>
          <w:bCs/>
          <w:color w:val="auto"/>
          <w:sz w:val="24"/>
          <w:highlight w:val="none"/>
        </w:rPr>
      </w:pPr>
      <w:bookmarkStart w:id="105" w:name="_Toc20138"/>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bookmarkEnd w:id="105"/>
    </w:p>
    <w:p w14:paraId="0F102DED">
      <w:pPr>
        <w:pStyle w:val="13"/>
        <w:spacing w:line="360" w:lineRule="auto"/>
        <w:ind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w:t>
      </w:r>
      <w:r>
        <w:rPr>
          <w:rFonts w:hint="eastAsia" w:ascii="宋体" w:hAnsi="宋体" w:cs="宋体"/>
          <w:bCs/>
          <w:color w:val="auto"/>
          <w:highlight w:val="none"/>
          <w:lang w:bidi="ar"/>
        </w:rPr>
        <w:t>以下媒体上发布</w:t>
      </w:r>
      <w:r>
        <w:rPr>
          <w:rFonts w:hint="eastAsia" w:ascii="宋体" w:hAnsi="宋体" w:cs="宋体"/>
          <w:color w:val="auto"/>
          <w:kern w:val="0"/>
          <w:szCs w:val="21"/>
          <w:highlight w:val="none"/>
          <w:lang w:bidi="ar"/>
        </w:rPr>
        <w:t xml:space="preserve"> “广西政府采购网”（http://zfcg.gxzf.gov.cn）</w:t>
      </w:r>
      <w:r>
        <w:rPr>
          <w:rFonts w:hint="eastAsia" w:ascii="宋体" w:hAnsi="宋体" w:cs="宋体"/>
          <w:color w:val="auto"/>
          <w:szCs w:val="21"/>
          <w:highlight w:val="none"/>
        </w:rPr>
        <w:t>上公告，但政府采购合同中涉及国家秘密、商业秘密的内容除外。</w:t>
      </w:r>
    </w:p>
    <w:p w14:paraId="34E090D1">
      <w:pPr>
        <w:spacing w:line="360" w:lineRule="auto"/>
        <w:ind w:firstLine="482" w:firstLineChars="200"/>
        <w:outlineLvl w:val="2"/>
        <w:rPr>
          <w:rFonts w:hint="eastAsia" w:ascii="黑体" w:hAnsi="黑体" w:eastAsia="黑体" w:cs="宋体"/>
          <w:b/>
          <w:bCs/>
          <w:color w:val="auto"/>
          <w:sz w:val="24"/>
          <w:highlight w:val="none"/>
        </w:rPr>
      </w:pPr>
      <w:bookmarkStart w:id="106" w:name="_Toc10371"/>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.询问、质疑和投诉</w:t>
      </w:r>
      <w:bookmarkEnd w:id="106"/>
    </w:p>
    <w:p w14:paraId="4F11A729">
      <w:pPr>
        <w:pStyle w:val="6"/>
        <w:spacing w:line="360" w:lineRule="auto"/>
        <w:rPr>
          <w:rFonts w:hint="eastAsia"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55AA857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rPr>
        <w:t>接收质疑函的方式、联系部门、联系电话和通讯地址等信息</w:t>
      </w:r>
      <w:r>
        <w:rPr>
          <w:rFonts w:hint="eastAsia" w:ascii="宋体" w:hAnsi="宋体" w:cs="Arial"/>
          <w:color w:val="auto"/>
          <w:highlight w:val="none"/>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cs="宋体"/>
          <w:b/>
          <w:bCs/>
          <w:color w:val="auto"/>
          <w:highlight w:val="none"/>
        </w:rPr>
        <w:t>具体质疑起算时间如下：</w:t>
      </w:r>
    </w:p>
    <w:p w14:paraId="2FF0A15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6786FC1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23A9DE0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7A9B4F2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539BBB09">
      <w:pPr>
        <w:spacing w:line="360" w:lineRule="auto"/>
        <w:ind w:firstLine="422" w:firstLineChars="200"/>
        <w:rPr>
          <w:rFonts w:hint="eastAsia" w:ascii="宋体" w:hAnsi="宋体" w:cs="宋体"/>
          <w:color w:val="auto"/>
          <w:highlight w:val="none"/>
        </w:rPr>
      </w:pPr>
      <w:r>
        <w:rPr>
          <w:rFonts w:hint="eastAsia" w:ascii="宋体" w:hAnsi="宋体" w:cs="宋体"/>
          <w:b/>
          <w:bCs/>
          <w:color w:val="auto"/>
          <w:highlight w:val="none"/>
        </w:rPr>
        <w:t>3</w:t>
      </w:r>
      <w:r>
        <w:rPr>
          <w:rFonts w:ascii="宋体" w:hAnsi="宋体" w:cs="宋体"/>
          <w:b/>
          <w:bCs/>
          <w:color w:val="auto"/>
          <w:highlight w:val="none"/>
        </w:rPr>
        <w:t>1</w:t>
      </w:r>
      <w:r>
        <w:rPr>
          <w:rFonts w:hint="eastAsia" w:ascii="宋体" w:hAnsi="宋体" w:cs="宋体"/>
          <w:b/>
          <w:bCs/>
          <w:color w:val="auto"/>
          <w:highlight w:val="none"/>
        </w:rPr>
        <w:t>.4 供应商提出质疑应当提交质疑函和必要的证明材料，针对同一采购程序环节的质疑必须在法定质疑期内一次性提出。质疑函应当包括下列内容</w:t>
      </w:r>
      <w:r>
        <w:rPr>
          <w:rFonts w:hint="eastAsia" w:hAnsi="宋体"/>
          <w:b/>
          <w:bCs/>
          <w:color w:val="auto"/>
          <w:highlight w:val="none"/>
        </w:rPr>
        <w:t>（质疑函格式后附）</w:t>
      </w:r>
      <w:r>
        <w:rPr>
          <w:rFonts w:hint="eastAsia" w:ascii="宋体" w:hAnsi="宋体" w:cs="宋体"/>
          <w:b/>
          <w:bCs/>
          <w:color w:val="auto"/>
          <w:highlight w:val="none"/>
        </w:rPr>
        <w:t>：</w:t>
      </w:r>
    </w:p>
    <w:p w14:paraId="393BCB2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71117D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553A2F1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1E9DB05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6FBBD52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46571F3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6024A85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26B242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5D786C2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6436AA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E14BC8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2FB6AC0D">
      <w:pPr>
        <w:spacing w:line="360" w:lineRule="auto"/>
        <w:ind w:firstLine="422" w:firstLineChars="200"/>
        <w:rPr>
          <w:rFonts w:hint="eastAsia" w:ascii="宋体" w:hAnsi="宋体" w:cs="宋体"/>
          <w:color w:val="auto"/>
          <w:szCs w:val="21"/>
          <w:highlight w:val="none"/>
        </w:rPr>
      </w:pPr>
      <w:r>
        <w:rPr>
          <w:rFonts w:ascii="宋体" w:hAnsi="宋体" w:cs="宋体"/>
          <w:b/>
          <w:bCs/>
          <w:color w:val="auto"/>
          <w:highlight w:val="none"/>
        </w:rPr>
        <w:t>31</w:t>
      </w:r>
      <w:r>
        <w:rPr>
          <w:rFonts w:hint="eastAsia" w:ascii="宋体" w:hAnsi="宋体" w:cs="宋体"/>
          <w:b/>
          <w:bCs/>
          <w:color w:val="auto"/>
          <w:highlight w:val="none"/>
        </w:rPr>
        <w:t>.</w:t>
      </w:r>
      <w:r>
        <w:rPr>
          <w:rFonts w:ascii="宋体" w:hAnsi="宋体" w:cs="宋体"/>
          <w:b/>
          <w:bCs/>
          <w:color w:val="auto"/>
          <w:highlight w:val="none"/>
        </w:rPr>
        <w:t>6</w:t>
      </w:r>
      <w:r>
        <w:rPr>
          <w:rFonts w:hint="eastAsia" w:ascii="宋体" w:hAnsi="宋体" w:cs="宋体"/>
          <w:b/>
          <w:bCs/>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657525B">
      <w:pPr>
        <w:spacing w:line="360" w:lineRule="auto"/>
        <w:ind w:firstLine="482" w:firstLineChars="200"/>
        <w:outlineLvl w:val="2"/>
        <w:rPr>
          <w:rFonts w:hint="eastAsia" w:ascii="黑体" w:hAnsi="黑体" w:eastAsia="黑体" w:cs="宋体"/>
          <w:b/>
          <w:bCs/>
          <w:color w:val="auto"/>
          <w:sz w:val="24"/>
          <w:highlight w:val="none"/>
        </w:rPr>
      </w:pPr>
      <w:bookmarkStart w:id="107" w:name="_Toc7834"/>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bookmarkEnd w:id="107"/>
    </w:p>
    <w:p w14:paraId="61A12B5A">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.1代理服务收取标准及缴费账户详见“供应商须知前附表”，供应商为联合体的，可以由联合体中的一方或者多方共同交纳代理服务费。</w:t>
      </w:r>
    </w:p>
    <w:p w14:paraId="4728E4C4">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2688"/>
        <w:gridCol w:w="1962"/>
        <w:gridCol w:w="1519"/>
      </w:tblGrid>
      <w:tr w14:paraId="6C09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3472" w:type="dxa"/>
            <w:tcBorders>
              <w:tl2br w:val="single" w:color="auto" w:sz="4" w:space="0"/>
            </w:tcBorders>
            <w:noWrap w:val="0"/>
            <w:vAlign w:val="top"/>
          </w:tcPr>
          <w:p w14:paraId="5B13F50C">
            <w:pPr>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费率</w:t>
            </w:r>
          </w:p>
          <w:p w14:paraId="6F2CFC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2688" w:type="dxa"/>
            <w:noWrap w:val="0"/>
            <w:vAlign w:val="center"/>
          </w:tcPr>
          <w:p w14:paraId="61BAFF49">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962" w:type="dxa"/>
            <w:noWrap w:val="0"/>
            <w:vAlign w:val="center"/>
          </w:tcPr>
          <w:p w14:paraId="3A277DB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19" w:type="dxa"/>
            <w:noWrap w:val="0"/>
            <w:vAlign w:val="center"/>
          </w:tcPr>
          <w:p w14:paraId="618ECD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494B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AE094E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2688" w:type="dxa"/>
            <w:noWrap w:val="0"/>
            <w:vAlign w:val="top"/>
          </w:tcPr>
          <w:p w14:paraId="4BDAA67D">
            <w:pPr>
              <w:spacing w:line="360" w:lineRule="auto"/>
              <w:jc w:val="center"/>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962" w:type="dxa"/>
            <w:noWrap w:val="0"/>
            <w:vAlign w:val="top"/>
          </w:tcPr>
          <w:p w14:paraId="468442F4">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19" w:type="dxa"/>
            <w:noWrap w:val="0"/>
            <w:vAlign w:val="top"/>
          </w:tcPr>
          <w:p w14:paraId="11B3CFBC">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1.0%</w:t>
            </w:r>
          </w:p>
        </w:tc>
      </w:tr>
      <w:tr w14:paraId="78B3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CE4E3D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2688" w:type="dxa"/>
            <w:noWrap w:val="0"/>
            <w:vAlign w:val="top"/>
          </w:tcPr>
          <w:p w14:paraId="5CD7496C">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1.1%</w:t>
            </w:r>
          </w:p>
        </w:tc>
        <w:tc>
          <w:tcPr>
            <w:tcW w:w="1962" w:type="dxa"/>
            <w:noWrap w:val="0"/>
            <w:vAlign w:val="top"/>
          </w:tcPr>
          <w:p w14:paraId="12910B4F">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19" w:type="dxa"/>
            <w:noWrap w:val="0"/>
            <w:vAlign w:val="top"/>
          </w:tcPr>
          <w:p w14:paraId="30E1ADED">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0.7%</w:t>
            </w:r>
          </w:p>
        </w:tc>
      </w:tr>
      <w:tr w14:paraId="35B0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EE4645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2688" w:type="dxa"/>
            <w:noWrap w:val="0"/>
            <w:vAlign w:val="top"/>
          </w:tcPr>
          <w:p w14:paraId="1B14F044">
            <w:pPr>
              <w:spacing w:line="360" w:lineRule="auto"/>
              <w:jc w:val="center"/>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962" w:type="dxa"/>
            <w:noWrap w:val="0"/>
            <w:vAlign w:val="top"/>
          </w:tcPr>
          <w:p w14:paraId="0E52A5C5">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19" w:type="dxa"/>
            <w:noWrap w:val="0"/>
            <w:vAlign w:val="top"/>
          </w:tcPr>
          <w:p w14:paraId="4A7B0D79">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3351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681668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2688" w:type="dxa"/>
            <w:noWrap w:val="0"/>
            <w:vAlign w:val="top"/>
          </w:tcPr>
          <w:p w14:paraId="311A1AC3">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0.5%</w:t>
            </w:r>
          </w:p>
        </w:tc>
        <w:tc>
          <w:tcPr>
            <w:tcW w:w="1962" w:type="dxa"/>
            <w:noWrap w:val="0"/>
            <w:vAlign w:val="top"/>
          </w:tcPr>
          <w:p w14:paraId="73562F40">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19" w:type="dxa"/>
            <w:noWrap w:val="0"/>
            <w:vAlign w:val="top"/>
          </w:tcPr>
          <w:p w14:paraId="01FF3006">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0.35%</w:t>
            </w:r>
          </w:p>
        </w:tc>
      </w:tr>
      <w:tr w14:paraId="4FF9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3EA14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2688" w:type="dxa"/>
            <w:noWrap w:val="0"/>
            <w:vAlign w:val="top"/>
          </w:tcPr>
          <w:p w14:paraId="754764BE">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962" w:type="dxa"/>
            <w:noWrap w:val="0"/>
            <w:vAlign w:val="top"/>
          </w:tcPr>
          <w:p w14:paraId="463CE569">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19" w:type="dxa"/>
            <w:noWrap w:val="0"/>
            <w:vAlign w:val="top"/>
          </w:tcPr>
          <w:p w14:paraId="16233D21">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205F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EEF78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2688" w:type="dxa"/>
            <w:noWrap w:val="0"/>
            <w:vAlign w:val="top"/>
          </w:tcPr>
          <w:p w14:paraId="1063A5AB">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0.05%</w:t>
            </w:r>
          </w:p>
        </w:tc>
        <w:tc>
          <w:tcPr>
            <w:tcW w:w="1962" w:type="dxa"/>
            <w:noWrap w:val="0"/>
            <w:vAlign w:val="top"/>
          </w:tcPr>
          <w:p w14:paraId="041C83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19" w:type="dxa"/>
            <w:noWrap w:val="0"/>
            <w:vAlign w:val="top"/>
          </w:tcPr>
          <w:p w14:paraId="2B117DA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0.05%</w:t>
            </w:r>
          </w:p>
        </w:tc>
      </w:tr>
      <w:tr w14:paraId="28EE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846CDD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2688" w:type="dxa"/>
            <w:noWrap w:val="0"/>
            <w:vAlign w:val="top"/>
          </w:tcPr>
          <w:p w14:paraId="7DDE54FD">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962" w:type="dxa"/>
            <w:noWrap w:val="0"/>
            <w:vAlign w:val="top"/>
          </w:tcPr>
          <w:p w14:paraId="24AB23F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19" w:type="dxa"/>
            <w:noWrap w:val="0"/>
            <w:vAlign w:val="top"/>
          </w:tcPr>
          <w:p w14:paraId="0EF6E752">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0.035%</w:t>
            </w:r>
          </w:p>
        </w:tc>
      </w:tr>
      <w:tr w14:paraId="7AE6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49141C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2688" w:type="dxa"/>
            <w:noWrap w:val="0"/>
            <w:vAlign w:val="top"/>
          </w:tcPr>
          <w:p w14:paraId="2D55B830">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962" w:type="dxa"/>
            <w:noWrap w:val="0"/>
            <w:vAlign w:val="top"/>
          </w:tcPr>
          <w:p w14:paraId="47DF39DB">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19" w:type="dxa"/>
            <w:noWrap w:val="0"/>
            <w:vAlign w:val="top"/>
          </w:tcPr>
          <w:p w14:paraId="2ACFBEEC">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r>
      <w:tr w14:paraId="7F70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5CA344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2688" w:type="dxa"/>
            <w:noWrap w:val="0"/>
            <w:vAlign w:val="top"/>
          </w:tcPr>
          <w:p w14:paraId="3449532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962" w:type="dxa"/>
            <w:noWrap w:val="0"/>
            <w:vAlign w:val="top"/>
          </w:tcPr>
          <w:p w14:paraId="744D4F2E">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19" w:type="dxa"/>
            <w:noWrap w:val="0"/>
            <w:vAlign w:val="top"/>
          </w:tcPr>
          <w:p w14:paraId="3A3921D3">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0.006%</w:t>
            </w:r>
          </w:p>
        </w:tc>
      </w:tr>
      <w:tr w14:paraId="256B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2E5F6B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2688" w:type="dxa"/>
            <w:noWrap w:val="0"/>
            <w:vAlign w:val="top"/>
          </w:tcPr>
          <w:p w14:paraId="4A4052A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962" w:type="dxa"/>
            <w:noWrap w:val="0"/>
            <w:vAlign w:val="top"/>
          </w:tcPr>
          <w:p w14:paraId="69BF4FBB">
            <w:pPr>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19" w:type="dxa"/>
            <w:noWrap w:val="0"/>
            <w:vAlign w:val="top"/>
          </w:tcPr>
          <w:p w14:paraId="66E3CD2B">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499804B6">
      <w:pPr>
        <w:spacing w:line="360" w:lineRule="auto"/>
        <w:ind w:firstLine="420" w:firstLineChars="200"/>
        <w:rPr>
          <w:rFonts w:ascii="宋体" w:hAnsi="宋体" w:cs="宋体"/>
          <w:color w:val="auto"/>
          <w:highlight w:val="none"/>
        </w:rPr>
      </w:pPr>
      <w:r>
        <w:rPr>
          <w:rFonts w:ascii="宋体" w:hAnsi="宋体" w:cs="宋体"/>
          <w:color w:val="auto"/>
          <w:highlight w:val="none"/>
        </w:rPr>
        <w:t>注：</w:t>
      </w:r>
    </w:p>
    <w:p w14:paraId="2679D70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6DC45A6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65873D24">
      <w:pPr>
        <w:spacing w:line="360" w:lineRule="auto"/>
        <w:ind w:firstLine="420" w:firstLineChars="20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服务采购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7A27BB13">
      <w:pPr>
        <w:spacing w:line="360" w:lineRule="auto"/>
        <w:ind w:firstLine="420" w:firstLineChars="200"/>
        <w:rPr>
          <w:rFonts w:ascii="宋体" w:hAnsi="宋体" w:cs="宋体"/>
          <w:color w:val="auto"/>
          <w:highlight w:val="none"/>
        </w:rPr>
      </w:pPr>
      <w:r>
        <w:rPr>
          <w:rFonts w:ascii="宋体" w:hAnsi="宋体" w:cs="宋体"/>
          <w:color w:val="auto"/>
          <w:highlight w:val="none"/>
        </w:rPr>
        <w:t>100 万元 ×l.5 %＝ 1.5 万元</w:t>
      </w:r>
    </w:p>
    <w:p w14:paraId="74CED14B">
      <w:pPr>
        <w:spacing w:line="360" w:lineRule="auto"/>
        <w:ind w:firstLine="420" w:firstLineChars="200"/>
        <w:rPr>
          <w:rFonts w:ascii="宋体" w:hAnsi="宋体" w:cs="宋体"/>
          <w:color w:val="auto"/>
          <w:highlight w:val="none"/>
        </w:rPr>
      </w:pPr>
      <w:r>
        <w:rPr>
          <w:rFonts w:ascii="宋体" w:hAnsi="宋体" w:cs="宋体"/>
          <w:color w:val="auto"/>
          <w:highlight w:val="none"/>
        </w:rPr>
        <w:t>（ 150 － 100 ）万元 ×0.8%＝ 0.4万元</w:t>
      </w:r>
    </w:p>
    <w:p w14:paraId="16B99256">
      <w:pPr>
        <w:spacing w:line="360" w:lineRule="auto"/>
        <w:ind w:firstLine="420" w:firstLineChars="200"/>
        <w:rPr>
          <w:rFonts w:ascii="宋体" w:hAnsi="宋体" w:cs="宋体"/>
          <w:color w:val="auto"/>
          <w:highlight w:val="none"/>
        </w:rPr>
      </w:pPr>
      <w:r>
        <w:rPr>
          <w:rFonts w:ascii="宋体" w:hAnsi="宋体" w:cs="宋体"/>
          <w:color w:val="auto"/>
          <w:highlight w:val="none"/>
        </w:rPr>
        <w:t>合计收费＝ 1.5 ＋ 0.4＝ 1.9 万元</w:t>
      </w:r>
    </w:p>
    <w:p w14:paraId="489985F8">
      <w:pPr>
        <w:spacing w:line="360" w:lineRule="auto"/>
        <w:ind w:firstLine="482" w:firstLineChars="200"/>
        <w:outlineLvl w:val="2"/>
        <w:rPr>
          <w:rFonts w:hint="eastAsia" w:ascii="黑体" w:hAnsi="黑体" w:eastAsia="黑体" w:cs="宋体"/>
          <w:b/>
          <w:bCs/>
          <w:color w:val="auto"/>
          <w:sz w:val="24"/>
          <w:highlight w:val="none"/>
        </w:rPr>
      </w:pPr>
      <w:bookmarkStart w:id="108" w:name="_Toc16675"/>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bookmarkEnd w:id="108"/>
    </w:p>
    <w:p w14:paraId="0AE477C6">
      <w:pPr>
        <w:pStyle w:val="19"/>
        <w:spacing w:line="360" w:lineRule="auto"/>
        <w:ind w:firstLine="420" w:firstLineChars="200"/>
        <w:textAlignment w:val="center"/>
        <w:rPr>
          <w:rFonts w:hint="default" w:hAnsi="宋体" w:eastAsia="宋体" w:cs="宋体"/>
          <w:color w:val="auto"/>
          <w:kern w:val="2"/>
          <w:sz w:val="21"/>
          <w:highlight w:val="none"/>
          <w:lang w:val="en-US" w:eastAsia="zh-CN"/>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r>
        <w:rPr>
          <w:rFonts w:hint="eastAsia" w:hAnsi="宋体" w:cs="宋体"/>
          <w:color w:val="auto"/>
          <w:kern w:val="2"/>
          <w:sz w:val="21"/>
          <w:highlight w:val="none"/>
          <w:lang w:val="en-US" w:eastAsia="zh-CN"/>
        </w:rPr>
        <w:t>最终解释权归代理机构。</w:t>
      </w:r>
    </w:p>
    <w:p w14:paraId="4BD3C6CD">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33.2农民工工资保证金见“供应商须知前附表”。</w:t>
      </w:r>
    </w:p>
    <w:p w14:paraId="63EE119F">
      <w:pPr>
        <w:pStyle w:val="19"/>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w:t>
      </w:r>
      <w:r>
        <w:rPr>
          <w:rFonts w:hint="eastAsia" w:hAnsi="宋体" w:cs="宋体"/>
          <w:color w:val="auto"/>
          <w:kern w:val="2"/>
          <w:sz w:val="21"/>
          <w:highlight w:val="none"/>
        </w:rPr>
        <w:t>3 其他事项详见“供应商须知前附表”。</w:t>
      </w:r>
    </w:p>
    <w:p w14:paraId="2E532884">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w:t>
      </w:r>
      <w:r>
        <w:rPr>
          <w:rFonts w:hint="eastAsia" w:hAnsi="宋体" w:cs="宋体"/>
          <w:color w:val="auto"/>
          <w:kern w:val="2"/>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3842E7CC">
      <w:pPr>
        <w:pStyle w:val="19"/>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04732478">
      <w:pPr>
        <w:pStyle w:val="19"/>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7014C8B1">
      <w:pPr>
        <w:pStyle w:val="19"/>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6E84547B">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1EB82B40">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依据本磋商文件规定享受扶持政策获得政府采购合同的，小微企业不得将合同分包给大中型企业，中型企业不得将合同分包给大型企业。</w:t>
      </w:r>
    </w:p>
    <w:p w14:paraId="3EFA14A0">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br w:type="page"/>
      </w:r>
    </w:p>
    <w:p w14:paraId="70525701">
      <w:pPr>
        <w:pStyle w:val="3"/>
        <w:spacing w:line="240" w:lineRule="auto"/>
        <w:jc w:val="center"/>
        <w:rPr>
          <w:rFonts w:hint="eastAsia"/>
          <w:color w:val="auto"/>
          <w:highlight w:val="none"/>
        </w:rPr>
      </w:pPr>
      <w:bookmarkStart w:id="109" w:name="_Toc23562"/>
      <w:r>
        <w:rPr>
          <w:rFonts w:hint="eastAsia"/>
          <w:color w:val="auto"/>
          <w:highlight w:val="none"/>
        </w:rPr>
        <w:t>第三章 采购需求</w:t>
      </w:r>
      <w:bookmarkEnd w:id="109"/>
    </w:p>
    <w:p w14:paraId="3F77D0D7">
      <w:pPr>
        <w:pStyle w:val="19"/>
        <w:spacing w:line="360" w:lineRule="auto"/>
        <w:ind w:firstLine="420" w:firstLineChars="200"/>
        <w:textAlignment w:val="center"/>
        <w:rPr>
          <w:rFonts w:hint="eastAsia" w:ascii="宋体" w:hAnsi="宋体" w:eastAsia="宋体" w:cs="宋体"/>
          <w:color w:val="auto"/>
          <w:kern w:val="2"/>
          <w:sz w:val="21"/>
          <w:highlight w:val="none"/>
        </w:rPr>
      </w:pPr>
      <w:bookmarkStart w:id="110" w:name="_Toc10826"/>
    </w:p>
    <w:bookmarkEnd w:id="110"/>
    <w:p w14:paraId="0936EE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说明：</w:t>
      </w:r>
    </w:p>
    <w:p w14:paraId="31E0947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r>
        <w:rPr>
          <w:rFonts w:hint="eastAsia"/>
          <w:color w:val="auto"/>
          <w:highlight w:val="none"/>
          <w:lang w:eastAsia="zh-CN"/>
        </w:rPr>
        <w:t>：</w:t>
      </w:r>
      <w:r>
        <w:rPr>
          <w:rFonts w:hint="eastAsia" w:ascii="宋体" w:hAnsi="宋体" w:cs="宋体"/>
          <w:color w:val="auto"/>
          <w:szCs w:val="21"/>
          <w:highlight w:val="none"/>
        </w:rPr>
        <w:t>本竞争性磋商采购文件所称中小企业必须符合《政府采购促进中小企业发展管理办法》（财库〔2020〕46号）的规定。</w:t>
      </w:r>
    </w:p>
    <w:p w14:paraId="156BE68C">
      <w:pPr>
        <w:keepNext w:val="0"/>
        <w:keepLines w:val="0"/>
        <w:pageBreakBefore w:val="0"/>
        <w:widowControl w:val="0"/>
        <w:kinsoku/>
        <w:wordWrap/>
        <w:overflowPunct/>
        <w:topLinePunct w:val="0"/>
        <w:autoSpaceDE/>
        <w:autoSpaceDN/>
        <w:bidi w:val="0"/>
        <w:adjustRightInd/>
        <w:snapToGrid/>
        <w:spacing w:line="400" w:lineRule="exact"/>
        <w:ind w:firstLine="413" w:firstLineChars="196"/>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p>
    <w:p w14:paraId="08E25434">
      <w:pPr>
        <w:pStyle w:val="1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color w:val="auto"/>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 xml:space="preserve">. </w:t>
      </w:r>
      <w:r>
        <w:rPr>
          <w:rFonts w:hint="eastAsia"/>
          <w:color w:val="auto"/>
          <w:highlight w:val="none"/>
          <w:lang w:eastAsia="zh-CN"/>
        </w:rPr>
        <w:t>如供应商响应</w:t>
      </w:r>
      <w:r>
        <w:rPr>
          <w:color w:val="auto"/>
          <w:highlight w:val="none"/>
        </w:rPr>
        <w:t>产品</w:t>
      </w:r>
      <w:r>
        <w:rPr>
          <w:rFonts w:hint="eastAsia"/>
          <w:color w:val="auto"/>
          <w:highlight w:val="none"/>
          <w:lang w:eastAsia="zh-CN"/>
        </w:rPr>
        <w:t>存在</w:t>
      </w:r>
      <w:r>
        <w:rPr>
          <w:color w:val="auto"/>
          <w:highlight w:val="none"/>
        </w:rPr>
        <w:t>侵犯</w:t>
      </w:r>
      <w:r>
        <w:rPr>
          <w:rFonts w:hint="eastAsia"/>
          <w:color w:val="auto"/>
          <w:highlight w:val="none"/>
        </w:rPr>
        <w:t>他人的知识产权或者专利成果行为</w:t>
      </w:r>
      <w:r>
        <w:rPr>
          <w:rFonts w:hint="eastAsia"/>
          <w:color w:val="auto"/>
          <w:highlight w:val="none"/>
          <w:lang w:eastAsia="zh-CN"/>
        </w:rPr>
        <w:t>的，应</w:t>
      </w:r>
      <w:r>
        <w:rPr>
          <w:color w:val="auto"/>
          <w:highlight w:val="none"/>
        </w:rPr>
        <w:t>承担相应法律责任</w:t>
      </w:r>
      <w:r>
        <w:rPr>
          <w:rFonts w:hint="eastAsia"/>
          <w:color w:val="auto"/>
          <w:highlight w:val="none"/>
        </w:rPr>
        <w:t>。</w:t>
      </w:r>
    </w:p>
    <w:p w14:paraId="6993629F">
      <w:pPr>
        <w:pStyle w:val="1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b/>
          <w:bCs/>
          <w:color w:val="auto"/>
          <w:highlight w:val="none"/>
          <w:lang w:val="en-US" w:eastAsia="zh-CN"/>
        </w:rPr>
      </w:pPr>
      <w:r>
        <w:rPr>
          <w:rFonts w:hint="eastAsia"/>
          <w:color w:val="auto"/>
          <w:highlight w:val="none"/>
          <w:lang w:val="en-US" w:eastAsia="zh-CN"/>
        </w:rPr>
        <w:t>4.本项目所属行业为：</w:t>
      </w:r>
      <w:r>
        <w:rPr>
          <w:rFonts w:hint="eastAsia"/>
          <w:b/>
          <w:bCs/>
          <w:color w:val="auto"/>
          <w:highlight w:val="none"/>
          <w:lang w:val="en-US" w:eastAsia="zh-CN"/>
        </w:rPr>
        <w:t>建筑业。</w:t>
      </w:r>
    </w:p>
    <w:p w14:paraId="567C4BB7">
      <w:pPr>
        <w:pStyle w:val="13"/>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color w:val="auto"/>
          <w:highlight w:val="none"/>
          <w:lang w:val="en-US" w:eastAsia="zh-CN"/>
        </w:rPr>
      </w:pPr>
      <w:r>
        <w:rPr>
          <w:rFonts w:hint="eastAsia" w:ascii="宋体" w:hAnsi="宋体" w:eastAsia="宋体" w:cs="宋体"/>
          <w:b/>
          <w:bCs/>
          <w:color w:val="auto"/>
          <w:sz w:val="21"/>
          <w:szCs w:val="21"/>
          <w:highlight w:val="none"/>
          <w:lang w:eastAsia="zh-CN"/>
        </w:rPr>
        <w:t>广西物流职业技术学院灾后装饰装修修缮项目</w:t>
      </w:r>
    </w:p>
    <w:p w14:paraId="3B21DBAA">
      <w:pPr>
        <w:pStyle w:val="13"/>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color w:val="auto"/>
          <w:highlight w:val="none"/>
          <w:lang w:val="en-US" w:eastAsia="zh-CN"/>
        </w:rPr>
      </w:pPr>
    </w:p>
    <w:tbl>
      <w:tblPr>
        <w:tblStyle w:val="2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3"/>
        <w:gridCol w:w="1419"/>
        <w:gridCol w:w="258"/>
        <w:gridCol w:w="713"/>
        <w:gridCol w:w="1060"/>
        <w:gridCol w:w="5921"/>
      </w:tblGrid>
      <w:tr w14:paraId="76C57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5" w:type="pct"/>
            <w:noWrap w:val="0"/>
            <w:vAlign w:val="center"/>
          </w:tcPr>
          <w:p w14:paraId="5F3CEBFE">
            <w:pPr>
              <w:tabs>
                <w:tab w:val="left" w:pos="180"/>
                <w:tab w:val="left" w:pos="162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720" w:type="pct"/>
            <w:noWrap w:val="0"/>
            <w:vAlign w:val="center"/>
          </w:tcPr>
          <w:p w14:paraId="3384EBB1">
            <w:pPr>
              <w:tabs>
                <w:tab w:val="left" w:pos="180"/>
                <w:tab w:val="left" w:pos="162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493" w:type="pct"/>
            <w:gridSpan w:val="2"/>
            <w:noWrap w:val="0"/>
            <w:vAlign w:val="center"/>
          </w:tcPr>
          <w:p w14:paraId="4E4E2D9B">
            <w:pPr>
              <w:tabs>
                <w:tab w:val="left" w:pos="180"/>
                <w:tab w:val="left" w:pos="162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538" w:type="pct"/>
            <w:noWrap w:val="0"/>
            <w:vAlign w:val="center"/>
          </w:tcPr>
          <w:p w14:paraId="3056ADE8">
            <w:pPr>
              <w:tabs>
                <w:tab w:val="left" w:pos="180"/>
                <w:tab w:val="left" w:pos="162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71649B9C">
            <w:pPr>
              <w:tabs>
                <w:tab w:val="left" w:pos="180"/>
                <w:tab w:val="left" w:pos="162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3002" w:type="pct"/>
            <w:noWrap w:val="0"/>
            <w:vAlign w:val="center"/>
          </w:tcPr>
          <w:p w14:paraId="7B25577A">
            <w:pPr>
              <w:tabs>
                <w:tab w:val="left" w:pos="180"/>
                <w:tab w:val="left" w:pos="162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技术要求</w:t>
            </w:r>
          </w:p>
        </w:tc>
      </w:tr>
      <w:tr w14:paraId="71DF2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5" w:type="pct"/>
            <w:noWrap w:val="0"/>
            <w:vAlign w:val="center"/>
          </w:tcPr>
          <w:p w14:paraId="68D484A4">
            <w:pPr>
              <w:tabs>
                <w:tab w:val="left" w:pos="180"/>
                <w:tab w:val="left" w:pos="162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20" w:type="pct"/>
            <w:noWrap w:val="0"/>
            <w:vAlign w:val="center"/>
          </w:tcPr>
          <w:p w14:paraId="0F6A0BEC">
            <w:pPr>
              <w:tabs>
                <w:tab w:val="left" w:pos="180"/>
                <w:tab w:val="left" w:pos="1620"/>
              </w:tabs>
              <w:snapToGrid w:val="0"/>
              <w:spacing w:line="360" w:lineRule="auto"/>
              <w:jc w:val="center"/>
              <w:rPr>
                <w:rFonts w:hint="eastAsia" w:ascii="宋体" w:hAnsi="宋体" w:cs="宋体"/>
                <w:color w:val="auto"/>
                <w:szCs w:val="21"/>
                <w:highlight w:val="none"/>
              </w:rPr>
            </w:pPr>
            <w:r>
              <w:rPr>
                <w:rFonts w:hint="eastAsia" w:ascii="宋体" w:hAnsi="宋体" w:eastAsia="宋体" w:cs="宋体"/>
                <w:b/>
                <w:bCs/>
                <w:color w:val="auto"/>
                <w:sz w:val="21"/>
                <w:szCs w:val="21"/>
                <w:highlight w:val="none"/>
                <w:lang w:eastAsia="zh-CN"/>
              </w:rPr>
              <w:t>广西物流职业技术学院灾后装饰装修修缮项目</w:t>
            </w:r>
          </w:p>
        </w:tc>
        <w:tc>
          <w:tcPr>
            <w:tcW w:w="493" w:type="pct"/>
            <w:gridSpan w:val="2"/>
            <w:noWrap w:val="0"/>
            <w:vAlign w:val="center"/>
          </w:tcPr>
          <w:p w14:paraId="5E6B744A">
            <w:pPr>
              <w:tabs>
                <w:tab w:val="left" w:pos="180"/>
                <w:tab w:val="left" w:pos="1620"/>
              </w:tabs>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538" w:type="pct"/>
            <w:noWrap w:val="0"/>
            <w:vAlign w:val="center"/>
          </w:tcPr>
          <w:p w14:paraId="5734563D">
            <w:pPr>
              <w:tabs>
                <w:tab w:val="left" w:pos="180"/>
                <w:tab w:val="left" w:pos="162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3002" w:type="pct"/>
            <w:noWrap w:val="0"/>
            <w:vAlign w:val="center"/>
          </w:tcPr>
          <w:p w14:paraId="6835A69A">
            <w:pPr>
              <w:pStyle w:val="13"/>
              <w:snapToGrid w:val="0"/>
              <w:spacing w:line="440" w:lineRule="exact"/>
              <w:rPr>
                <w:color w:val="auto"/>
                <w:highlight w:val="none"/>
              </w:rPr>
            </w:pPr>
            <w:r>
              <w:rPr>
                <w:rFonts w:hint="eastAsia"/>
                <w:color w:val="auto"/>
                <w:highlight w:val="none"/>
              </w:rPr>
              <w:t>一、工程概况：</w:t>
            </w:r>
          </w:p>
          <w:p w14:paraId="45FEB997">
            <w:pPr>
              <w:pStyle w:val="13"/>
              <w:snapToGrid w:val="0"/>
              <w:spacing w:line="440" w:lineRule="exact"/>
              <w:rPr>
                <w:rFonts w:hint="eastAsia"/>
                <w:color w:val="auto"/>
                <w:highlight w:val="none"/>
              </w:rPr>
            </w:pPr>
            <w:r>
              <w:rPr>
                <w:rFonts w:hint="eastAsia"/>
                <w:color w:val="auto"/>
                <w:highlight w:val="none"/>
              </w:rPr>
              <w:t>（一）项目概况：</w:t>
            </w:r>
            <w:r>
              <w:rPr>
                <w:rFonts w:hint="eastAsia" w:ascii="宋体" w:hAnsi="宋体" w:eastAsia="宋体" w:cs="宋体"/>
                <w:b/>
                <w:bCs/>
                <w:color w:val="auto"/>
                <w:sz w:val="21"/>
                <w:szCs w:val="21"/>
                <w:highlight w:val="none"/>
                <w:lang w:eastAsia="zh-CN"/>
              </w:rPr>
              <w:t>广西物流职业技术学院灾后装饰装修修缮，</w:t>
            </w:r>
            <w:r>
              <w:rPr>
                <w:rFonts w:hint="eastAsia"/>
                <w:color w:val="auto"/>
                <w:highlight w:val="none"/>
              </w:rPr>
              <w:t>主要施工内容包括拆除、</w:t>
            </w:r>
            <w:r>
              <w:rPr>
                <w:rFonts w:hint="eastAsia"/>
                <w:color w:val="auto"/>
                <w:highlight w:val="none"/>
                <w:lang w:val="en-US" w:eastAsia="zh-CN"/>
              </w:rPr>
              <w:t>装修</w:t>
            </w:r>
            <w:r>
              <w:rPr>
                <w:rFonts w:hint="eastAsia"/>
                <w:color w:val="auto"/>
                <w:highlight w:val="none"/>
              </w:rPr>
              <w:t>工程等，具体详见工程量清单。</w:t>
            </w:r>
          </w:p>
          <w:p w14:paraId="039191EE">
            <w:pPr>
              <w:pStyle w:val="13"/>
              <w:snapToGrid w:val="0"/>
              <w:spacing w:line="440" w:lineRule="exact"/>
              <w:rPr>
                <w:rFonts w:hint="eastAsia"/>
                <w:color w:val="auto"/>
                <w:highlight w:val="none"/>
              </w:rPr>
            </w:pPr>
            <w:r>
              <w:rPr>
                <w:rFonts w:hint="eastAsia"/>
                <w:color w:val="auto"/>
                <w:highlight w:val="none"/>
              </w:rPr>
              <w:t>（二）项目地点：</w:t>
            </w:r>
            <w:r>
              <w:rPr>
                <w:rFonts w:hint="eastAsia"/>
                <w:color w:val="auto"/>
                <w:highlight w:val="none"/>
                <w:lang w:eastAsia="zh-CN"/>
              </w:rPr>
              <w:t>【</w:t>
            </w:r>
            <w:r>
              <w:rPr>
                <w:rFonts w:hint="eastAsia"/>
                <w:color w:val="auto"/>
                <w:highlight w:val="none"/>
                <w:lang w:val="en-US" w:eastAsia="zh-CN"/>
              </w:rPr>
              <w:t>贵港市广西物流职业技术学院校内</w:t>
            </w:r>
            <w:r>
              <w:rPr>
                <w:rFonts w:hint="eastAsia"/>
                <w:color w:val="auto"/>
                <w:highlight w:val="none"/>
                <w:lang w:eastAsia="zh-CN"/>
              </w:rPr>
              <w:t>】</w:t>
            </w:r>
            <w:r>
              <w:rPr>
                <w:rFonts w:hint="eastAsia"/>
                <w:color w:val="auto"/>
                <w:highlight w:val="none"/>
              </w:rPr>
              <w:t>。</w:t>
            </w:r>
          </w:p>
          <w:p w14:paraId="785B0B4B">
            <w:pPr>
              <w:pStyle w:val="13"/>
              <w:snapToGrid w:val="0"/>
              <w:spacing w:line="440" w:lineRule="exact"/>
              <w:rPr>
                <w:rFonts w:hint="eastAsia"/>
                <w:color w:val="auto"/>
                <w:highlight w:val="none"/>
              </w:rPr>
            </w:pPr>
            <w:r>
              <w:rPr>
                <w:rFonts w:hint="eastAsia"/>
                <w:color w:val="auto"/>
                <w:highlight w:val="none"/>
              </w:rPr>
              <w:t>（三）采购范围：</w:t>
            </w:r>
            <w:r>
              <w:rPr>
                <w:rFonts w:hint="eastAsia"/>
                <w:color w:val="auto"/>
                <w:highlight w:val="none"/>
              </w:rPr>
              <w:br w:type="textWrapping"/>
            </w:r>
            <w:r>
              <w:rPr>
                <w:rFonts w:hint="eastAsia"/>
                <w:color w:val="auto"/>
                <w:highlight w:val="none"/>
              </w:rPr>
              <w:t xml:space="preserve">       1.实训楼4栋，受淹装修范围一层+二层40cm走廊；</w:t>
            </w:r>
          </w:p>
          <w:p w14:paraId="73ABEA9F">
            <w:pPr>
              <w:pStyle w:val="13"/>
              <w:snapToGrid w:val="0"/>
              <w:spacing w:line="440" w:lineRule="exact"/>
              <w:rPr>
                <w:rFonts w:hint="eastAsia"/>
                <w:color w:val="auto"/>
                <w:highlight w:val="none"/>
              </w:rPr>
            </w:pPr>
            <w:r>
              <w:rPr>
                <w:rFonts w:hint="eastAsia"/>
                <w:color w:val="auto"/>
                <w:highlight w:val="none"/>
              </w:rPr>
              <w:t xml:space="preserve">       2.行政办公楼1栋，受淹装修范围一层（含卫生间铝扣板吊顶）+地下室；</w:t>
            </w:r>
          </w:p>
          <w:p w14:paraId="580164EB">
            <w:pPr>
              <w:pStyle w:val="13"/>
              <w:snapToGrid w:val="0"/>
              <w:spacing w:line="440" w:lineRule="exact"/>
              <w:rPr>
                <w:rFonts w:hint="eastAsia"/>
                <w:color w:val="auto"/>
                <w:highlight w:val="none"/>
              </w:rPr>
            </w:pPr>
            <w:r>
              <w:rPr>
                <w:rFonts w:hint="eastAsia"/>
                <w:color w:val="auto"/>
                <w:highlight w:val="none"/>
              </w:rPr>
              <w:t xml:space="preserve">       3.教学楼4栋（1~4#），受淹装修范围一层（含卫生间铝扣板吊顶）；</w:t>
            </w:r>
          </w:p>
          <w:p w14:paraId="11EE6719">
            <w:pPr>
              <w:pStyle w:val="13"/>
              <w:snapToGrid w:val="0"/>
              <w:spacing w:line="440" w:lineRule="exact"/>
              <w:rPr>
                <w:rFonts w:hint="eastAsia"/>
                <w:color w:val="auto"/>
                <w:highlight w:val="none"/>
              </w:rPr>
            </w:pPr>
            <w:r>
              <w:rPr>
                <w:rFonts w:hint="eastAsia"/>
                <w:color w:val="auto"/>
                <w:highlight w:val="none"/>
              </w:rPr>
              <w:t xml:space="preserve">       4.宿舍楼15栋（1~2,4~16#），受淹装修范围一层+二层40cm；</w:t>
            </w:r>
          </w:p>
          <w:p w14:paraId="0A5FF0E8">
            <w:pPr>
              <w:pStyle w:val="13"/>
              <w:snapToGrid w:val="0"/>
              <w:spacing w:line="440" w:lineRule="exact"/>
              <w:rPr>
                <w:rFonts w:hint="eastAsia"/>
                <w:color w:val="auto"/>
                <w:highlight w:val="none"/>
              </w:rPr>
            </w:pPr>
            <w:r>
              <w:rPr>
                <w:rFonts w:hint="eastAsia"/>
                <w:color w:val="auto"/>
                <w:highlight w:val="none"/>
              </w:rPr>
              <w:t xml:space="preserve">       5.教师公寓1栋（3#，AB单元），受淹装修范围一层（含卫生间铝扣板吊顶）+二层（含卫生间铝扣板吊顶）；</w:t>
            </w:r>
          </w:p>
          <w:p w14:paraId="1ECB883C">
            <w:pPr>
              <w:pStyle w:val="13"/>
              <w:snapToGrid w:val="0"/>
              <w:spacing w:line="440" w:lineRule="exact"/>
              <w:rPr>
                <w:rFonts w:hint="eastAsia"/>
                <w:color w:val="auto"/>
                <w:highlight w:val="none"/>
              </w:rPr>
            </w:pPr>
            <w:r>
              <w:rPr>
                <w:rFonts w:hint="eastAsia"/>
                <w:color w:val="auto"/>
                <w:highlight w:val="none"/>
              </w:rPr>
              <w:t xml:space="preserve">       6.后勤服务中心1栋，受淹装修范围一层（含卫生间铝扣板吊顶）+二层1m；</w:t>
            </w:r>
          </w:p>
          <w:p w14:paraId="037FC6C8">
            <w:pPr>
              <w:pStyle w:val="13"/>
              <w:snapToGrid w:val="0"/>
              <w:spacing w:line="440" w:lineRule="exact"/>
              <w:rPr>
                <w:rFonts w:hint="eastAsia"/>
                <w:color w:val="auto"/>
                <w:highlight w:val="none"/>
              </w:rPr>
            </w:pPr>
            <w:r>
              <w:rPr>
                <w:rFonts w:hint="eastAsia"/>
                <w:color w:val="auto"/>
                <w:highlight w:val="none"/>
              </w:rPr>
              <w:t xml:space="preserve">       7.能源中心1栋，受淹装修范围一层；</w:t>
            </w:r>
          </w:p>
          <w:p w14:paraId="7176E0C6">
            <w:pPr>
              <w:pStyle w:val="13"/>
              <w:snapToGrid w:val="0"/>
              <w:spacing w:line="440" w:lineRule="exact"/>
              <w:rPr>
                <w:rFonts w:hint="eastAsia"/>
                <w:color w:val="auto"/>
                <w:highlight w:val="none"/>
              </w:rPr>
            </w:pPr>
            <w:r>
              <w:rPr>
                <w:rFonts w:hint="eastAsia"/>
                <w:color w:val="auto"/>
                <w:highlight w:val="none"/>
              </w:rPr>
              <w:t xml:space="preserve">       8.学校大门，受淹装修范围一层；</w:t>
            </w:r>
          </w:p>
          <w:p w14:paraId="7ABA44A8">
            <w:pPr>
              <w:pStyle w:val="13"/>
              <w:snapToGrid w:val="0"/>
              <w:spacing w:line="440" w:lineRule="exact"/>
              <w:rPr>
                <w:rFonts w:hint="eastAsia"/>
                <w:color w:val="auto"/>
                <w:highlight w:val="none"/>
              </w:rPr>
            </w:pPr>
            <w:r>
              <w:rPr>
                <w:rFonts w:hint="eastAsia"/>
                <w:color w:val="auto"/>
                <w:highlight w:val="none"/>
              </w:rPr>
              <w:t xml:space="preserve">       9.体育主看台，受淹装修范围一层（含卫生间吊顶）+二层1m；。</w:t>
            </w:r>
          </w:p>
          <w:p w14:paraId="72AE22A3">
            <w:pPr>
              <w:pStyle w:val="13"/>
              <w:snapToGrid w:val="0"/>
              <w:spacing w:line="440" w:lineRule="exact"/>
              <w:ind w:firstLine="840" w:firstLineChars="400"/>
              <w:rPr>
                <w:rFonts w:hint="default" w:eastAsia="宋体"/>
                <w:color w:val="auto"/>
                <w:highlight w:val="none"/>
                <w:lang w:val="en-US" w:eastAsia="zh-CN"/>
              </w:rPr>
            </w:pPr>
            <w:r>
              <w:rPr>
                <w:rFonts w:hint="eastAsia"/>
                <w:color w:val="auto"/>
                <w:highlight w:val="none"/>
                <w:lang w:val="en-US" w:eastAsia="zh-CN"/>
              </w:rPr>
              <w:t>以及工程量清单范围内所有内容。</w:t>
            </w:r>
          </w:p>
          <w:p w14:paraId="345AC147">
            <w:pPr>
              <w:pStyle w:val="13"/>
              <w:snapToGrid w:val="0"/>
              <w:spacing w:line="440" w:lineRule="exact"/>
              <w:rPr>
                <w:rFonts w:hint="eastAsia"/>
                <w:color w:val="auto"/>
                <w:highlight w:val="none"/>
              </w:rPr>
            </w:pPr>
            <w:r>
              <w:rPr>
                <w:rFonts w:hint="eastAsia" w:ascii="宋体" w:hAnsi="宋体" w:cs="宋体"/>
                <w:color w:val="auto"/>
                <w:szCs w:val="21"/>
                <w:highlight w:val="none"/>
              </w:rPr>
              <w:t>▲二</w:t>
            </w:r>
            <w:r>
              <w:rPr>
                <w:rFonts w:hint="eastAsia"/>
                <w:color w:val="auto"/>
                <w:highlight w:val="none"/>
              </w:rPr>
              <w:t>、技术规范：本工程技术范围采用现行建筑工程施工规范、验收标准及强制性标准条文及清单载明的其他有关、国家行业技术标准及规范要求。</w:t>
            </w:r>
          </w:p>
          <w:p w14:paraId="24BBFB38">
            <w:pPr>
              <w:pStyle w:val="13"/>
              <w:snapToGrid w:val="0"/>
              <w:spacing w:line="440" w:lineRule="exact"/>
              <w:rPr>
                <w:rFonts w:hint="eastAsia"/>
                <w:color w:val="auto"/>
                <w:highlight w:val="none"/>
              </w:rPr>
            </w:pPr>
            <w:r>
              <w:rPr>
                <w:rFonts w:hint="eastAsia"/>
                <w:color w:val="auto"/>
                <w:highlight w:val="none"/>
              </w:rPr>
              <w:t>三、质量标准：</w:t>
            </w:r>
            <w:r>
              <w:rPr>
                <w:rFonts w:hint="eastAsia" w:ascii="宋体" w:hAnsi="宋体" w:cs="宋体"/>
                <w:color w:val="auto"/>
                <w:szCs w:val="21"/>
                <w:highlight w:val="none"/>
              </w:rPr>
              <w:t>工程达到验收</w:t>
            </w:r>
            <w:r>
              <w:rPr>
                <w:rFonts w:hint="eastAsia"/>
                <w:color w:val="auto"/>
                <w:highlight w:val="none"/>
              </w:rPr>
              <w:t>合格标准</w:t>
            </w:r>
            <w:r>
              <w:rPr>
                <w:rFonts w:hint="eastAsia"/>
                <w:color w:val="auto"/>
                <w:highlight w:val="none"/>
                <w:lang w:eastAsia="zh-CN"/>
              </w:rPr>
              <w:t>，</w:t>
            </w:r>
            <w:r>
              <w:rPr>
                <w:rFonts w:hint="eastAsia"/>
                <w:color w:val="auto"/>
                <w:highlight w:val="none"/>
                <w:lang w:val="en-US" w:eastAsia="zh-CN"/>
              </w:rPr>
              <w:t>并完全满足采购人使用要求</w:t>
            </w:r>
            <w:r>
              <w:rPr>
                <w:rFonts w:hint="eastAsia"/>
                <w:color w:val="auto"/>
                <w:highlight w:val="none"/>
              </w:rPr>
              <w:t>。</w:t>
            </w:r>
          </w:p>
          <w:p w14:paraId="64FECAF2">
            <w:pPr>
              <w:pStyle w:val="13"/>
              <w:snapToGrid w:val="0"/>
              <w:spacing w:line="440" w:lineRule="exact"/>
              <w:rPr>
                <w:rFonts w:hint="eastAsia"/>
                <w:color w:val="auto"/>
                <w:highlight w:val="none"/>
              </w:rPr>
            </w:pPr>
            <w:r>
              <w:rPr>
                <w:rFonts w:hint="eastAsia"/>
                <w:color w:val="auto"/>
                <w:highlight w:val="none"/>
              </w:rPr>
              <w:t>四、报价方式：工程量清单报价。</w:t>
            </w:r>
          </w:p>
          <w:p w14:paraId="66BC9FB5">
            <w:pPr>
              <w:pStyle w:val="13"/>
              <w:snapToGrid w:val="0"/>
              <w:spacing w:line="440" w:lineRule="exact"/>
              <w:rPr>
                <w:rFonts w:hint="eastAsia"/>
                <w:color w:val="auto"/>
                <w:highlight w:val="none"/>
              </w:rPr>
            </w:pPr>
            <w:r>
              <w:rPr>
                <w:rFonts w:hint="eastAsia"/>
                <w:color w:val="auto"/>
                <w:highlight w:val="none"/>
              </w:rPr>
              <w:t>五、结算方式：采取固定综合单价计价方式，按实际完成工程量结算，成交供应商需在完工后提供结算书等资料进行审核和结算。</w:t>
            </w:r>
          </w:p>
          <w:p w14:paraId="101D1C31">
            <w:pPr>
              <w:pStyle w:val="13"/>
              <w:snapToGrid w:val="0"/>
              <w:spacing w:line="440" w:lineRule="exact"/>
              <w:rPr>
                <w:rFonts w:hint="eastAsia"/>
                <w:color w:val="auto"/>
                <w:highlight w:val="none"/>
              </w:rPr>
            </w:pPr>
            <w:r>
              <w:rPr>
                <w:rFonts w:hint="eastAsia"/>
                <w:color w:val="auto"/>
                <w:highlight w:val="none"/>
              </w:rPr>
              <w:t>六、开工日期：以签订合同后采购人书面通知为准。</w:t>
            </w:r>
          </w:p>
          <w:p w14:paraId="0353586B">
            <w:pPr>
              <w:pStyle w:val="13"/>
              <w:snapToGrid w:val="0"/>
              <w:spacing w:line="440" w:lineRule="exact"/>
              <w:rPr>
                <w:rFonts w:hint="eastAsia"/>
                <w:color w:val="auto"/>
                <w:highlight w:val="none"/>
              </w:rPr>
            </w:pPr>
            <w:r>
              <w:rPr>
                <w:rFonts w:hint="eastAsia"/>
                <w:color w:val="auto"/>
                <w:highlight w:val="none"/>
              </w:rPr>
              <w:t>七、</w:t>
            </w:r>
            <w:r>
              <w:rPr>
                <w:rFonts w:hint="eastAsia" w:ascii="宋体" w:hAnsi="宋体" w:cs="宋体"/>
                <w:color w:val="auto"/>
                <w:szCs w:val="21"/>
                <w:highlight w:val="none"/>
              </w:rPr>
              <w:t>主要人员要求</w:t>
            </w:r>
            <w:r>
              <w:rPr>
                <w:rFonts w:hint="eastAsia"/>
                <w:color w:val="auto"/>
                <w:highlight w:val="none"/>
              </w:rPr>
              <w:t>：拟投入本项目的项目经理1名，技术负责人1名，施工员1名，材料员1名，质量员1名，安全员不少于</w:t>
            </w:r>
            <w:r>
              <w:rPr>
                <w:rFonts w:hint="eastAsia"/>
                <w:color w:val="auto"/>
                <w:highlight w:val="none"/>
                <w:lang w:val="en-US" w:eastAsia="zh-CN"/>
              </w:rPr>
              <w:t>3</w:t>
            </w:r>
            <w:r>
              <w:rPr>
                <w:rFonts w:hint="eastAsia"/>
                <w:color w:val="auto"/>
                <w:highlight w:val="none"/>
              </w:rPr>
              <w:t>名。施工员、质量员、材料员应具有相应施工现场专业人员职业培训合格证书，安全人员提供安全生产考核合格证书（C类）且无在建项目（符合法规规定的特殊情况和桂建管﹝2016﹞70号、桂建管〔2020〕11号文要求的除外）。（必须在响应文件中提供施工员、质量员、材料员、安全员证书复印件和安全人员无在建项目承诺书，否则响应文件按无效响应处理）。</w:t>
            </w:r>
          </w:p>
        </w:tc>
      </w:tr>
      <w:tr w14:paraId="17829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top"/>
          </w:tcPr>
          <w:p w14:paraId="3AEDDBB8">
            <w:pPr>
              <w:snapToGrid w:val="0"/>
              <w:spacing w:line="360" w:lineRule="auto"/>
              <w:rPr>
                <w:rFonts w:ascii="宋体" w:hAnsi="宋体"/>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商务要求</w:t>
            </w:r>
          </w:p>
        </w:tc>
      </w:tr>
      <w:tr w14:paraId="071A1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96" w:type="pct"/>
            <w:gridSpan w:val="3"/>
            <w:tcBorders>
              <w:top w:val="single" w:color="auto" w:sz="4" w:space="0"/>
              <w:left w:val="single" w:color="auto" w:sz="4" w:space="0"/>
              <w:bottom w:val="single" w:color="auto" w:sz="4" w:space="0"/>
              <w:right w:val="single" w:color="auto" w:sz="4" w:space="0"/>
            </w:tcBorders>
            <w:noWrap w:val="0"/>
            <w:vAlign w:val="center"/>
          </w:tcPr>
          <w:p w14:paraId="75874BCB">
            <w:pPr>
              <w:snapToGrid w:val="0"/>
              <w:spacing w:line="400" w:lineRule="exact"/>
              <w:jc w:val="center"/>
              <w:rPr>
                <w:rFonts w:ascii="宋体" w:hAnsi="宋体"/>
                <w:b/>
                <w:color w:val="auto"/>
                <w:szCs w:val="21"/>
                <w:highlight w:val="none"/>
              </w:rPr>
            </w:pPr>
            <w:r>
              <w:rPr>
                <w:rFonts w:hint="eastAsia"/>
                <w:color w:val="auto"/>
                <w:highlight w:val="none"/>
              </w:rPr>
              <w:t>合同签订期</w:t>
            </w:r>
          </w:p>
        </w:tc>
        <w:tc>
          <w:tcPr>
            <w:tcW w:w="3903" w:type="pct"/>
            <w:gridSpan w:val="3"/>
            <w:tcBorders>
              <w:top w:val="single" w:color="auto" w:sz="4" w:space="0"/>
              <w:left w:val="single" w:color="auto" w:sz="4" w:space="0"/>
              <w:bottom w:val="single" w:color="auto" w:sz="4" w:space="0"/>
              <w:right w:val="single" w:color="auto" w:sz="4" w:space="0"/>
            </w:tcBorders>
            <w:noWrap w:val="0"/>
            <w:vAlign w:val="center"/>
          </w:tcPr>
          <w:p w14:paraId="1FCC7936">
            <w:pPr>
              <w:snapToGrid w:val="0"/>
              <w:spacing w:line="400" w:lineRule="exact"/>
              <w:rPr>
                <w:rFonts w:ascii="宋体" w:hAnsi="宋体"/>
                <w:b/>
                <w:color w:val="auto"/>
                <w:szCs w:val="21"/>
                <w:highlight w:val="none"/>
              </w:rPr>
            </w:pPr>
            <w:r>
              <w:rPr>
                <w:rFonts w:hint="eastAsia"/>
                <w:b/>
                <w:bCs/>
                <w:color w:val="auto"/>
                <w:highlight w:val="none"/>
              </w:rPr>
              <w:t>自成交通知书发出之日起</w:t>
            </w:r>
            <w:r>
              <w:rPr>
                <w:rFonts w:hint="eastAsia"/>
                <w:b/>
                <w:bCs/>
                <w:color w:val="auto"/>
                <w:highlight w:val="none"/>
                <w:lang w:val="en-US" w:eastAsia="zh-CN"/>
              </w:rPr>
              <w:t>10</w:t>
            </w:r>
            <w:r>
              <w:rPr>
                <w:rFonts w:hint="eastAsia"/>
                <w:b/>
                <w:bCs/>
                <w:color w:val="auto"/>
                <w:highlight w:val="none"/>
              </w:rPr>
              <w:t>日内</w:t>
            </w:r>
            <w:r>
              <w:rPr>
                <w:rFonts w:hint="eastAsia"/>
                <w:color w:val="auto"/>
                <w:highlight w:val="none"/>
              </w:rPr>
              <w:t>。</w:t>
            </w:r>
          </w:p>
        </w:tc>
      </w:tr>
      <w:tr w14:paraId="327AC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96" w:type="pct"/>
            <w:gridSpan w:val="3"/>
            <w:tcBorders>
              <w:top w:val="single" w:color="auto" w:sz="4" w:space="0"/>
              <w:left w:val="single" w:color="auto" w:sz="4" w:space="0"/>
              <w:bottom w:val="single" w:color="auto" w:sz="4" w:space="0"/>
              <w:right w:val="single" w:color="auto" w:sz="4" w:space="0"/>
            </w:tcBorders>
            <w:noWrap w:val="0"/>
            <w:vAlign w:val="center"/>
          </w:tcPr>
          <w:p w14:paraId="0AACBBDB">
            <w:pPr>
              <w:snapToGrid w:val="0"/>
              <w:spacing w:line="400" w:lineRule="exact"/>
              <w:jc w:val="center"/>
              <w:rPr>
                <w:rFonts w:ascii="宋体" w:hAnsi="宋体"/>
                <w:b/>
                <w:color w:val="auto"/>
                <w:szCs w:val="21"/>
                <w:highlight w:val="none"/>
              </w:rPr>
            </w:pPr>
            <w:r>
              <w:rPr>
                <w:rFonts w:hint="eastAsia" w:ascii="宋体" w:hAnsi="宋体"/>
                <w:color w:val="auto"/>
                <w:szCs w:val="21"/>
                <w:highlight w:val="none"/>
              </w:rPr>
              <w:t>施工</w:t>
            </w:r>
            <w:r>
              <w:rPr>
                <w:rFonts w:hint="eastAsia" w:ascii="宋体" w:hAnsi="宋体" w:cs="宋体"/>
                <w:color w:val="auto"/>
                <w:szCs w:val="21"/>
                <w:highlight w:val="none"/>
              </w:rPr>
              <w:t>工期</w:t>
            </w:r>
          </w:p>
        </w:tc>
        <w:tc>
          <w:tcPr>
            <w:tcW w:w="3903" w:type="pct"/>
            <w:gridSpan w:val="3"/>
            <w:tcBorders>
              <w:top w:val="single" w:color="auto" w:sz="4" w:space="0"/>
              <w:left w:val="single" w:color="auto" w:sz="4" w:space="0"/>
              <w:bottom w:val="single" w:color="auto" w:sz="4" w:space="0"/>
              <w:right w:val="single" w:color="auto" w:sz="4" w:space="0"/>
            </w:tcBorders>
            <w:noWrap w:val="0"/>
            <w:vAlign w:val="center"/>
          </w:tcPr>
          <w:p w14:paraId="57FB1AEA">
            <w:pPr>
              <w:snapToGrid w:val="0"/>
              <w:spacing w:line="400" w:lineRule="exact"/>
              <w:rPr>
                <w:rFonts w:ascii="宋体" w:hAnsi="宋体"/>
                <w:b/>
                <w:color w:val="auto"/>
                <w:szCs w:val="21"/>
                <w:highlight w:val="none"/>
              </w:rPr>
            </w:pPr>
            <w:r>
              <w:rPr>
                <w:rFonts w:hint="eastAsia" w:ascii="宋体" w:hAnsi="宋体" w:cs="宋体"/>
                <w:color w:val="auto"/>
                <w:szCs w:val="21"/>
                <w:highlight w:val="none"/>
              </w:rPr>
              <w:t>合同工期要求：</w:t>
            </w:r>
            <w:r>
              <w:rPr>
                <w:rFonts w:hint="eastAsia" w:ascii="宋体" w:hAnsi="宋体"/>
                <w:color w:val="auto"/>
                <w:szCs w:val="21"/>
                <w:highlight w:val="none"/>
              </w:rPr>
              <w:t>合同签订</w:t>
            </w:r>
            <w:r>
              <w:rPr>
                <w:rFonts w:hint="eastAsia" w:ascii="宋体" w:hAnsi="宋体"/>
                <w:color w:val="auto"/>
                <w:szCs w:val="21"/>
                <w:highlight w:val="none"/>
                <w:lang w:val="en-US" w:eastAsia="zh-CN"/>
              </w:rPr>
              <w:t>后自采购人发出开工通知</w:t>
            </w:r>
            <w:r>
              <w:rPr>
                <w:rFonts w:hint="eastAsia" w:ascii="宋体" w:hAnsi="宋体"/>
                <w:color w:val="auto"/>
                <w:szCs w:val="21"/>
                <w:highlight w:val="none"/>
              </w:rPr>
              <w:t xml:space="preserve">之日起 </w:t>
            </w:r>
            <w:r>
              <w:rPr>
                <w:rFonts w:hint="eastAsia" w:ascii="宋体" w:hAnsi="宋体"/>
                <w:color w:val="auto"/>
                <w:szCs w:val="21"/>
                <w:highlight w:val="none"/>
                <w:lang w:eastAsia="zh-CN"/>
              </w:rPr>
              <w:t>25</w:t>
            </w:r>
            <w:r>
              <w:rPr>
                <w:rFonts w:hint="eastAsia" w:ascii="宋体" w:hAnsi="宋体"/>
                <w:color w:val="auto"/>
                <w:szCs w:val="21"/>
                <w:highlight w:val="none"/>
              </w:rPr>
              <w:t xml:space="preserve"> 个日历天</w:t>
            </w:r>
            <w:r>
              <w:rPr>
                <w:rFonts w:hint="eastAsia" w:ascii="宋体" w:hAnsi="宋体"/>
                <w:color w:val="auto"/>
                <w:szCs w:val="21"/>
                <w:highlight w:val="none"/>
                <w:lang w:eastAsia="zh-CN"/>
              </w:rPr>
              <w:t>内完成工程量清范围内全部工作并通过验收、交付使用</w:t>
            </w:r>
            <w:r>
              <w:rPr>
                <w:rFonts w:hint="eastAsia" w:ascii="宋体" w:hAnsi="宋体" w:cs="宋体"/>
                <w:color w:val="auto"/>
                <w:szCs w:val="21"/>
                <w:highlight w:val="none"/>
              </w:rPr>
              <w:t>。</w:t>
            </w:r>
          </w:p>
        </w:tc>
      </w:tr>
      <w:tr w14:paraId="1D2F7F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96" w:type="pct"/>
            <w:gridSpan w:val="3"/>
            <w:tcBorders>
              <w:top w:val="single" w:color="auto" w:sz="4" w:space="0"/>
              <w:left w:val="single" w:color="auto" w:sz="4" w:space="0"/>
              <w:bottom w:val="single" w:color="auto" w:sz="4" w:space="0"/>
              <w:right w:val="single" w:color="auto" w:sz="4" w:space="0"/>
            </w:tcBorders>
            <w:noWrap w:val="0"/>
            <w:vAlign w:val="center"/>
          </w:tcPr>
          <w:p w14:paraId="3D5D196F">
            <w:pPr>
              <w:snapToGrid w:val="0"/>
              <w:spacing w:line="400" w:lineRule="exact"/>
              <w:jc w:val="center"/>
              <w:rPr>
                <w:rFonts w:ascii="宋体" w:hAnsi="宋体"/>
                <w:b/>
                <w:color w:val="auto"/>
                <w:szCs w:val="21"/>
                <w:highlight w:val="none"/>
              </w:rPr>
            </w:pPr>
            <w:r>
              <w:rPr>
                <w:rFonts w:hint="eastAsia" w:ascii="宋体" w:hAnsi="宋体"/>
                <w:color w:val="auto"/>
                <w:szCs w:val="21"/>
                <w:highlight w:val="none"/>
              </w:rPr>
              <w:t>承包方式</w:t>
            </w:r>
          </w:p>
        </w:tc>
        <w:tc>
          <w:tcPr>
            <w:tcW w:w="3903" w:type="pct"/>
            <w:gridSpan w:val="3"/>
            <w:tcBorders>
              <w:top w:val="single" w:color="auto" w:sz="4" w:space="0"/>
              <w:left w:val="single" w:color="auto" w:sz="4" w:space="0"/>
              <w:bottom w:val="single" w:color="auto" w:sz="4" w:space="0"/>
              <w:right w:val="single" w:color="auto" w:sz="4" w:space="0"/>
            </w:tcBorders>
            <w:noWrap w:val="0"/>
            <w:vAlign w:val="center"/>
          </w:tcPr>
          <w:p w14:paraId="222F51B1">
            <w:pPr>
              <w:snapToGrid w:val="0"/>
              <w:spacing w:line="400" w:lineRule="exact"/>
              <w:rPr>
                <w:rFonts w:ascii="宋体" w:hAnsi="宋体"/>
                <w:b/>
                <w:color w:val="auto"/>
                <w:szCs w:val="21"/>
                <w:highlight w:val="none"/>
              </w:rPr>
            </w:pPr>
            <w:r>
              <w:rPr>
                <w:rFonts w:hint="eastAsia" w:ascii="宋体" w:hAnsi="宋体" w:cs="宋体"/>
                <w:color w:val="auto"/>
                <w:szCs w:val="21"/>
                <w:highlight w:val="none"/>
              </w:rPr>
              <w:t>包工包料</w:t>
            </w:r>
          </w:p>
        </w:tc>
      </w:tr>
      <w:tr w14:paraId="013959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96" w:type="pct"/>
            <w:gridSpan w:val="3"/>
            <w:tcBorders>
              <w:top w:val="single" w:color="auto" w:sz="4" w:space="0"/>
              <w:left w:val="single" w:color="auto" w:sz="4" w:space="0"/>
              <w:bottom w:val="single" w:color="auto" w:sz="4" w:space="0"/>
              <w:right w:val="single" w:color="auto" w:sz="4" w:space="0"/>
            </w:tcBorders>
            <w:noWrap w:val="0"/>
            <w:vAlign w:val="center"/>
          </w:tcPr>
          <w:p w14:paraId="347AD7B0">
            <w:pPr>
              <w:snapToGrid w:val="0"/>
              <w:spacing w:line="400" w:lineRule="exact"/>
              <w:jc w:val="center"/>
              <w:rPr>
                <w:rFonts w:ascii="宋体" w:hAnsi="宋体"/>
                <w:b/>
                <w:color w:val="auto"/>
                <w:szCs w:val="21"/>
                <w:highlight w:val="none"/>
              </w:rPr>
            </w:pPr>
            <w:r>
              <w:rPr>
                <w:rFonts w:hint="eastAsia" w:ascii="宋体" w:hAnsi="宋体" w:cs="宋体"/>
                <w:color w:val="auto"/>
                <w:szCs w:val="21"/>
                <w:highlight w:val="none"/>
              </w:rPr>
              <w:t>质量保修期</w:t>
            </w:r>
          </w:p>
        </w:tc>
        <w:tc>
          <w:tcPr>
            <w:tcW w:w="3903" w:type="pct"/>
            <w:gridSpan w:val="3"/>
            <w:tcBorders>
              <w:top w:val="single" w:color="auto" w:sz="4" w:space="0"/>
              <w:left w:val="single" w:color="auto" w:sz="4" w:space="0"/>
              <w:bottom w:val="single" w:color="auto" w:sz="4" w:space="0"/>
              <w:right w:val="single" w:color="auto" w:sz="4" w:space="0"/>
            </w:tcBorders>
            <w:noWrap w:val="0"/>
            <w:vAlign w:val="center"/>
          </w:tcPr>
          <w:p w14:paraId="652BA0D4">
            <w:pPr>
              <w:snapToGrid w:val="0"/>
              <w:spacing w:line="400" w:lineRule="exact"/>
              <w:rPr>
                <w:rFonts w:ascii="宋体" w:hAnsi="宋体"/>
                <w:b/>
                <w:color w:val="auto"/>
                <w:szCs w:val="21"/>
                <w:highlight w:val="none"/>
              </w:rPr>
            </w:pPr>
            <w:r>
              <w:rPr>
                <w:rFonts w:hint="eastAsia" w:ascii="宋体" w:hAnsi="宋体" w:cs="宋体"/>
                <w:color w:val="auto"/>
                <w:szCs w:val="21"/>
                <w:highlight w:val="none"/>
              </w:rPr>
              <w:t>全部工程查验合格（终验）之日起二年。</w:t>
            </w:r>
          </w:p>
        </w:tc>
      </w:tr>
      <w:tr w14:paraId="6AF946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96" w:type="pct"/>
            <w:gridSpan w:val="3"/>
            <w:tcBorders>
              <w:top w:val="single" w:color="auto" w:sz="4" w:space="0"/>
              <w:left w:val="single" w:color="auto" w:sz="4" w:space="0"/>
              <w:bottom w:val="single" w:color="auto" w:sz="4" w:space="0"/>
              <w:right w:val="single" w:color="auto" w:sz="4" w:space="0"/>
            </w:tcBorders>
            <w:noWrap w:val="0"/>
            <w:vAlign w:val="center"/>
          </w:tcPr>
          <w:p w14:paraId="2528C2DE">
            <w:pPr>
              <w:snapToGrid w:val="0"/>
              <w:spacing w:line="400" w:lineRule="exact"/>
              <w:jc w:val="center"/>
              <w:rPr>
                <w:rFonts w:ascii="宋体" w:hAnsi="宋体"/>
                <w:b/>
                <w:color w:val="auto"/>
                <w:szCs w:val="21"/>
                <w:highlight w:val="none"/>
              </w:rPr>
            </w:pPr>
            <w:r>
              <w:rPr>
                <w:rFonts w:hint="eastAsia" w:ascii="宋体" w:hAnsi="宋体" w:cs="宋体"/>
                <w:color w:val="auto"/>
                <w:szCs w:val="21"/>
                <w:highlight w:val="none"/>
              </w:rPr>
              <w:t>缺陷责任期</w:t>
            </w:r>
          </w:p>
        </w:tc>
        <w:tc>
          <w:tcPr>
            <w:tcW w:w="3903" w:type="pct"/>
            <w:gridSpan w:val="3"/>
            <w:tcBorders>
              <w:top w:val="single" w:color="auto" w:sz="4" w:space="0"/>
              <w:left w:val="single" w:color="auto" w:sz="4" w:space="0"/>
              <w:bottom w:val="single" w:color="auto" w:sz="4" w:space="0"/>
              <w:right w:val="single" w:color="auto" w:sz="4" w:space="0"/>
            </w:tcBorders>
            <w:noWrap w:val="0"/>
            <w:vAlign w:val="center"/>
          </w:tcPr>
          <w:p w14:paraId="6D9F117C">
            <w:pPr>
              <w:snapToGrid w:val="0"/>
              <w:spacing w:line="400" w:lineRule="exact"/>
              <w:rPr>
                <w:rFonts w:ascii="宋体" w:hAnsi="宋体"/>
                <w:b/>
                <w:color w:val="auto"/>
                <w:szCs w:val="21"/>
                <w:highlight w:val="none"/>
              </w:rPr>
            </w:pPr>
            <w:r>
              <w:rPr>
                <w:rFonts w:hint="eastAsia" w:ascii="宋体" w:hAnsi="宋体" w:cs="宋体"/>
                <w:color w:val="auto"/>
                <w:szCs w:val="21"/>
                <w:highlight w:val="none"/>
              </w:rPr>
              <w:t>工程缺陷责任期为24个月（最长不超过24个月），缺陷责任期自工程竣工查验合格之日起计算。单位工程先于全部工程进行查验，单位工程缺陷责任期自单位工程查验合格之日起算。</w:t>
            </w:r>
          </w:p>
        </w:tc>
      </w:tr>
      <w:tr w14:paraId="6E3067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96" w:type="pct"/>
            <w:gridSpan w:val="3"/>
            <w:tcBorders>
              <w:top w:val="single" w:color="auto" w:sz="4" w:space="0"/>
              <w:left w:val="single" w:color="auto" w:sz="4" w:space="0"/>
              <w:bottom w:val="single" w:color="auto" w:sz="4" w:space="0"/>
              <w:right w:val="single" w:color="auto" w:sz="4" w:space="0"/>
            </w:tcBorders>
            <w:noWrap w:val="0"/>
            <w:vAlign w:val="center"/>
          </w:tcPr>
          <w:p w14:paraId="0D967DD3">
            <w:pPr>
              <w:snapToGrid w:val="0"/>
              <w:spacing w:line="400" w:lineRule="exact"/>
              <w:jc w:val="center"/>
              <w:rPr>
                <w:rFonts w:ascii="宋体" w:hAnsi="宋体"/>
                <w:b/>
                <w:color w:val="auto"/>
                <w:szCs w:val="21"/>
                <w:highlight w:val="none"/>
              </w:rPr>
            </w:pPr>
            <w:r>
              <w:rPr>
                <w:rFonts w:hint="eastAsia" w:ascii="宋体" w:hAnsi="宋体"/>
                <w:color w:val="auto"/>
                <w:szCs w:val="21"/>
                <w:highlight w:val="none"/>
              </w:rPr>
              <w:t>工程款支付</w:t>
            </w:r>
          </w:p>
        </w:tc>
        <w:tc>
          <w:tcPr>
            <w:tcW w:w="3903" w:type="pct"/>
            <w:gridSpan w:val="3"/>
            <w:tcBorders>
              <w:top w:val="single" w:color="auto" w:sz="4" w:space="0"/>
              <w:left w:val="single" w:color="auto" w:sz="4" w:space="0"/>
              <w:bottom w:val="single" w:color="auto" w:sz="4" w:space="0"/>
              <w:right w:val="single" w:color="auto" w:sz="4" w:space="0"/>
            </w:tcBorders>
            <w:noWrap w:val="0"/>
            <w:vAlign w:val="center"/>
          </w:tcPr>
          <w:p w14:paraId="1490E945">
            <w:pPr>
              <w:snapToGrid w:val="0"/>
              <w:spacing w:line="400" w:lineRule="exact"/>
              <w:rPr>
                <w:rFonts w:hint="eastAsia" w:ascii="宋体" w:hAnsi="宋体"/>
                <w:b/>
                <w:color w:val="auto"/>
                <w:szCs w:val="21"/>
                <w:highlight w:val="none"/>
              </w:rPr>
            </w:pPr>
            <w:r>
              <w:rPr>
                <w:rFonts w:hint="eastAsia" w:ascii="宋体" w:hAnsi="宋体" w:cs="宋体"/>
                <w:snapToGrid w:val="0"/>
                <w:color w:val="auto"/>
                <w:kern w:val="0"/>
                <w:szCs w:val="21"/>
                <w:highlight w:val="none"/>
                <w:u w:val="single"/>
              </w:rPr>
              <w:t xml:space="preserve"> </w:t>
            </w:r>
            <w:r>
              <w:rPr>
                <w:rFonts w:hint="eastAsia" w:ascii="宋体" w:hAnsi="宋体" w:eastAsia="宋体" w:cs="宋体"/>
                <w:color w:val="auto"/>
                <w:szCs w:val="22"/>
                <w:highlight w:val="none"/>
                <w:u w:val="single"/>
                <w:lang w:eastAsia="zh-CN"/>
              </w:rPr>
              <w:t>无预付款，竣工验收合格之后，支付金额总额至合同价款（扣除暂列金额）的</w:t>
            </w:r>
            <w:r>
              <w:rPr>
                <w:rFonts w:hint="eastAsia" w:ascii="宋体" w:hAnsi="宋体" w:eastAsia="宋体" w:cs="宋体"/>
                <w:color w:val="auto"/>
                <w:szCs w:val="22"/>
                <w:highlight w:val="none"/>
                <w:u w:val="single"/>
                <w:lang w:val="en-US" w:eastAsia="zh-CN"/>
              </w:rPr>
              <w:t>8</w:t>
            </w:r>
            <w:r>
              <w:rPr>
                <w:rFonts w:hint="eastAsia" w:ascii="宋体" w:hAnsi="宋体" w:eastAsia="宋体" w:cs="宋体"/>
                <w:color w:val="auto"/>
                <w:szCs w:val="22"/>
                <w:highlight w:val="none"/>
                <w:u w:val="single"/>
                <w:lang w:eastAsia="zh-CN"/>
              </w:rPr>
              <w:t>0%，中标人提交竣工资料及结算资料，结算经发包人选定的工程造价咨询机构审定后，工程款支付至结算总价的100%（含已支付的），同时承包人按工程价款结算总额的3% 缴纳工程质量保修金。工程质量保修金在工程竣工验收合格之日起至质量保修期满1年并经甲方验收合格后退还（含已扣除应该扣除的费用后，不含息）。中标人在向采购人申请工程款时，须开具同等金额发票给</w:t>
            </w:r>
            <w:r>
              <w:rPr>
                <w:rFonts w:hint="eastAsia" w:ascii="宋体" w:hAnsi="宋体" w:eastAsia="宋体" w:cs="宋体"/>
                <w:color w:val="auto"/>
                <w:szCs w:val="22"/>
                <w:highlight w:val="none"/>
                <w:u w:val="single"/>
                <w:lang w:val="en-US" w:eastAsia="zh-CN"/>
              </w:rPr>
              <w:t>采购</w:t>
            </w:r>
            <w:r>
              <w:rPr>
                <w:rFonts w:hint="eastAsia" w:ascii="宋体" w:hAnsi="宋体" w:eastAsia="宋体" w:cs="宋体"/>
                <w:color w:val="auto"/>
                <w:szCs w:val="22"/>
                <w:highlight w:val="none"/>
                <w:u w:val="single"/>
                <w:lang w:eastAsia="zh-CN"/>
              </w:rPr>
              <w:t>人，</w:t>
            </w:r>
            <w:r>
              <w:rPr>
                <w:rFonts w:hint="eastAsia" w:ascii="宋体" w:hAnsi="宋体" w:eastAsia="宋体" w:cs="宋体"/>
                <w:color w:val="auto"/>
                <w:szCs w:val="22"/>
                <w:highlight w:val="none"/>
                <w:u w:val="single"/>
                <w:lang w:val="en-US" w:eastAsia="zh-CN"/>
              </w:rPr>
              <w:t>采购</w:t>
            </w:r>
            <w:r>
              <w:rPr>
                <w:rFonts w:hint="eastAsia" w:ascii="宋体" w:hAnsi="宋体" w:eastAsia="宋体" w:cs="宋体"/>
                <w:color w:val="auto"/>
                <w:szCs w:val="22"/>
                <w:highlight w:val="none"/>
                <w:u w:val="single"/>
                <w:lang w:eastAsia="zh-CN"/>
              </w:rPr>
              <w:t>人在收到发票后30个日历日内按规定提交财政支付</w:t>
            </w:r>
          </w:p>
        </w:tc>
      </w:tr>
      <w:tr w14:paraId="199686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96" w:type="pct"/>
            <w:gridSpan w:val="3"/>
            <w:tcBorders>
              <w:top w:val="single" w:color="auto" w:sz="4" w:space="0"/>
              <w:left w:val="single" w:color="auto" w:sz="4" w:space="0"/>
              <w:bottom w:val="single" w:color="auto" w:sz="4" w:space="0"/>
              <w:right w:val="single" w:color="auto" w:sz="4" w:space="0"/>
            </w:tcBorders>
            <w:noWrap w:val="0"/>
            <w:vAlign w:val="center"/>
          </w:tcPr>
          <w:p w14:paraId="3499CF6B">
            <w:pPr>
              <w:snapToGrid w:val="0"/>
              <w:spacing w:line="400" w:lineRule="exact"/>
              <w:jc w:val="center"/>
              <w:rPr>
                <w:rFonts w:ascii="宋体" w:hAnsi="宋体"/>
                <w:b/>
                <w:color w:val="auto"/>
                <w:szCs w:val="21"/>
                <w:highlight w:val="none"/>
              </w:rPr>
            </w:pPr>
            <w:r>
              <w:rPr>
                <w:rFonts w:hint="eastAsia" w:ascii="宋体" w:hAnsi="宋体"/>
                <w:color w:val="auto"/>
                <w:szCs w:val="21"/>
                <w:highlight w:val="none"/>
              </w:rPr>
              <w:t>其他要求</w:t>
            </w:r>
          </w:p>
        </w:tc>
        <w:tc>
          <w:tcPr>
            <w:tcW w:w="3903" w:type="pct"/>
            <w:gridSpan w:val="3"/>
            <w:tcBorders>
              <w:top w:val="single" w:color="auto" w:sz="4" w:space="0"/>
              <w:left w:val="single" w:color="auto" w:sz="4" w:space="0"/>
              <w:bottom w:val="single" w:color="auto" w:sz="4" w:space="0"/>
              <w:right w:val="single" w:color="auto" w:sz="4" w:space="0"/>
            </w:tcBorders>
            <w:noWrap w:val="0"/>
            <w:vAlign w:val="center"/>
          </w:tcPr>
          <w:p w14:paraId="0158359E">
            <w:pPr>
              <w:snapToGrid w:val="0"/>
              <w:spacing w:line="400" w:lineRule="exact"/>
              <w:ind w:firstLine="420" w:firstLineChars="200"/>
              <w:jc w:val="left"/>
              <w:rPr>
                <w:rFonts w:hint="eastAsia" w:hAnsi="宋体" w:cs="宋体"/>
                <w:color w:val="auto"/>
                <w:szCs w:val="22"/>
                <w:highlight w:val="none"/>
              </w:rPr>
            </w:pPr>
            <w:r>
              <w:rPr>
                <w:rFonts w:hint="eastAsia" w:hAnsi="宋体" w:cs="宋体"/>
                <w:color w:val="auto"/>
                <w:szCs w:val="22"/>
                <w:highlight w:val="none"/>
              </w:rPr>
              <w:t>（1）成交人提供的货物或服务如侵犯了第三方合法权益而引发的任何纠纷或诉讼，均由成交人负表交涉且承担全部赔偿责任，包括因知识产权造成采购人的经济损失。</w:t>
            </w:r>
          </w:p>
          <w:p w14:paraId="61FC12CF">
            <w:pPr>
              <w:snapToGrid w:val="0"/>
              <w:spacing w:line="400" w:lineRule="exact"/>
              <w:ind w:firstLine="420" w:firstLineChars="200"/>
              <w:jc w:val="left"/>
              <w:rPr>
                <w:rFonts w:ascii="宋体" w:hAnsi="宋体" w:cs="宋体"/>
                <w:color w:val="auto"/>
                <w:szCs w:val="21"/>
                <w:highlight w:val="none"/>
              </w:rPr>
            </w:pPr>
            <w:r>
              <w:rPr>
                <w:rFonts w:hint="eastAsia" w:hAnsi="宋体" w:cs="宋体"/>
                <w:color w:val="auto"/>
                <w:szCs w:val="22"/>
                <w:highlight w:val="none"/>
              </w:rPr>
              <w:t>（2）发生不可抗力情况(指合同双方不能预见，不能避免且不能克服的客观情况。)处理：任何一方对由于不可抗力造成的部分或全部不能履行约定(合同)不承担违约表任。但迟延履行后发生不可抗力的，不能免除责任。遇有不可抗力的一方，应及时将事件情况正式告知另一方，并在事件发生后及时向另一方提交合同不能履行或部分不能履行或需要延期履行的说明报告，以及证明不可抗力发生及其持续时间的证据。</w:t>
            </w:r>
          </w:p>
        </w:tc>
      </w:tr>
      <w:tr w14:paraId="0D87D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06D4ABBF">
            <w:pPr>
              <w:snapToGrid w:val="0"/>
              <w:spacing w:line="360" w:lineRule="auto"/>
              <w:rPr>
                <w:rFonts w:ascii="宋体" w:hAnsi="宋体"/>
                <w:color w:val="auto"/>
                <w:szCs w:val="21"/>
                <w:highlight w:val="none"/>
              </w:rPr>
            </w:pPr>
            <w:r>
              <w:rPr>
                <w:rFonts w:hint="eastAsia" w:ascii="宋体" w:hAnsi="宋体"/>
                <w:b/>
                <w:color w:val="auto"/>
                <w:szCs w:val="21"/>
                <w:highlight w:val="none"/>
              </w:rPr>
              <w:t>其他要求</w:t>
            </w:r>
          </w:p>
        </w:tc>
      </w:tr>
      <w:tr w14:paraId="53EFC0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96" w:type="pct"/>
            <w:gridSpan w:val="3"/>
            <w:tcBorders>
              <w:top w:val="single" w:color="auto" w:sz="4" w:space="0"/>
              <w:left w:val="single" w:color="auto" w:sz="4" w:space="0"/>
              <w:bottom w:val="single" w:color="auto" w:sz="4" w:space="0"/>
              <w:right w:val="single" w:color="auto" w:sz="4" w:space="0"/>
            </w:tcBorders>
            <w:noWrap w:val="0"/>
            <w:vAlign w:val="center"/>
          </w:tcPr>
          <w:p w14:paraId="4490F6A5">
            <w:pPr>
              <w:snapToGrid w:val="0"/>
              <w:spacing w:line="400" w:lineRule="exact"/>
              <w:jc w:val="center"/>
              <w:rPr>
                <w:rFonts w:ascii="宋体" w:hAnsi="宋体"/>
                <w:b/>
                <w:color w:val="auto"/>
                <w:szCs w:val="21"/>
                <w:highlight w:val="none"/>
              </w:rPr>
            </w:pPr>
            <w:r>
              <w:rPr>
                <w:rFonts w:hint="eastAsia" w:ascii="宋体" w:hAnsi="宋体"/>
                <w:color w:val="auto"/>
                <w:szCs w:val="21"/>
                <w:highlight w:val="none"/>
              </w:rPr>
              <w:t>其他说明</w:t>
            </w:r>
          </w:p>
        </w:tc>
        <w:tc>
          <w:tcPr>
            <w:tcW w:w="3903" w:type="pct"/>
            <w:gridSpan w:val="3"/>
            <w:tcBorders>
              <w:top w:val="single" w:color="auto" w:sz="4" w:space="0"/>
              <w:left w:val="single" w:color="auto" w:sz="4" w:space="0"/>
              <w:bottom w:val="single" w:color="auto" w:sz="4" w:space="0"/>
              <w:right w:val="single" w:color="auto" w:sz="4" w:space="0"/>
            </w:tcBorders>
            <w:noWrap w:val="0"/>
            <w:vAlign w:val="center"/>
          </w:tcPr>
          <w:p w14:paraId="37D4C0E0">
            <w:pPr>
              <w:snapToGrid w:val="0"/>
              <w:spacing w:line="400" w:lineRule="exact"/>
              <w:ind w:firstLine="420" w:firstLineChars="200"/>
              <w:jc w:val="left"/>
              <w:rPr>
                <w:rFonts w:ascii="宋体" w:hAnsi="宋体"/>
                <w:b/>
                <w:color w:val="auto"/>
                <w:szCs w:val="21"/>
                <w:highlight w:val="none"/>
              </w:rPr>
            </w:pPr>
            <w:r>
              <w:rPr>
                <w:rFonts w:hint="eastAsia" w:ascii="宋体" w:hAnsi="宋体"/>
                <w:color w:val="auto"/>
                <w:szCs w:val="21"/>
                <w:highlight w:val="none"/>
              </w:rPr>
              <w:t>供应商可以根据实际情况在响应文件中提供施工组织设计（主要施工方法、拟投入的主要物资计划、劳动力安排计划、确保工程质量的技术组织措施、确保安全生产的技术组织措施、确保工期的技术组织措施、确保文明施工的技术组织措施、工程施工的重点和难点及保证措施、项目人员）、业绩等内容。</w:t>
            </w:r>
          </w:p>
        </w:tc>
      </w:tr>
    </w:tbl>
    <w:p w14:paraId="75CE0B95">
      <w:pPr>
        <w:pStyle w:val="13"/>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bCs/>
          <w:color w:val="auto"/>
          <w:highlight w:val="none"/>
          <w:lang w:val="en-US" w:eastAsia="zh-CN"/>
        </w:rPr>
      </w:pPr>
    </w:p>
    <w:p w14:paraId="4BB0889B">
      <w:pPr>
        <w:keepNext w:val="0"/>
        <w:keepLines w:val="0"/>
        <w:pageBreakBefore w:val="0"/>
        <w:kinsoku/>
        <w:wordWrap/>
        <w:overflowPunct/>
        <w:topLinePunct w:val="0"/>
        <w:autoSpaceDE/>
        <w:autoSpaceDN/>
        <w:bidi w:val="0"/>
        <w:adjustRightInd/>
        <w:snapToGrid/>
        <w:spacing w:line="360" w:lineRule="auto"/>
        <w:textAlignment w:val="auto"/>
        <w:rPr>
          <w:rFonts w:ascii="Arial Unicode MS" w:hAnsi="Arial Unicode MS" w:eastAsia="Arial Unicode MS" w:cs="Arial Unicode MS"/>
          <w:color w:val="auto"/>
          <w:sz w:val="32"/>
          <w:szCs w:val="32"/>
          <w:highlight w:val="none"/>
        </w:rPr>
      </w:pPr>
      <w:r>
        <w:rPr>
          <w:rFonts w:hint="eastAsia" w:ascii="宋体" w:hAnsi="宋体" w:eastAsia="宋体" w:cs="宋体"/>
          <w:color w:val="auto"/>
          <w:sz w:val="32"/>
          <w:szCs w:val="32"/>
          <w:highlight w:val="none"/>
        </w:rPr>
        <w:br w:type="page"/>
      </w:r>
      <w:r>
        <w:rPr>
          <w:rFonts w:hint="eastAsia" w:ascii="黑体" w:hAnsi="黑体" w:eastAsia="黑体" w:cs="黑体"/>
          <w:color w:val="auto"/>
          <w:sz w:val="32"/>
          <w:szCs w:val="32"/>
          <w:highlight w:val="none"/>
        </w:rPr>
        <w:t>附件1：</w:t>
      </w:r>
    </w:p>
    <w:p w14:paraId="45B284D0">
      <w:pPr>
        <w:spacing w:before="7"/>
        <w:rPr>
          <w:rFonts w:ascii="Arial Unicode MS" w:hAnsi="Arial Unicode MS" w:eastAsia="Arial Unicode MS" w:cs="Arial Unicode MS"/>
          <w:color w:val="auto"/>
          <w:sz w:val="17"/>
          <w:szCs w:val="17"/>
          <w:highlight w:val="none"/>
        </w:rPr>
      </w:pPr>
    </w:p>
    <w:p w14:paraId="114C4FE7">
      <w:pPr>
        <w:spacing w:line="528" w:lineRule="exact"/>
        <w:ind w:left="1871"/>
        <w:rPr>
          <w:rFonts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644"/>
        <w:gridCol w:w="1730"/>
        <w:gridCol w:w="1581"/>
        <w:gridCol w:w="4123"/>
      </w:tblGrid>
      <w:tr w14:paraId="46F0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4FB71E8E">
            <w:pPr>
              <w:spacing w:line="240" w:lineRule="exact"/>
              <w:jc w:val="center"/>
              <w:rPr>
                <w:rFonts w:ascii="Calibri" w:hAnsi="Calibri"/>
                <w:color w:val="auto"/>
                <w:szCs w:val="22"/>
                <w:highlight w:val="none"/>
              </w:rPr>
            </w:pPr>
            <w:r>
              <w:rPr>
                <w:rFonts w:hint="eastAsia" w:ascii="宋体" w:hAnsi="宋体" w:cs="宋体"/>
                <w:b/>
                <w:bCs/>
                <w:color w:val="auto"/>
                <w:w w:val="99"/>
                <w:highlight w:val="none"/>
              </w:rPr>
              <w:t>品目序号</w:t>
            </w:r>
          </w:p>
        </w:tc>
        <w:tc>
          <w:tcPr>
            <w:tcW w:w="2514" w:type="pct"/>
            <w:gridSpan w:val="3"/>
            <w:tcBorders>
              <w:top w:val="single" w:color="000000" w:sz="4" w:space="0"/>
              <w:left w:val="single" w:color="000000" w:sz="4" w:space="0"/>
              <w:bottom w:val="single" w:color="000000" w:sz="4" w:space="0"/>
              <w:right w:val="single" w:color="000000" w:sz="4" w:space="0"/>
            </w:tcBorders>
            <w:noWrap w:val="0"/>
            <w:vAlign w:val="center"/>
          </w:tcPr>
          <w:p w14:paraId="4907A616">
            <w:pPr>
              <w:spacing w:line="240" w:lineRule="exact"/>
              <w:jc w:val="center"/>
              <w:rPr>
                <w:rFonts w:ascii="Calibri" w:hAnsi="Calibri"/>
                <w:color w:val="auto"/>
                <w:szCs w:val="22"/>
                <w:highlight w:val="none"/>
              </w:rPr>
            </w:pPr>
            <w:r>
              <w:rPr>
                <w:rFonts w:hint="eastAsia" w:ascii="宋体" w:hAnsi="宋体" w:cs="宋体"/>
                <w:b/>
                <w:bCs/>
                <w:color w:val="auto"/>
                <w:w w:val="99"/>
                <w:highlight w:val="none"/>
              </w:rPr>
              <w:t>名称</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6212CA04">
            <w:pPr>
              <w:spacing w:line="240" w:lineRule="exact"/>
              <w:jc w:val="center"/>
              <w:rPr>
                <w:rFonts w:ascii="Calibri" w:hAnsi="Calibri"/>
                <w:color w:val="auto"/>
                <w:szCs w:val="22"/>
                <w:highlight w:val="none"/>
              </w:rPr>
            </w:pPr>
            <w:r>
              <w:rPr>
                <w:rFonts w:hint="eastAsia" w:ascii="宋体" w:hAnsi="宋体" w:cs="宋体"/>
                <w:b/>
                <w:bCs/>
                <w:color w:val="auto"/>
                <w:w w:val="99"/>
                <w:highlight w:val="none"/>
              </w:rPr>
              <w:t>依据的标准</w:t>
            </w:r>
          </w:p>
        </w:tc>
      </w:tr>
      <w:tr w14:paraId="7E06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6C9F1D95">
            <w:pPr>
              <w:spacing w:line="240" w:lineRule="exact"/>
              <w:jc w:val="center"/>
              <w:rPr>
                <w:rFonts w:ascii="宋体" w:hAnsi="宋体"/>
                <w:color w:val="auto"/>
                <w:szCs w:val="21"/>
                <w:highlight w:val="none"/>
              </w:rPr>
            </w:pPr>
            <w:r>
              <w:rPr>
                <w:rFonts w:hint="eastAsia" w:ascii="宋体" w:hAnsi="宋体"/>
                <w:color w:val="auto"/>
                <w:szCs w:val="21"/>
                <w:highlight w:val="none"/>
              </w:rPr>
              <w:t>1</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5F5BC59E">
            <w:pPr>
              <w:spacing w:line="240" w:lineRule="exact"/>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5E4CEBE1">
            <w:pPr>
              <w:pStyle w:val="68"/>
              <w:spacing w:before="93" w:line="240" w:lineRule="exact"/>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A02010105</w:t>
            </w:r>
            <w:r>
              <w:rPr>
                <w:rFonts w:hint="eastAsia" w:ascii="宋体" w:hAnsi="宋体" w:cs="宋体"/>
                <w:color w:val="auto"/>
                <w:w w:val="99"/>
                <w:kern w:val="2"/>
                <w:sz w:val="21"/>
                <w:szCs w:val="21"/>
                <w:highlight w:val="none"/>
              </w:rPr>
              <w:t>台式计算机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592034B">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05F6E8E">
            <w:pPr>
              <w:pStyle w:val="68"/>
              <w:spacing w:before="93"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《微型计算机能效限定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及能</w:t>
            </w:r>
            <w:r>
              <w:rPr>
                <w:rFonts w:hint="eastAsia" w:ascii="宋体" w:hAnsi="宋体" w:cs="宋体"/>
                <w:color w:val="auto"/>
                <w:w w:val="99"/>
                <w:kern w:val="2"/>
                <w:sz w:val="21"/>
                <w:szCs w:val="21"/>
                <w:highlight w:val="none"/>
                <w:lang w:eastAsia="zh-CN"/>
              </w:rPr>
              <w:t>效等级》（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28380</w:t>
            </w:r>
            <w:r>
              <w:rPr>
                <w:rFonts w:hint="eastAsia" w:ascii="宋体" w:hAnsi="宋体" w:cs="宋体"/>
                <w:color w:val="auto"/>
                <w:w w:val="99"/>
                <w:kern w:val="2"/>
                <w:sz w:val="21"/>
                <w:szCs w:val="21"/>
                <w:highlight w:val="none"/>
                <w:lang w:eastAsia="zh-CN"/>
              </w:rPr>
              <w:t>）</w:t>
            </w:r>
          </w:p>
        </w:tc>
      </w:tr>
      <w:tr w14:paraId="1A3C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4CCA4B">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749F85">
            <w:pPr>
              <w:widowControl/>
              <w:spacing w:line="240" w:lineRule="exact"/>
              <w:jc w:val="left"/>
              <w:rPr>
                <w:rFonts w:ascii="宋体" w:hAnsi="宋体"/>
                <w:color w:val="auto"/>
                <w:szCs w:val="21"/>
                <w:highlight w:val="none"/>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7B614ACB">
            <w:pPr>
              <w:pStyle w:val="68"/>
              <w:spacing w:before="44" w:line="240" w:lineRule="exact"/>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A02010108</w:t>
            </w:r>
            <w:r>
              <w:rPr>
                <w:rFonts w:hint="eastAsia" w:ascii="宋体" w:hAnsi="宋体" w:cs="宋体"/>
                <w:color w:val="auto"/>
                <w:w w:val="99"/>
                <w:kern w:val="2"/>
                <w:sz w:val="21"/>
                <w:szCs w:val="21"/>
                <w:highlight w:val="none"/>
              </w:rPr>
              <w:t>便携式计算机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1427483">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FEFBDAF">
            <w:pPr>
              <w:pStyle w:val="68"/>
              <w:spacing w:before="44"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《微型计算机能效限定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及能</w:t>
            </w:r>
            <w:r>
              <w:rPr>
                <w:rFonts w:hint="eastAsia" w:ascii="宋体" w:hAnsi="宋体" w:cs="宋体"/>
                <w:color w:val="auto"/>
                <w:w w:val="99"/>
                <w:kern w:val="2"/>
                <w:sz w:val="21"/>
                <w:szCs w:val="21"/>
                <w:highlight w:val="none"/>
                <w:lang w:eastAsia="zh-CN"/>
              </w:rPr>
              <w:t>效等级》（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28380</w:t>
            </w:r>
            <w:r>
              <w:rPr>
                <w:rFonts w:hint="eastAsia" w:ascii="宋体" w:hAnsi="宋体" w:cs="宋体"/>
                <w:color w:val="auto"/>
                <w:w w:val="99"/>
                <w:kern w:val="2"/>
                <w:sz w:val="21"/>
                <w:szCs w:val="21"/>
                <w:highlight w:val="none"/>
                <w:lang w:eastAsia="zh-CN"/>
              </w:rPr>
              <w:t>）</w:t>
            </w:r>
          </w:p>
        </w:tc>
      </w:tr>
      <w:tr w14:paraId="1FCD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B7B11E">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46027B">
            <w:pPr>
              <w:widowControl/>
              <w:spacing w:line="240" w:lineRule="exact"/>
              <w:jc w:val="left"/>
              <w:rPr>
                <w:rFonts w:ascii="宋体" w:hAnsi="宋体"/>
                <w:color w:val="auto"/>
                <w:szCs w:val="21"/>
                <w:highlight w:val="none"/>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CB18420">
            <w:pPr>
              <w:pStyle w:val="68"/>
              <w:spacing w:before="64" w:line="240" w:lineRule="exact"/>
              <w:ind w:left="7" w:right="5"/>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w:t>
            </w:r>
            <w:r>
              <w:rPr>
                <w:rFonts w:hint="eastAsia" w:ascii="宋体" w:hAnsi="宋体" w:cs="仿宋_GB2312"/>
                <w:color w:val="auto"/>
                <w:kern w:val="2"/>
                <w:sz w:val="21"/>
                <w:szCs w:val="21"/>
                <w:highlight w:val="none"/>
                <w:lang w:eastAsia="zh-CN"/>
              </w:rPr>
              <w:t>A02010109平板式计算机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82996C4">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274C415">
            <w:pPr>
              <w:pStyle w:val="68"/>
              <w:spacing w:before="64"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《微型计算机能效限定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及能</w:t>
            </w:r>
            <w:r>
              <w:rPr>
                <w:rFonts w:hint="eastAsia" w:ascii="宋体" w:hAnsi="宋体" w:cs="宋体"/>
                <w:color w:val="auto"/>
                <w:w w:val="99"/>
                <w:kern w:val="2"/>
                <w:sz w:val="21"/>
                <w:szCs w:val="21"/>
                <w:highlight w:val="none"/>
                <w:lang w:eastAsia="zh-CN"/>
              </w:rPr>
              <w:t>效等级》（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28380</w:t>
            </w:r>
            <w:r>
              <w:rPr>
                <w:rFonts w:hint="eastAsia" w:ascii="宋体" w:hAnsi="宋体" w:cs="宋体"/>
                <w:color w:val="auto"/>
                <w:w w:val="99"/>
                <w:kern w:val="2"/>
                <w:sz w:val="21"/>
                <w:szCs w:val="21"/>
                <w:highlight w:val="none"/>
                <w:lang w:eastAsia="zh-CN"/>
              </w:rPr>
              <w:t>）</w:t>
            </w:r>
          </w:p>
        </w:tc>
      </w:tr>
      <w:tr w14:paraId="7F04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30B161C5">
            <w:pPr>
              <w:spacing w:line="240" w:lineRule="exact"/>
              <w:jc w:val="center"/>
              <w:rPr>
                <w:rFonts w:ascii="宋体" w:hAnsi="宋体"/>
                <w:color w:val="auto"/>
                <w:szCs w:val="21"/>
                <w:highlight w:val="none"/>
              </w:rPr>
            </w:pPr>
            <w:r>
              <w:rPr>
                <w:rFonts w:hint="eastAsia" w:ascii="宋体" w:hAnsi="宋体"/>
                <w:color w:val="auto"/>
                <w:szCs w:val="21"/>
                <w:highlight w:val="none"/>
              </w:rPr>
              <w:t>2</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4ED2DE34">
            <w:pPr>
              <w:pStyle w:val="68"/>
              <w:spacing w:line="240" w:lineRule="exact"/>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A02020000</w:t>
            </w:r>
            <w:r>
              <w:rPr>
                <w:rFonts w:hint="eastAsia" w:ascii="宋体" w:hAnsi="宋体" w:cs="宋体"/>
                <w:color w:val="auto"/>
                <w:w w:val="99"/>
                <w:kern w:val="2"/>
                <w:sz w:val="21"/>
                <w:szCs w:val="21"/>
                <w:highlight w:val="none"/>
              </w:rPr>
              <w:t>办公设备</w:t>
            </w: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43956E1C">
            <w:pPr>
              <w:spacing w:line="240" w:lineRule="exact"/>
              <w:jc w:val="center"/>
              <w:rPr>
                <w:rFonts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CF5D788">
            <w:pPr>
              <w:spacing w:line="240" w:lineRule="exact"/>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CEBEC4C">
            <w:pPr>
              <w:pStyle w:val="68"/>
              <w:spacing w:before="52"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525D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775D26">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3C5D519">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DEB7AA">
            <w:pPr>
              <w:widowControl/>
              <w:spacing w:line="240" w:lineRule="exact"/>
              <w:jc w:val="left"/>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1402CEC">
            <w:pPr>
              <w:spacing w:line="240" w:lineRule="exact"/>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C3A52D3">
            <w:pPr>
              <w:pStyle w:val="68"/>
              <w:spacing w:before="52"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082A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807991">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967CC8">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BE93B8F">
            <w:pPr>
              <w:widowControl/>
              <w:spacing w:line="240" w:lineRule="exact"/>
              <w:jc w:val="left"/>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AC2C3D8">
            <w:pPr>
              <w:spacing w:line="240" w:lineRule="exact"/>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87BE2C4">
            <w:pPr>
              <w:pStyle w:val="68"/>
              <w:spacing w:before="52"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2C53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6DDC77">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5B9CAC">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851DA2">
            <w:pPr>
              <w:widowControl/>
              <w:spacing w:line="240" w:lineRule="exact"/>
              <w:jc w:val="left"/>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E7C98E4">
            <w:pPr>
              <w:spacing w:line="240" w:lineRule="exact"/>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E472730">
            <w:pPr>
              <w:pStyle w:val="68"/>
              <w:spacing w:before="52"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73E2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1568C49">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F3EF8C">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61FF46">
            <w:pPr>
              <w:widowControl/>
              <w:spacing w:line="240" w:lineRule="exact"/>
              <w:jc w:val="left"/>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3486292">
            <w:pPr>
              <w:spacing w:line="240" w:lineRule="exact"/>
              <w:jc w:val="center"/>
              <w:rPr>
                <w:rFonts w:ascii="宋体" w:hAnsi="宋体"/>
                <w:color w:val="auto"/>
                <w:szCs w:val="21"/>
                <w:highlight w:val="none"/>
              </w:rPr>
            </w:pPr>
            <w:r>
              <w:rPr>
                <w:rFonts w:hint="eastAsia" w:ascii="宋体" w:hAnsi="宋体"/>
                <w:color w:val="auto"/>
                <w:szCs w:val="21"/>
                <w:highlight w:val="none"/>
              </w:rPr>
              <w:t>A02021005 3D打印机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399C3C2">
            <w:pPr>
              <w:pStyle w:val="68"/>
              <w:spacing w:before="52"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2008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C1B7F9">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D5AE6F">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C4F918">
            <w:pPr>
              <w:widowControl/>
              <w:spacing w:line="240" w:lineRule="exact"/>
              <w:jc w:val="left"/>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A8FC3BB">
            <w:pPr>
              <w:spacing w:line="240" w:lineRule="exact"/>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3A12004">
            <w:pPr>
              <w:pStyle w:val="68"/>
              <w:spacing w:before="52"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1D3A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0202BD5">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EED4D4">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EC8A61">
            <w:pPr>
              <w:widowControl/>
              <w:spacing w:line="240" w:lineRule="exact"/>
              <w:jc w:val="left"/>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D9B651C">
            <w:pPr>
              <w:spacing w:line="240" w:lineRule="exact"/>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B6E933C">
            <w:pPr>
              <w:pStyle w:val="68"/>
              <w:spacing w:before="52"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36DE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7E4922">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D4EC00">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C8D6D4">
            <w:pPr>
              <w:widowControl/>
              <w:spacing w:line="240" w:lineRule="exact"/>
              <w:jc w:val="left"/>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4D0BBAD">
            <w:pPr>
              <w:spacing w:line="240" w:lineRule="exact"/>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26B27AE">
            <w:pPr>
              <w:pStyle w:val="68"/>
              <w:spacing w:before="52"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117A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B09BD2">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A0F4B7">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46AD71">
            <w:pPr>
              <w:widowControl/>
              <w:spacing w:line="240" w:lineRule="exact"/>
              <w:jc w:val="left"/>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6282C5C">
            <w:pPr>
              <w:spacing w:line="240" w:lineRule="exact"/>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4678C40">
            <w:pPr>
              <w:pStyle w:val="68"/>
              <w:spacing w:before="52"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4CD8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D86D90">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4C689A">
            <w:pPr>
              <w:widowControl/>
              <w:spacing w:line="240" w:lineRule="exact"/>
              <w:jc w:val="left"/>
              <w:rPr>
                <w:rFonts w:ascii="宋体" w:hAnsi="宋体" w:cs="宋体"/>
                <w:color w:val="auto"/>
                <w:szCs w:val="21"/>
                <w:highlight w:val="none"/>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39572026">
            <w:pPr>
              <w:spacing w:line="240" w:lineRule="exact"/>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DA8D20F">
            <w:pPr>
              <w:spacing w:line="240" w:lineRule="exact"/>
              <w:jc w:val="center"/>
              <w:rPr>
                <w:rFonts w:ascii="宋体" w:hAnsi="宋体"/>
                <w:color w:val="auto"/>
                <w:szCs w:val="21"/>
                <w:highlight w:val="none"/>
              </w:rPr>
            </w:pPr>
            <w:r>
              <w:rPr>
                <w:rFonts w:hint="eastAsia" w:ascii="宋体" w:hAnsi="宋体"/>
                <w:color w:val="auto"/>
                <w:szCs w:val="21"/>
                <w:highlight w:val="none"/>
              </w:rPr>
              <w:t>A02021104液晶显示器</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443B4ED6">
            <w:pPr>
              <w:spacing w:line="240" w:lineRule="exact"/>
              <w:rPr>
                <w:rFonts w:ascii="宋体" w:hAnsi="宋体"/>
                <w:color w:val="auto"/>
                <w:szCs w:val="21"/>
                <w:highlight w:val="none"/>
              </w:rPr>
            </w:pPr>
            <w:r>
              <w:rPr>
                <w:rFonts w:hint="eastAsia" w:ascii="宋体" w:hAnsi="宋体" w:cs="宋体"/>
                <w:color w:val="auto"/>
                <w:spacing w:val="12"/>
                <w:w w:val="99"/>
                <w:szCs w:val="21"/>
                <w:highlight w:val="none"/>
              </w:rPr>
              <w:t>《计算机显示器能效限</w:t>
            </w:r>
            <w:r>
              <w:rPr>
                <w:rFonts w:hint="eastAsia" w:ascii="宋体" w:hAnsi="宋体" w:cs="宋体"/>
                <w:color w:val="auto"/>
                <w:spacing w:val="9"/>
                <w:w w:val="99"/>
                <w:szCs w:val="21"/>
                <w:highlight w:val="none"/>
              </w:rPr>
              <w:t>定</w:t>
            </w:r>
            <w:r>
              <w:rPr>
                <w:rFonts w:hint="eastAsia" w:ascii="宋体" w:hAnsi="宋体" w:cs="宋体"/>
                <w:color w:val="auto"/>
                <w:spacing w:val="12"/>
                <w:w w:val="99"/>
                <w:szCs w:val="21"/>
                <w:highlight w:val="none"/>
              </w:rPr>
              <w:t>值及</w:t>
            </w:r>
            <w:r>
              <w:rPr>
                <w:rFonts w:hint="eastAsia" w:ascii="宋体" w:hAnsi="宋体" w:cs="宋体"/>
                <w:color w:val="auto"/>
                <w:w w:val="99"/>
                <w:szCs w:val="21"/>
                <w:highlight w:val="none"/>
              </w:rPr>
              <w:t>能效等级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0</w:t>
            </w:r>
            <w:r>
              <w:rPr>
                <w:rFonts w:hint="eastAsia" w:ascii="宋体" w:hAnsi="宋体" w:cs="宋体"/>
                <w:color w:val="auto"/>
                <w:w w:val="99"/>
                <w:szCs w:val="21"/>
                <w:highlight w:val="none"/>
              </w:rPr>
              <w:t>）</w:t>
            </w:r>
          </w:p>
        </w:tc>
      </w:tr>
      <w:tr w14:paraId="7BD8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CD1C37">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3A5E75">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1C9621">
            <w:pPr>
              <w:widowControl/>
              <w:spacing w:line="240" w:lineRule="exact"/>
              <w:jc w:val="left"/>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F12A2E1">
            <w:pPr>
              <w:spacing w:line="240" w:lineRule="exact"/>
              <w:jc w:val="center"/>
              <w:rPr>
                <w:rFonts w:ascii="宋体" w:hAnsi="宋体"/>
                <w:color w:val="auto"/>
                <w:szCs w:val="21"/>
                <w:highlight w:val="none"/>
              </w:rPr>
            </w:pPr>
            <w:r>
              <w:rPr>
                <w:rFonts w:hint="eastAsia" w:ascii="宋体" w:hAnsi="宋体"/>
                <w:color w:val="auto"/>
                <w:szCs w:val="21"/>
                <w:highlight w:val="none"/>
              </w:rPr>
              <w:t>A02021118扫描仪</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17BF6399">
            <w:pPr>
              <w:spacing w:line="240" w:lineRule="exact"/>
              <w:rPr>
                <w:rFonts w:ascii="宋体" w:hAnsi="宋体"/>
                <w:color w:val="auto"/>
                <w:szCs w:val="21"/>
                <w:highlight w:val="none"/>
              </w:rPr>
            </w:pPr>
            <w:r>
              <w:rPr>
                <w:rFonts w:hint="eastAsia" w:ascii="宋体" w:hAnsi="宋体" w:cs="宋体"/>
                <w:color w:val="auto"/>
                <w:w w:val="99"/>
                <w:szCs w:val="21"/>
                <w:highlight w:val="none"/>
              </w:rPr>
              <w:t>参</w:t>
            </w:r>
            <w:r>
              <w:rPr>
                <w:rFonts w:hint="eastAsia" w:ascii="宋体" w:hAnsi="宋体" w:cs="宋体"/>
                <w:color w:val="auto"/>
                <w:spacing w:val="-29"/>
                <w:w w:val="99"/>
                <w:szCs w:val="21"/>
                <w:highlight w:val="none"/>
              </w:rPr>
              <w:t>照</w:t>
            </w:r>
            <w:r>
              <w:rPr>
                <w:rFonts w:hint="eastAsia" w:ascii="宋体" w:hAnsi="宋体" w:cs="宋体"/>
                <w:color w:val="auto"/>
                <w:w w:val="99"/>
                <w:szCs w:val="21"/>
                <w:highlight w:val="none"/>
              </w:rPr>
              <w:t>《</w:t>
            </w:r>
            <w:r>
              <w:rPr>
                <w:rFonts w:hint="eastAsia" w:ascii="宋体" w:hAnsi="宋体" w:cs="宋体"/>
                <w:color w:val="auto"/>
                <w:spacing w:val="2"/>
                <w:w w:val="99"/>
                <w:szCs w:val="21"/>
                <w:highlight w:val="none"/>
              </w:rPr>
              <w:t>复</w:t>
            </w:r>
            <w:r>
              <w:rPr>
                <w:rFonts w:hint="eastAsia" w:ascii="宋体" w:hAnsi="宋体" w:cs="宋体"/>
                <w:color w:val="auto"/>
                <w:w w:val="99"/>
                <w:szCs w:val="21"/>
                <w:highlight w:val="none"/>
              </w:rPr>
              <w:t>印</w:t>
            </w:r>
            <w:r>
              <w:rPr>
                <w:rFonts w:hint="eastAsia" w:ascii="宋体" w:hAnsi="宋体" w:cs="宋体"/>
                <w:color w:val="auto"/>
                <w:spacing w:val="2"/>
                <w:w w:val="99"/>
                <w:szCs w:val="21"/>
                <w:highlight w:val="none"/>
              </w:rPr>
              <w:t>机</w:t>
            </w:r>
            <w:r>
              <w:rPr>
                <w:rFonts w:hint="eastAsia" w:ascii="宋体" w:hAnsi="宋体" w:cs="宋体"/>
                <w:color w:val="auto"/>
                <w:spacing w:val="-29"/>
                <w:w w:val="99"/>
                <w:szCs w:val="21"/>
                <w:highlight w:val="none"/>
              </w:rPr>
              <w:t>、</w:t>
            </w:r>
            <w:r>
              <w:rPr>
                <w:rFonts w:hint="eastAsia" w:ascii="宋体" w:hAnsi="宋体" w:cs="宋体"/>
                <w:color w:val="auto"/>
                <w:w w:val="99"/>
                <w:szCs w:val="21"/>
                <w:highlight w:val="none"/>
              </w:rPr>
              <w:t>打</w:t>
            </w:r>
            <w:r>
              <w:rPr>
                <w:rFonts w:hint="eastAsia" w:ascii="宋体" w:hAnsi="宋体" w:cs="宋体"/>
                <w:color w:val="auto"/>
                <w:spacing w:val="2"/>
                <w:w w:val="99"/>
                <w:szCs w:val="21"/>
                <w:highlight w:val="none"/>
              </w:rPr>
              <w:t>印</w:t>
            </w:r>
            <w:r>
              <w:rPr>
                <w:rFonts w:hint="eastAsia" w:ascii="宋体" w:hAnsi="宋体" w:cs="宋体"/>
                <w:color w:val="auto"/>
                <w:w w:val="99"/>
                <w:szCs w:val="21"/>
                <w:highlight w:val="none"/>
              </w:rPr>
              <w:t>机和</w:t>
            </w:r>
            <w:r>
              <w:rPr>
                <w:rFonts w:hint="eastAsia" w:ascii="宋体" w:hAnsi="宋体" w:cs="宋体"/>
                <w:color w:val="auto"/>
                <w:spacing w:val="2"/>
                <w:w w:val="99"/>
                <w:szCs w:val="21"/>
                <w:highlight w:val="none"/>
              </w:rPr>
              <w:t>传</w:t>
            </w:r>
            <w:r>
              <w:rPr>
                <w:rFonts w:hint="eastAsia" w:ascii="宋体" w:hAnsi="宋体" w:cs="宋体"/>
                <w:color w:val="auto"/>
                <w:w w:val="99"/>
                <w:szCs w:val="21"/>
                <w:highlight w:val="none"/>
              </w:rPr>
              <w:t>真机能效限定</w:t>
            </w:r>
            <w:r>
              <w:rPr>
                <w:rFonts w:hint="eastAsia" w:ascii="宋体" w:hAnsi="宋体" w:cs="宋体"/>
                <w:color w:val="auto"/>
                <w:spacing w:val="2"/>
                <w:w w:val="99"/>
                <w:szCs w:val="21"/>
                <w:highlight w:val="none"/>
              </w:rPr>
              <w:t>值</w:t>
            </w:r>
            <w:r>
              <w:rPr>
                <w:rFonts w:hint="eastAsia" w:ascii="宋体" w:hAnsi="宋体" w:cs="宋体"/>
                <w:color w:val="auto"/>
                <w:w w:val="99"/>
                <w:szCs w:val="21"/>
                <w:highlight w:val="none"/>
              </w:rPr>
              <w:t>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06"/>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2152</w:t>
            </w:r>
            <w:r>
              <w:rPr>
                <w:rFonts w:hint="eastAsia" w:ascii="宋体" w:hAnsi="宋体" w:cs="宋体"/>
                <w:color w:val="auto"/>
                <w:w w:val="99"/>
                <w:szCs w:val="21"/>
                <w:highlight w:val="none"/>
              </w:rPr>
              <w:t>1）</w:t>
            </w:r>
            <w:r>
              <w:rPr>
                <w:rFonts w:hint="eastAsia" w:ascii="宋体" w:hAnsi="宋体" w:cs="宋体"/>
                <w:color w:val="auto"/>
                <w:spacing w:val="2"/>
                <w:w w:val="99"/>
                <w:szCs w:val="21"/>
                <w:highlight w:val="none"/>
              </w:rPr>
              <w:t>中</w:t>
            </w:r>
            <w:r>
              <w:rPr>
                <w:rFonts w:hint="eastAsia" w:ascii="宋体" w:hAnsi="宋体" w:cs="宋体"/>
                <w:color w:val="auto"/>
                <w:spacing w:val="4"/>
                <w:w w:val="99"/>
                <w:szCs w:val="21"/>
                <w:highlight w:val="none"/>
              </w:rPr>
              <w:t>打印速</w:t>
            </w:r>
            <w:r>
              <w:rPr>
                <w:rFonts w:hint="eastAsia" w:ascii="宋体" w:hAnsi="宋体" w:cs="宋体"/>
                <w:color w:val="auto"/>
                <w:spacing w:val="2"/>
                <w:w w:val="99"/>
                <w:szCs w:val="21"/>
                <w:highlight w:val="none"/>
              </w:rPr>
              <w:t>度</w:t>
            </w:r>
            <w:r>
              <w:rPr>
                <w:rFonts w:hint="eastAsia" w:ascii="宋体" w:hAnsi="宋体" w:cs="宋体"/>
                <w:color w:val="auto"/>
                <w:w w:val="99"/>
                <w:szCs w:val="21"/>
                <w:highlight w:val="none"/>
              </w:rPr>
              <w:t>为</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5</w:t>
            </w:r>
            <w:r>
              <w:rPr>
                <w:rFonts w:hint="eastAsia" w:ascii="宋体" w:hAnsi="宋体" w:cs="宋体"/>
                <w:color w:val="auto"/>
                <w:spacing w:val="2"/>
                <w:w w:val="99"/>
                <w:szCs w:val="21"/>
                <w:highlight w:val="none"/>
              </w:rPr>
              <w:t>页</w:t>
            </w:r>
            <w:r>
              <w:rPr>
                <w:rFonts w:hint="eastAsia" w:ascii="宋体" w:hAnsi="宋体" w:cs="宋体"/>
                <w:color w:val="auto"/>
                <w:spacing w:val="5"/>
                <w:w w:val="99"/>
                <w:szCs w:val="21"/>
                <w:highlight w:val="none"/>
              </w:rPr>
              <w:t>/</w:t>
            </w:r>
            <w:r>
              <w:rPr>
                <w:rFonts w:hint="eastAsia" w:ascii="宋体" w:hAnsi="宋体" w:cs="宋体"/>
                <w:color w:val="auto"/>
                <w:spacing w:val="4"/>
                <w:w w:val="99"/>
                <w:szCs w:val="21"/>
                <w:highlight w:val="none"/>
              </w:rPr>
              <w:t>分的</w:t>
            </w:r>
            <w:r>
              <w:rPr>
                <w:rFonts w:hint="eastAsia" w:ascii="宋体" w:hAnsi="宋体" w:cs="宋体"/>
                <w:color w:val="auto"/>
                <w:spacing w:val="2"/>
                <w:w w:val="99"/>
                <w:szCs w:val="21"/>
                <w:highlight w:val="none"/>
              </w:rPr>
              <w:t>针</w:t>
            </w:r>
            <w:r>
              <w:rPr>
                <w:rFonts w:hint="eastAsia" w:ascii="宋体" w:hAnsi="宋体" w:cs="宋体"/>
                <w:color w:val="auto"/>
                <w:spacing w:val="4"/>
                <w:w w:val="99"/>
                <w:szCs w:val="21"/>
                <w:highlight w:val="none"/>
              </w:rPr>
              <w:t>式</w:t>
            </w:r>
            <w:r>
              <w:rPr>
                <w:rFonts w:hint="eastAsia" w:ascii="宋体" w:hAnsi="宋体" w:cs="宋体"/>
                <w:color w:val="auto"/>
                <w:w w:val="99"/>
                <w:szCs w:val="21"/>
                <w:highlight w:val="none"/>
              </w:rPr>
              <w:t>打印机相</w:t>
            </w:r>
            <w:r>
              <w:rPr>
                <w:rFonts w:hint="eastAsia" w:ascii="宋体" w:hAnsi="宋体" w:cs="宋体"/>
                <w:color w:val="auto"/>
                <w:spacing w:val="2"/>
                <w:w w:val="99"/>
                <w:szCs w:val="21"/>
                <w:highlight w:val="none"/>
              </w:rPr>
              <w:t>关</w:t>
            </w:r>
            <w:r>
              <w:rPr>
                <w:rFonts w:hint="eastAsia" w:ascii="宋体" w:hAnsi="宋体" w:cs="宋体"/>
                <w:color w:val="auto"/>
                <w:w w:val="99"/>
                <w:szCs w:val="21"/>
                <w:highlight w:val="none"/>
              </w:rPr>
              <w:t>要求</w:t>
            </w:r>
          </w:p>
        </w:tc>
      </w:tr>
      <w:tr w14:paraId="4A3C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05001085">
            <w:pPr>
              <w:spacing w:line="240" w:lineRule="exact"/>
              <w:jc w:val="center"/>
              <w:rPr>
                <w:rFonts w:ascii="宋体" w:hAnsi="宋体"/>
                <w:color w:val="auto"/>
                <w:szCs w:val="21"/>
                <w:highlight w:val="none"/>
              </w:rPr>
            </w:pPr>
            <w:r>
              <w:rPr>
                <w:rFonts w:hint="eastAsia" w:ascii="宋体" w:hAnsi="宋体"/>
                <w:color w:val="auto"/>
                <w:w w:val="99"/>
                <w:szCs w:val="21"/>
                <w:highlight w:val="none"/>
              </w:rPr>
              <w:t>3</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22C2F7DA">
            <w:pPr>
              <w:spacing w:line="240" w:lineRule="exact"/>
              <w:jc w:val="center"/>
              <w:rPr>
                <w:rFonts w:ascii="宋体" w:hAnsi="宋体"/>
                <w:color w:val="auto"/>
                <w:szCs w:val="21"/>
                <w:highlight w:val="none"/>
              </w:rPr>
            </w:pPr>
            <w:r>
              <w:rPr>
                <w:rFonts w:hint="eastAsia" w:ascii="宋体" w:hAnsi="宋体"/>
                <w:color w:val="auto"/>
                <w:szCs w:val="21"/>
                <w:highlight w:val="none"/>
              </w:rPr>
              <w:t>A02020200投影仪</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59FF304">
            <w:pPr>
              <w:spacing w:line="240" w:lineRule="exact"/>
              <w:jc w:val="center"/>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3057563">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5AB7B544">
            <w:pPr>
              <w:spacing w:line="240" w:lineRule="exact"/>
              <w:rPr>
                <w:rFonts w:ascii="宋体" w:hAnsi="宋体"/>
                <w:color w:val="auto"/>
                <w:szCs w:val="21"/>
                <w:highlight w:val="none"/>
              </w:rPr>
            </w:pPr>
            <w:r>
              <w:rPr>
                <w:rFonts w:hint="eastAsia" w:ascii="宋体" w:hAnsi="宋体" w:cs="宋体"/>
                <w:color w:val="auto"/>
                <w:w w:val="99"/>
                <w:szCs w:val="21"/>
                <w:highlight w:val="none"/>
              </w:rPr>
              <w:t>《投影</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w:t>
            </w:r>
            <w:r>
              <w:rPr>
                <w:rFonts w:hint="eastAsia" w:ascii="宋体" w:hAnsi="宋体" w:cs="宋体"/>
                <w:color w:val="auto"/>
                <w:w w:val="99"/>
                <w:szCs w:val="21"/>
                <w:highlight w:val="none"/>
              </w:rPr>
              <w:t>20</w:t>
            </w:r>
            <w:r>
              <w:rPr>
                <w:rFonts w:hint="eastAsia" w:ascii="宋体" w:hAnsi="宋体" w:cs="宋体"/>
                <w:color w:val="auto"/>
                <w:spacing w:val="1"/>
                <w:w w:val="99"/>
                <w:szCs w:val="21"/>
                <w:highlight w:val="none"/>
              </w:rPr>
              <w:t>28</w:t>
            </w:r>
            <w:r>
              <w:rPr>
                <w:rFonts w:hint="eastAsia" w:ascii="宋体" w:hAnsi="宋体" w:cs="宋体"/>
                <w:color w:val="auto"/>
                <w:w w:val="99"/>
                <w:szCs w:val="21"/>
                <w:highlight w:val="none"/>
              </w:rPr>
              <w:t>）</w:t>
            </w:r>
          </w:p>
        </w:tc>
      </w:tr>
      <w:tr w14:paraId="77BD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2DA29B68">
            <w:pPr>
              <w:spacing w:line="240" w:lineRule="exact"/>
              <w:jc w:val="center"/>
              <w:rPr>
                <w:rFonts w:ascii="宋体" w:hAnsi="宋体"/>
                <w:color w:val="auto"/>
                <w:szCs w:val="21"/>
                <w:highlight w:val="none"/>
              </w:rPr>
            </w:pPr>
            <w:r>
              <w:rPr>
                <w:rFonts w:hint="eastAsia" w:ascii="宋体" w:hAnsi="宋体"/>
                <w:color w:val="auto"/>
                <w:szCs w:val="21"/>
                <w:highlight w:val="none"/>
              </w:rPr>
              <w:t>4</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1E9CF847">
            <w:pPr>
              <w:pStyle w:val="68"/>
              <w:spacing w:before="66" w:line="240" w:lineRule="exact"/>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A02020400</w:t>
            </w:r>
            <w:r>
              <w:rPr>
                <w:rFonts w:hint="eastAsia" w:ascii="宋体" w:hAnsi="宋体" w:cs="宋体"/>
                <w:color w:val="auto"/>
                <w:w w:val="99"/>
                <w:kern w:val="2"/>
                <w:sz w:val="21"/>
                <w:szCs w:val="21"/>
                <w:highlight w:val="none"/>
              </w:rPr>
              <w:t>多功能一体机</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F691E59">
            <w:pPr>
              <w:spacing w:line="240" w:lineRule="exact"/>
              <w:jc w:val="center"/>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56633B9">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7311082C">
            <w:pPr>
              <w:spacing w:line="240" w:lineRule="exact"/>
              <w:rPr>
                <w:rFonts w:ascii="宋体" w:hAnsi="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5D88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2A6E8A21">
            <w:pPr>
              <w:pStyle w:val="68"/>
              <w:spacing w:before="160" w:line="240" w:lineRule="exact"/>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5</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7AEF66E2">
            <w:pPr>
              <w:pStyle w:val="68"/>
              <w:spacing w:before="160" w:line="240" w:lineRule="exact"/>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A02051900</w:t>
            </w:r>
            <w:r>
              <w:rPr>
                <w:rFonts w:hint="eastAsia" w:ascii="宋体" w:hAnsi="宋体" w:cs="宋体"/>
                <w:color w:val="auto"/>
                <w:w w:val="99"/>
                <w:kern w:val="2"/>
                <w:sz w:val="21"/>
                <w:szCs w:val="21"/>
                <w:highlight w:val="none"/>
              </w:rPr>
              <w:t>泵</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76DF9EC6">
            <w:pPr>
              <w:pStyle w:val="68"/>
              <w:spacing w:before="160" w:line="240" w:lineRule="exact"/>
              <w:ind w:left="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05</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901离心泵</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7708DA3">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3D27EA4">
            <w:pPr>
              <w:pStyle w:val="68"/>
              <w:spacing w:before="4"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《清水离心泵能效限定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及节</w:t>
            </w:r>
            <w:r>
              <w:rPr>
                <w:rFonts w:hint="eastAsia" w:ascii="宋体" w:hAnsi="宋体" w:cs="宋体"/>
                <w:color w:val="auto"/>
                <w:w w:val="99"/>
                <w:kern w:val="2"/>
                <w:sz w:val="21"/>
                <w:szCs w:val="21"/>
                <w:highlight w:val="none"/>
                <w:lang w:eastAsia="zh-CN"/>
              </w:rPr>
              <w:t>能评价值</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19</w:t>
            </w:r>
            <w:r>
              <w:rPr>
                <w:rFonts w:hint="eastAsia" w:ascii="宋体" w:hAnsi="宋体" w:cs="宋体"/>
                <w:color w:val="auto"/>
                <w:w w:val="99"/>
                <w:kern w:val="2"/>
                <w:sz w:val="21"/>
                <w:szCs w:val="21"/>
                <w:highlight w:val="none"/>
                <w:lang w:eastAsia="zh-CN"/>
              </w:rPr>
              <w:t>76</w:t>
            </w:r>
            <w:r>
              <w:rPr>
                <w:rFonts w:hint="eastAsia" w:ascii="宋体" w:hAnsi="宋体" w:cs="宋体"/>
                <w:color w:val="auto"/>
                <w:spacing w:val="1"/>
                <w:w w:val="99"/>
                <w:kern w:val="2"/>
                <w:sz w:val="21"/>
                <w:szCs w:val="21"/>
                <w:highlight w:val="none"/>
                <w:lang w:eastAsia="zh-CN"/>
              </w:rPr>
              <w:t>2</w:t>
            </w:r>
            <w:r>
              <w:rPr>
                <w:rFonts w:hint="eastAsia" w:ascii="宋体" w:hAnsi="宋体" w:cs="宋体"/>
                <w:color w:val="auto"/>
                <w:w w:val="99"/>
                <w:kern w:val="2"/>
                <w:sz w:val="21"/>
                <w:szCs w:val="21"/>
                <w:highlight w:val="none"/>
                <w:lang w:eastAsia="zh-CN"/>
              </w:rPr>
              <w:t>）</w:t>
            </w:r>
          </w:p>
        </w:tc>
      </w:tr>
      <w:tr w14:paraId="1D81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64ABD6F1">
            <w:pPr>
              <w:spacing w:line="240" w:lineRule="exact"/>
              <w:jc w:val="center"/>
              <w:rPr>
                <w:rFonts w:ascii="宋体" w:hAnsi="宋体"/>
                <w:color w:val="auto"/>
                <w:szCs w:val="21"/>
                <w:highlight w:val="none"/>
              </w:rPr>
            </w:pPr>
            <w:r>
              <w:rPr>
                <w:rFonts w:hint="eastAsia" w:ascii="宋体" w:hAnsi="宋体"/>
                <w:color w:val="auto"/>
                <w:szCs w:val="21"/>
                <w:highlight w:val="none"/>
              </w:rPr>
              <w:t>6</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7212D42D">
            <w:pPr>
              <w:pStyle w:val="68"/>
              <w:spacing w:line="240" w:lineRule="exact"/>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A02052300</w:t>
            </w:r>
            <w:r>
              <w:rPr>
                <w:rFonts w:hint="eastAsia" w:ascii="宋体" w:hAnsi="宋体" w:cs="宋体"/>
                <w:color w:val="auto"/>
                <w:w w:val="99"/>
                <w:kern w:val="2"/>
                <w:sz w:val="21"/>
                <w:szCs w:val="21"/>
                <w:highlight w:val="none"/>
              </w:rPr>
              <w:t>制冷空调设备</w:t>
            </w: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2BC0F401">
            <w:pPr>
              <w:pStyle w:val="68"/>
              <w:spacing w:line="240" w:lineRule="exact"/>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52</w:t>
            </w:r>
            <w:r>
              <w:rPr>
                <w:rFonts w:hint="eastAsia" w:ascii="宋体" w:hAnsi="宋体" w:cs="宋体"/>
                <w:color w:val="auto"/>
                <w:spacing w:val="1"/>
                <w:w w:val="99"/>
                <w:kern w:val="2"/>
                <w:sz w:val="21"/>
                <w:szCs w:val="21"/>
                <w:highlight w:val="none"/>
              </w:rPr>
              <w:t>3</w:t>
            </w:r>
            <w:r>
              <w:rPr>
                <w:rFonts w:hint="eastAsia" w:ascii="宋体" w:hAnsi="宋体" w:cs="宋体"/>
                <w:color w:val="auto"/>
                <w:w w:val="99"/>
                <w:kern w:val="2"/>
                <w:sz w:val="21"/>
                <w:szCs w:val="21"/>
                <w:highlight w:val="none"/>
              </w:rPr>
              <w:t>01制冷压缩机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B5FBAC6">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冷水机组</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0B06137">
            <w:pPr>
              <w:pStyle w:val="68"/>
              <w:spacing w:before="30" w:line="240" w:lineRule="exact"/>
              <w:ind w:left="7" w:right="4"/>
              <w:jc w:val="both"/>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《冷水机组能效限定值</w:t>
            </w:r>
            <w:r>
              <w:rPr>
                <w:rFonts w:hint="eastAsia" w:ascii="宋体" w:hAnsi="宋体" w:cs="宋体"/>
                <w:color w:val="auto"/>
                <w:spacing w:val="9"/>
                <w:w w:val="99"/>
                <w:kern w:val="2"/>
                <w:sz w:val="21"/>
                <w:szCs w:val="21"/>
                <w:highlight w:val="none"/>
                <w:lang w:eastAsia="zh-CN"/>
              </w:rPr>
              <w:t>及</w:t>
            </w:r>
            <w:r>
              <w:rPr>
                <w:rFonts w:hint="eastAsia" w:ascii="宋体" w:hAnsi="宋体" w:cs="宋体"/>
                <w:color w:val="auto"/>
                <w:spacing w:val="12"/>
                <w:w w:val="99"/>
                <w:kern w:val="2"/>
                <w:sz w:val="21"/>
                <w:szCs w:val="21"/>
                <w:highlight w:val="none"/>
                <w:lang w:eastAsia="zh-CN"/>
              </w:rPr>
              <w:t>能效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3"/>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195</w:t>
            </w:r>
            <w:r>
              <w:rPr>
                <w:rFonts w:hint="eastAsia" w:ascii="宋体" w:hAnsi="宋体" w:cs="宋体"/>
                <w:color w:val="auto"/>
                <w:w w:val="99"/>
                <w:kern w:val="2"/>
                <w:sz w:val="21"/>
                <w:szCs w:val="21"/>
                <w:highlight w:val="none"/>
                <w:lang w:eastAsia="zh-CN"/>
              </w:rPr>
              <w:t>77</w:t>
            </w:r>
            <w:r>
              <w:rPr>
                <w:rFonts w:hint="eastAsia" w:ascii="宋体" w:hAnsi="宋体" w:cs="宋体"/>
                <w:color w:val="auto"/>
                <w:spacing w:val="-3"/>
                <w:w w:val="99"/>
                <w:kern w:val="2"/>
                <w:sz w:val="21"/>
                <w:szCs w:val="21"/>
                <w:highlight w:val="none"/>
                <w:lang w:eastAsia="zh-CN"/>
              </w:rPr>
              <w:t>），</w:t>
            </w:r>
            <w:r>
              <w:rPr>
                <w:rFonts w:hint="eastAsia" w:ascii="宋体" w:hAnsi="宋体" w:cs="宋体"/>
                <w:color w:val="auto"/>
                <w:w w:val="99"/>
                <w:kern w:val="2"/>
                <w:sz w:val="21"/>
                <w:szCs w:val="21"/>
                <w:highlight w:val="none"/>
                <w:lang w:eastAsia="zh-CN"/>
              </w:rPr>
              <w:t>《低</w:t>
            </w:r>
            <w:r>
              <w:rPr>
                <w:rFonts w:hint="eastAsia" w:ascii="宋体" w:hAnsi="宋体" w:cs="宋体"/>
                <w:color w:val="auto"/>
                <w:spacing w:val="2"/>
                <w:w w:val="99"/>
                <w:kern w:val="2"/>
                <w:sz w:val="21"/>
                <w:szCs w:val="21"/>
                <w:highlight w:val="none"/>
                <w:lang w:eastAsia="zh-CN"/>
              </w:rPr>
              <w:t>环</w:t>
            </w:r>
            <w:r>
              <w:rPr>
                <w:rFonts w:hint="eastAsia" w:ascii="宋体" w:hAnsi="宋体" w:cs="宋体"/>
                <w:color w:val="auto"/>
                <w:w w:val="99"/>
                <w:kern w:val="2"/>
                <w:sz w:val="21"/>
                <w:szCs w:val="21"/>
                <w:highlight w:val="none"/>
                <w:lang w:eastAsia="zh-CN"/>
              </w:rPr>
              <w:t>境温度空气源</w:t>
            </w:r>
            <w:r>
              <w:rPr>
                <w:rFonts w:hint="eastAsia" w:ascii="宋体" w:hAnsi="宋体" w:cs="宋体"/>
                <w:color w:val="auto"/>
                <w:spacing w:val="2"/>
                <w:w w:val="99"/>
                <w:kern w:val="2"/>
                <w:sz w:val="21"/>
                <w:szCs w:val="21"/>
                <w:highlight w:val="none"/>
                <w:lang w:eastAsia="zh-CN"/>
              </w:rPr>
              <w:t>热</w:t>
            </w:r>
            <w:r>
              <w:rPr>
                <w:rFonts w:hint="eastAsia" w:ascii="宋体" w:hAnsi="宋体" w:cs="宋体"/>
                <w:color w:val="auto"/>
                <w:spacing w:val="-29"/>
                <w:w w:val="99"/>
                <w:kern w:val="2"/>
                <w:sz w:val="21"/>
                <w:szCs w:val="21"/>
                <w:highlight w:val="none"/>
                <w:lang w:eastAsia="zh-CN"/>
              </w:rPr>
              <w:t>泵</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冷水</w:t>
            </w:r>
            <w:r>
              <w:rPr>
                <w:rFonts w:hint="eastAsia" w:ascii="宋体" w:hAnsi="宋体" w:cs="宋体"/>
                <w:color w:val="auto"/>
                <w:spacing w:val="-27"/>
                <w:w w:val="99"/>
                <w:kern w:val="2"/>
                <w:sz w:val="21"/>
                <w:szCs w:val="21"/>
                <w:highlight w:val="none"/>
                <w:lang w:eastAsia="zh-CN"/>
              </w:rPr>
              <w:t>）</w:t>
            </w:r>
            <w:r>
              <w:rPr>
                <w:rFonts w:hint="eastAsia" w:ascii="宋体" w:hAnsi="宋体" w:cs="宋体"/>
                <w:color w:val="auto"/>
                <w:w w:val="99"/>
                <w:kern w:val="2"/>
                <w:sz w:val="21"/>
                <w:szCs w:val="21"/>
                <w:highlight w:val="none"/>
                <w:lang w:eastAsia="zh-CN"/>
              </w:rPr>
              <w:t>机组</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效限定值及能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37</w:t>
            </w:r>
            <w:r>
              <w:rPr>
                <w:rFonts w:hint="eastAsia" w:ascii="宋体" w:hAnsi="宋体" w:cs="宋体"/>
                <w:color w:val="auto"/>
                <w:w w:val="99"/>
                <w:kern w:val="2"/>
                <w:sz w:val="21"/>
                <w:szCs w:val="21"/>
                <w:highlight w:val="none"/>
                <w:lang w:eastAsia="zh-CN"/>
              </w:rPr>
              <w:t>48</w:t>
            </w:r>
            <w:r>
              <w:rPr>
                <w:rFonts w:hint="eastAsia" w:ascii="宋体" w:hAnsi="宋体" w:cs="宋体"/>
                <w:color w:val="auto"/>
                <w:spacing w:val="-2"/>
                <w:w w:val="99"/>
                <w:kern w:val="2"/>
                <w:sz w:val="21"/>
                <w:szCs w:val="21"/>
                <w:highlight w:val="none"/>
                <w:lang w:eastAsia="zh-CN"/>
              </w:rPr>
              <w:t>0</w:t>
            </w:r>
            <w:r>
              <w:rPr>
                <w:rFonts w:hint="eastAsia" w:ascii="宋体" w:hAnsi="宋体" w:cs="宋体"/>
                <w:color w:val="auto"/>
                <w:w w:val="99"/>
                <w:kern w:val="2"/>
                <w:sz w:val="21"/>
                <w:szCs w:val="21"/>
                <w:highlight w:val="none"/>
                <w:lang w:eastAsia="zh-CN"/>
              </w:rPr>
              <w:t>）</w:t>
            </w:r>
          </w:p>
        </w:tc>
      </w:tr>
      <w:tr w14:paraId="58FD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B5A203">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448215">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351748">
            <w:pPr>
              <w:widowControl/>
              <w:spacing w:line="240" w:lineRule="exact"/>
              <w:jc w:val="left"/>
              <w:rPr>
                <w:rFonts w:ascii="宋体" w:hAnsi="宋体" w:cs="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355285A">
            <w:pPr>
              <w:spacing w:line="240" w:lineRule="exact"/>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2092" w:type="pct"/>
            <w:tcBorders>
              <w:top w:val="single" w:color="000000" w:sz="4" w:space="0"/>
              <w:left w:val="single" w:color="000000" w:sz="4" w:space="0"/>
              <w:bottom w:val="single" w:color="000000" w:sz="4" w:space="0"/>
              <w:right w:val="single" w:color="000000" w:sz="4" w:space="0"/>
            </w:tcBorders>
            <w:noWrap w:val="0"/>
            <w:vAlign w:val="center"/>
          </w:tcPr>
          <w:p w14:paraId="60A5C16E">
            <w:pPr>
              <w:pStyle w:val="68"/>
              <w:spacing w:before="93" w:line="240" w:lineRule="exact"/>
              <w:ind w:left="7"/>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《溴化锂吸收式冷水机组能效限</w:t>
            </w:r>
          </w:p>
          <w:p w14:paraId="2D91E3D8">
            <w:pPr>
              <w:spacing w:line="240" w:lineRule="exact"/>
              <w:rPr>
                <w:rFonts w:ascii="宋体" w:hAnsi="宋体"/>
                <w:color w:val="auto"/>
                <w:szCs w:val="21"/>
                <w:highlight w:val="none"/>
              </w:rPr>
            </w:pPr>
            <w:r>
              <w:rPr>
                <w:rFonts w:hint="eastAsia" w:ascii="宋体" w:hAnsi="宋体" w:cs="宋体"/>
                <w:color w:val="auto"/>
                <w:w w:val="99"/>
                <w:szCs w:val="21"/>
                <w:highlight w:val="none"/>
              </w:rPr>
              <w:t>定值及能效等级》（GB29540）</w:t>
            </w:r>
          </w:p>
        </w:tc>
      </w:tr>
      <w:tr w14:paraId="16A2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3F949A">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E7B7A8F">
            <w:pPr>
              <w:widowControl/>
              <w:spacing w:line="240" w:lineRule="exact"/>
              <w:jc w:val="left"/>
              <w:rPr>
                <w:rFonts w:ascii="宋体" w:hAnsi="宋体" w:cs="宋体"/>
                <w:color w:val="auto"/>
                <w:szCs w:val="21"/>
                <w:highlight w:val="none"/>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4F1FC241">
            <w:pPr>
              <w:pStyle w:val="68"/>
              <w:spacing w:line="240" w:lineRule="exact"/>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★A02052305空调机组</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1F5D76AD">
            <w:pPr>
              <w:pStyle w:val="68"/>
              <w:spacing w:before="4" w:line="240" w:lineRule="exact"/>
              <w:ind w:left="7" w:righ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多联式空调（热泵）机组（制冷量&gt;14000W）</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CB718E7">
            <w:pPr>
              <w:pStyle w:val="68"/>
              <w:spacing w:before="160"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《多联式空调（热泵）机组能效限定值及能源效率等级》（GB21454）</w:t>
            </w:r>
          </w:p>
        </w:tc>
      </w:tr>
      <w:tr w14:paraId="470C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E408D5">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D89316E">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B6F85D">
            <w:pPr>
              <w:widowControl/>
              <w:spacing w:line="240" w:lineRule="exact"/>
              <w:jc w:val="left"/>
              <w:rPr>
                <w:rFonts w:ascii="宋体" w:hAnsi="宋体" w:cs="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A5AE22E">
            <w:pPr>
              <w:spacing w:line="240" w:lineRule="exact"/>
              <w:jc w:val="center"/>
              <w:rPr>
                <w:rFonts w:ascii="宋体" w:hAnsi="宋体"/>
                <w:color w:val="auto"/>
                <w:szCs w:val="21"/>
                <w:highlight w:val="none"/>
              </w:rPr>
            </w:pPr>
            <w:r>
              <w:rPr>
                <w:rFonts w:hint="eastAsia" w:ascii="宋体" w:hAnsi="宋体" w:cs="宋体"/>
                <w:color w:val="auto"/>
                <w:w w:val="99"/>
                <w:szCs w:val="21"/>
                <w:highlight w:val="none"/>
              </w:rPr>
              <w:t>单元式空气调节机</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F57C061">
            <w:pPr>
              <w:spacing w:line="240" w:lineRule="exact"/>
              <w:rPr>
                <w:rFonts w:ascii="宋体" w:hAnsi="宋体"/>
                <w:color w:val="auto"/>
                <w:szCs w:val="21"/>
                <w:highlight w:val="none"/>
              </w:rPr>
            </w:pPr>
            <w:r>
              <w:rPr>
                <w:rFonts w:hint="eastAsia" w:ascii="宋体" w:hAnsi="宋体" w:cs="宋体"/>
                <w:color w:val="auto"/>
                <w:w w:val="99"/>
                <w:szCs w:val="21"/>
                <w:highlight w:val="none"/>
              </w:rPr>
              <w:t>《单元式空气调节机能效限定值及能效等级》（GB19576）《风管送风式空调机组能效限定值及能效等级》（GB37479）</w:t>
            </w:r>
          </w:p>
        </w:tc>
      </w:tr>
      <w:tr w14:paraId="6877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043B13">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5268E0">
            <w:pPr>
              <w:widowControl/>
              <w:spacing w:line="240" w:lineRule="exact"/>
              <w:jc w:val="left"/>
              <w:rPr>
                <w:rFonts w:ascii="宋体" w:hAnsi="宋体" w:cs="宋体"/>
                <w:color w:val="auto"/>
                <w:szCs w:val="21"/>
                <w:highlight w:val="none"/>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9E37B45">
            <w:pPr>
              <w:pStyle w:val="68"/>
              <w:spacing w:before="83" w:line="240" w:lineRule="exact"/>
              <w:ind w:lef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★A02052309专用制冷、空调设备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0A5D226">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机房空调</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2682EB2">
            <w:pPr>
              <w:pStyle w:val="68"/>
              <w:spacing w:before="83" w:line="240" w:lineRule="exact"/>
              <w:ind w:left="7"/>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《单元式空气调节机能效限定值</w:t>
            </w:r>
          </w:p>
          <w:p w14:paraId="14EAB1AD">
            <w:pPr>
              <w:pStyle w:val="68"/>
              <w:spacing w:before="83" w:line="24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及能效等级》（GB19576）</w:t>
            </w:r>
          </w:p>
        </w:tc>
      </w:tr>
      <w:tr w14:paraId="3175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6B610E7">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E44DF2C">
            <w:pPr>
              <w:widowControl/>
              <w:spacing w:line="240" w:lineRule="exact"/>
              <w:jc w:val="left"/>
              <w:rPr>
                <w:rFonts w:ascii="宋体" w:hAnsi="宋体" w:cs="宋体"/>
                <w:color w:val="auto"/>
                <w:szCs w:val="21"/>
                <w:highlight w:val="none"/>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FE9A743">
            <w:pPr>
              <w:pStyle w:val="68"/>
              <w:spacing w:line="240" w:lineRule="exact"/>
              <w:ind w:left="7"/>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A02052399其他制冷</w:t>
            </w:r>
          </w:p>
          <w:p w14:paraId="6F64FA35">
            <w:pPr>
              <w:pStyle w:val="68"/>
              <w:spacing w:line="240" w:lineRule="exact"/>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空调设备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120AAB0">
            <w:pPr>
              <w:widowControl/>
              <w:spacing w:line="240" w:lineRule="exact"/>
              <w:jc w:val="center"/>
              <w:rPr>
                <w:rFonts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67D6175A">
            <w:pPr>
              <w:pStyle w:val="68"/>
              <w:spacing w:line="240" w:lineRule="exact"/>
              <w:ind w:left="7"/>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《机械通风冷却塔第1部分：中小型开式冷却塔》（GB/T7190.1）</w:t>
            </w:r>
          </w:p>
          <w:p w14:paraId="731CC369">
            <w:pPr>
              <w:pStyle w:val="68"/>
              <w:spacing w:line="24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《机械通风冷却塔第2部分：大型开式冷却塔》（GB/T7190.2）</w:t>
            </w:r>
          </w:p>
        </w:tc>
      </w:tr>
      <w:tr w14:paraId="7A8C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72D743E8">
            <w:pPr>
              <w:pStyle w:val="68"/>
              <w:spacing w:line="240" w:lineRule="exact"/>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7</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6BA9DC16">
            <w:pPr>
              <w:pStyle w:val="68"/>
              <w:spacing w:line="240" w:lineRule="exact"/>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A02060100</w:t>
            </w:r>
            <w:r>
              <w:rPr>
                <w:rFonts w:hint="eastAsia" w:ascii="宋体" w:hAnsi="宋体" w:cs="宋体"/>
                <w:color w:val="auto"/>
                <w:w w:val="99"/>
                <w:kern w:val="2"/>
                <w:sz w:val="21"/>
                <w:szCs w:val="21"/>
                <w:highlight w:val="none"/>
              </w:rPr>
              <w:t>电机</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29880060">
            <w:pPr>
              <w:spacing w:line="240" w:lineRule="exact"/>
              <w:jc w:val="center"/>
              <w:rPr>
                <w:rFonts w:ascii="宋体" w:hAnsi="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9A0F626">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4D1AB30">
            <w:pPr>
              <w:pStyle w:val="68"/>
              <w:spacing w:before="52" w:line="240" w:lineRule="exact"/>
              <w:ind w:left="7" w:right="4"/>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《中小型三相异步电动机能效限定值及能效等级》（GB18613）</w:t>
            </w:r>
          </w:p>
        </w:tc>
      </w:tr>
      <w:tr w14:paraId="2D78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6AE44E24">
            <w:pPr>
              <w:pStyle w:val="68"/>
              <w:spacing w:line="240" w:lineRule="exact"/>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8</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503EACEE">
            <w:pPr>
              <w:pStyle w:val="68"/>
              <w:spacing w:before="30" w:line="240" w:lineRule="exact"/>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A02060200</w:t>
            </w:r>
            <w:r>
              <w:rPr>
                <w:rFonts w:hint="eastAsia" w:ascii="宋体" w:hAnsi="宋体" w:cs="宋体"/>
                <w:color w:val="auto"/>
                <w:w w:val="99"/>
                <w:kern w:val="2"/>
                <w:sz w:val="21"/>
                <w:szCs w:val="21"/>
                <w:highlight w:val="none"/>
              </w:rPr>
              <w:t>变压</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75634159">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配电变压器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A5DD0E6">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D1E2123">
            <w:pPr>
              <w:pStyle w:val="68"/>
              <w:spacing w:before="30" w:line="240" w:lineRule="exact"/>
              <w:ind w:left="7"/>
              <w:rPr>
                <w:rFonts w:ascii="宋体" w:hAnsi="宋体" w:cs="宋体"/>
                <w:color w:val="auto"/>
                <w:kern w:val="2"/>
                <w:sz w:val="21"/>
                <w:szCs w:val="21"/>
                <w:highlight w:val="none"/>
                <w:lang w:eastAsia="zh-CN"/>
              </w:rPr>
            </w:pPr>
            <w:r>
              <w:rPr>
                <w:rFonts w:hint="eastAsia" w:ascii="宋体" w:hAnsi="宋体"/>
                <w:color w:val="auto"/>
                <w:kern w:val="2"/>
                <w:sz w:val="21"/>
                <w:szCs w:val="21"/>
                <w:highlight w:val="none"/>
                <w:lang w:eastAsia="zh-CN"/>
              </w:rPr>
              <w:t>《三相配电变压器能效限定值及能效等级》（GB 20052）</w:t>
            </w:r>
          </w:p>
        </w:tc>
      </w:tr>
      <w:tr w14:paraId="7816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79EB7A68">
            <w:pPr>
              <w:pStyle w:val="68"/>
              <w:spacing w:line="240" w:lineRule="exact"/>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9</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116A5B8B">
            <w:pPr>
              <w:pStyle w:val="68"/>
              <w:spacing w:before="126" w:line="240" w:lineRule="exact"/>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★A02060900镇流器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F1B5B07">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管型荧光灯镇流器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64128F1">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C97325B">
            <w:pPr>
              <w:pStyle w:val="68"/>
              <w:spacing w:before="126" w:line="24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《管形荧光灯镇流器能效限定值及能效等级》（GB17896）</w:t>
            </w:r>
          </w:p>
        </w:tc>
      </w:tr>
      <w:tr w14:paraId="530C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258C9537">
            <w:pPr>
              <w:pStyle w:val="68"/>
              <w:spacing w:line="240" w:lineRule="exact"/>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10</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198B55C3">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A02061800生活用电器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475A6D70">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A02061801电冰箱</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F48DBC9">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66AD490">
            <w:pPr>
              <w:pStyle w:val="68"/>
              <w:spacing w:before="126" w:line="240" w:lineRule="exact"/>
              <w:ind w:left="7"/>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《家用电冰箱耗电量限定值及能效等级》（GB12021.2）</w:t>
            </w:r>
          </w:p>
        </w:tc>
      </w:tr>
      <w:tr w14:paraId="34CB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595603">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226B13">
            <w:pPr>
              <w:widowControl/>
              <w:spacing w:line="240" w:lineRule="exact"/>
              <w:jc w:val="left"/>
              <w:rPr>
                <w:rFonts w:ascii="宋体" w:hAnsi="宋体" w:cs="宋体"/>
                <w:color w:val="auto"/>
                <w:szCs w:val="21"/>
                <w:highlight w:val="none"/>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145F5D65">
            <w:pPr>
              <w:pStyle w:val="68"/>
              <w:spacing w:before="171"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A02061804</w:t>
            </w:r>
            <w:r>
              <w:rPr>
                <w:rFonts w:hint="eastAsia" w:ascii="宋体" w:hAnsi="宋体" w:cs="宋体"/>
                <w:color w:val="auto"/>
                <w:w w:val="99"/>
                <w:kern w:val="2"/>
                <w:sz w:val="21"/>
                <w:szCs w:val="21"/>
                <w:highlight w:val="none"/>
              </w:rPr>
              <w:t>空调机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B20D2BD">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房间空气调节器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E56A72F">
            <w:pPr>
              <w:pStyle w:val="68"/>
              <w:spacing w:line="24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《房间空气调节器能效限定值及能效等级》（GB21455-2019）</w:t>
            </w:r>
          </w:p>
        </w:tc>
      </w:tr>
      <w:tr w14:paraId="7A66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8775AC">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A90FB74">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482F1D">
            <w:pPr>
              <w:widowControl/>
              <w:spacing w:line="240" w:lineRule="exact"/>
              <w:jc w:val="left"/>
              <w:rPr>
                <w:rFonts w:ascii="宋体" w:hAnsi="宋体" w:cs="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34D4823">
            <w:pPr>
              <w:pStyle w:val="68"/>
              <w:spacing w:before="4" w:line="240" w:lineRule="exact"/>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 14000W）</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E3F44AB">
            <w:pPr>
              <w:pStyle w:val="68"/>
              <w:spacing w:before="160"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《多联式空调（热泵）机组能效限定值及能源效率等级》（GB21454）</w:t>
            </w:r>
          </w:p>
        </w:tc>
      </w:tr>
      <w:tr w14:paraId="5CAF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25BBA8C">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BE677F">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59B3F0C">
            <w:pPr>
              <w:widowControl/>
              <w:spacing w:line="240" w:lineRule="exact"/>
              <w:jc w:val="left"/>
              <w:rPr>
                <w:rFonts w:ascii="宋体" w:hAnsi="宋体" w:cs="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540D376">
            <w:pPr>
              <w:pStyle w:val="68"/>
              <w:spacing w:line="240" w:lineRule="exact"/>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单元式空气调节机（制冷量≤ 14000W）</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E851D7C">
            <w:pPr>
              <w:pStyle w:val="68"/>
              <w:spacing w:before="4" w:line="24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《单元式空气调节机能效限定值及能源效率等级》（GB19576）《风管送风式空调机组能效限定值及能效等级》（GB37479）</w:t>
            </w:r>
          </w:p>
        </w:tc>
      </w:tr>
      <w:tr w14:paraId="4740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0D35CC">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1D52F9">
            <w:pPr>
              <w:widowControl/>
              <w:spacing w:line="240" w:lineRule="exact"/>
              <w:jc w:val="left"/>
              <w:rPr>
                <w:rFonts w:ascii="宋体" w:hAnsi="宋体" w:cs="宋体"/>
                <w:color w:val="auto"/>
                <w:szCs w:val="21"/>
                <w:highlight w:val="none"/>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3684E93">
            <w:pPr>
              <w:pStyle w:val="68"/>
              <w:spacing w:before="162" w:line="240" w:lineRule="exact"/>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A02061810</w:t>
            </w:r>
            <w:r>
              <w:rPr>
                <w:rFonts w:hint="eastAsia" w:ascii="宋体" w:hAnsi="宋体" w:cs="宋体"/>
                <w:color w:val="auto"/>
                <w:w w:val="99"/>
                <w:kern w:val="2"/>
                <w:sz w:val="21"/>
                <w:szCs w:val="21"/>
                <w:highlight w:val="none"/>
              </w:rPr>
              <w:t>洗衣机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335C230">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D6305CC">
            <w:pPr>
              <w:pStyle w:val="68"/>
              <w:spacing w:before="6" w:line="240" w:lineRule="exact"/>
              <w:ind w:left="7" w:right="4"/>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《电动洗衣机能效水效限定值及等级》（GB12021.4）</w:t>
            </w:r>
          </w:p>
        </w:tc>
      </w:tr>
      <w:tr w14:paraId="56B9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A1E7D3">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B38EED">
            <w:pPr>
              <w:widowControl/>
              <w:spacing w:line="240" w:lineRule="exact"/>
              <w:jc w:val="left"/>
              <w:rPr>
                <w:rFonts w:ascii="宋体" w:hAnsi="宋体" w:cs="宋体"/>
                <w:color w:val="auto"/>
                <w:szCs w:val="21"/>
                <w:highlight w:val="none"/>
              </w:rPr>
            </w:pPr>
          </w:p>
        </w:tc>
        <w:tc>
          <w:tcPr>
            <w:tcW w:w="878" w:type="pct"/>
            <w:vMerge w:val="restart"/>
            <w:tcBorders>
              <w:top w:val="single" w:color="000000" w:sz="4" w:space="0"/>
              <w:left w:val="single" w:color="000000" w:sz="4" w:space="0"/>
              <w:bottom w:val="single" w:color="000000" w:sz="4" w:space="0"/>
              <w:right w:val="single" w:color="000000" w:sz="4" w:space="0"/>
            </w:tcBorders>
            <w:noWrap w:val="0"/>
            <w:vAlign w:val="center"/>
          </w:tcPr>
          <w:p w14:paraId="33A4306A">
            <w:pPr>
              <w:pStyle w:val="68"/>
              <w:spacing w:before="161" w:line="240" w:lineRule="exact"/>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A02061819</w:t>
            </w:r>
            <w:r>
              <w:rPr>
                <w:rFonts w:hint="eastAsia" w:ascii="宋体" w:hAnsi="宋体" w:cs="宋体"/>
                <w:color w:val="auto"/>
                <w:w w:val="99"/>
                <w:kern w:val="2"/>
                <w:sz w:val="21"/>
                <w:szCs w:val="21"/>
                <w:highlight w:val="none"/>
              </w:rPr>
              <w:t>热水器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F244490">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99021F0">
            <w:pPr>
              <w:pStyle w:val="68"/>
              <w:tabs>
                <w:tab w:val="left" w:pos="1608"/>
              </w:tabs>
              <w:spacing w:before="52"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《储水式电热水器能效</w:t>
            </w:r>
            <w:r>
              <w:rPr>
                <w:rFonts w:hint="eastAsia" w:ascii="宋体" w:hAnsi="宋体" w:cs="宋体"/>
                <w:color w:val="auto"/>
                <w:spacing w:val="9"/>
                <w:w w:val="99"/>
                <w:kern w:val="2"/>
                <w:sz w:val="21"/>
                <w:szCs w:val="21"/>
                <w:highlight w:val="none"/>
                <w:lang w:eastAsia="zh-CN"/>
              </w:rPr>
              <w:t>限</w:t>
            </w:r>
            <w:r>
              <w:rPr>
                <w:rFonts w:hint="eastAsia" w:ascii="宋体" w:hAnsi="宋体" w:cs="宋体"/>
                <w:color w:val="auto"/>
                <w:spacing w:val="12"/>
                <w:w w:val="99"/>
                <w:kern w:val="2"/>
                <w:sz w:val="21"/>
                <w:szCs w:val="21"/>
                <w:highlight w:val="none"/>
                <w:lang w:eastAsia="zh-CN"/>
              </w:rPr>
              <w:t>定值</w:t>
            </w:r>
            <w:r>
              <w:rPr>
                <w:rFonts w:hint="eastAsia" w:ascii="宋体" w:hAnsi="宋体" w:cs="宋体"/>
                <w:color w:val="auto"/>
                <w:w w:val="99"/>
                <w:kern w:val="2"/>
                <w:sz w:val="21"/>
                <w:szCs w:val="21"/>
                <w:highlight w:val="none"/>
                <w:lang w:eastAsia="zh-CN"/>
              </w:rPr>
              <w:t>及能效等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51</w:t>
            </w:r>
            <w:r>
              <w:rPr>
                <w:rFonts w:hint="eastAsia" w:ascii="宋体" w:hAnsi="宋体" w:cs="宋体"/>
                <w:color w:val="auto"/>
                <w:spacing w:val="1"/>
                <w:w w:val="99"/>
                <w:kern w:val="2"/>
                <w:sz w:val="21"/>
                <w:szCs w:val="21"/>
                <w:highlight w:val="none"/>
                <w:lang w:eastAsia="zh-CN"/>
              </w:rPr>
              <w:t>9</w:t>
            </w:r>
            <w:r>
              <w:rPr>
                <w:rFonts w:hint="eastAsia" w:ascii="宋体" w:hAnsi="宋体" w:cs="宋体"/>
                <w:color w:val="auto"/>
                <w:w w:val="99"/>
                <w:kern w:val="2"/>
                <w:sz w:val="21"/>
                <w:szCs w:val="21"/>
                <w:highlight w:val="none"/>
                <w:lang w:eastAsia="zh-CN"/>
              </w:rPr>
              <w:t>）</w:t>
            </w:r>
          </w:p>
        </w:tc>
      </w:tr>
      <w:tr w14:paraId="71F8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1309749">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EB7092A">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480E4E">
            <w:pPr>
              <w:widowControl/>
              <w:spacing w:line="240" w:lineRule="exact"/>
              <w:jc w:val="left"/>
              <w:rPr>
                <w:rFonts w:ascii="宋体" w:hAnsi="宋体" w:cs="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2ED7F3B">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燃气热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D085180">
            <w:pPr>
              <w:pStyle w:val="68"/>
              <w:spacing w:before="4"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《家用燃气快速热水器</w:t>
            </w:r>
            <w:r>
              <w:rPr>
                <w:rFonts w:hint="eastAsia" w:ascii="宋体" w:hAnsi="宋体" w:cs="宋体"/>
                <w:color w:val="auto"/>
                <w:spacing w:val="9"/>
                <w:w w:val="99"/>
                <w:kern w:val="2"/>
                <w:sz w:val="21"/>
                <w:szCs w:val="21"/>
                <w:highlight w:val="none"/>
                <w:lang w:eastAsia="zh-CN"/>
              </w:rPr>
              <w:t>和</w:t>
            </w:r>
            <w:r>
              <w:rPr>
                <w:rFonts w:hint="eastAsia" w:ascii="宋体" w:hAnsi="宋体" w:cs="宋体"/>
                <w:color w:val="auto"/>
                <w:spacing w:val="12"/>
                <w:w w:val="99"/>
                <w:kern w:val="2"/>
                <w:sz w:val="21"/>
                <w:szCs w:val="21"/>
                <w:highlight w:val="none"/>
                <w:lang w:eastAsia="zh-CN"/>
              </w:rPr>
              <w:t>燃气</w:t>
            </w:r>
            <w:r>
              <w:rPr>
                <w:rFonts w:hint="eastAsia" w:ascii="宋体" w:hAnsi="宋体" w:cs="宋体"/>
                <w:color w:val="auto"/>
                <w:w w:val="99"/>
                <w:kern w:val="2"/>
                <w:sz w:val="21"/>
                <w:szCs w:val="21"/>
                <w:highlight w:val="none"/>
                <w:lang w:eastAsia="zh-CN"/>
              </w:rPr>
              <w:t>采暖热水</w:t>
            </w:r>
            <w:r>
              <w:rPr>
                <w:rFonts w:hint="eastAsia" w:ascii="宋体" w:hAnsi="宋体" w:cs="宋体"/>
                <w:color w:val="auto"/>
                <w:spacing w:val="2"/>
                <w:w w:val="99"/>
                <w:kern w:val="2"/>
                <w:sz w:val="21"/>
                <w:szCs w:val="21"/>
                <w:highlight w:val="none"/>
                <w:lang w:eastAsia="zh-CN"/>
              </w:rPr>
              <w:t>炉</w:t>
            </w:r>
            <w:r>
              <w:rPr>
                <w:rFonts w:hint="eastAsia" w:ascii="宋体" w:hAnsi="宋体" w:cs="宋体"/>
                <w:color w:val="auto"/>
                <w:w w:val="99"/>
                <w:kern w:val="2"/>
                <w:sz w:val="21"/>
                <w:szCs w:val="21"/>
                <w:highlight w:val="none"/>
                <w:lang w:eastAsia="zh-CN"/>
              </w:rPr>
              <w:t>能效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w:t>
            </w:r>
            <w:r>
              <w:rPr>
                <w:rFonts w:hint="eastAsia" w:ascii="宋体" w:hAnsi="宋体" w:cs="宋体"/>
                <w:color w:val="auto"/>
                <w:spacing w:val="2"/>
                <w:w w:val="99"/>
                <w:kern w:val="2"/>
                <w:sz w:val="21"/>
                <w:szCs w:val="21"/>
                <w:highlight w:val="none"/>
                <w:lang w:eastAsia="zh-CN"/>
              </w:rPr>
              <w:t>及</w:t>
            </w:r>
            <w:r>
              <w:rPr>
                <w:rFonts w:hint="eastAsia" w:ascii="宋体" w:hAnsi="宋体" w:cs="宋体"/>
                <w:color w:val="auto"/>
                <w:w w:val="99"/>
                <w:kern w:val="2"/>
                <w:sz w:val="21"/>
                <w:szCs w:val="21"/>
                <w:highlight w:val="none"/>
                <w:lang w:eastAsia="zh-CN"/>
              </w:rPr>
              <w:t>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w:t>
            </w:r>
            <w:r>
              <w:rPr>
                <w:rFonts w:hint="eastAsia" w:ascii="宋体" w:hAnsi="宋体" w:cs="宋体"/>
                <w:color w:val="auto"/>
                <w:w w:val="99"/>
                <w:kern w:val="2"/>
                <w:sz w:val="21"/>
                <w:szCs w:val="21"/>
                <w:highlight w:val="none"/>
                <w:lang w:eastAsia="zh-CN"/>
              </w:rPr>
              <w:t>06</w:t>
            </w:r>
            <w:r>
              <w:rPr>
                <w:rFonts w:hint="eastAsia" w:ascii="宋体" w:hAnsi="宋体" w:cs="宋体"/>
                <w:color w:val="auto"/>
                <w:spacing w:val="1"/>
                <w:w w:val="99"/>
                <w:kern w:val="2"/>
                <w:sz w:val="21"/>
                <w:szCs w:val="21"/>
                <w:highlight w:val="none"/>
                <w:lang w:eastAsia="zh-CN"/>
              </w:rPr>
              <w:t>65</w:t>
            </w:r>
            <w:r>
              <w:rPr>
                <w:rFonts w:hint="eastAsia" w:ascii="宋体" w:hAnsi="宋体" w:cs="宋体"/>
                <w:color w:val="auto"/>
                <w:w w:val="99"/>
                <w:kern w:val="2"/>
                <w:sz w:val="21"/>
                <w:szCs w:val="21"/>
                <w:highlight w:val="none"/>
                <w:lang w:eastAsia="zh-CN"/>
              </w:rPr>
              <w:t>）</w:t>
            </w:r>
          </w:p>
        </w:tc>
      </w:tr>
      <w:tr w14:paraId="68EA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E96709">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2D5699">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6BF65D">
            <w:pPr>
              <w:widowControl/>
              <w:spacing w:line="240" w:lineRule="exact"/>
              <w:jc w:val="left"/>
              <w:rPr>
                <w:rFonts w:ascii="宋体" w:hAnsi="宋体" w:cs="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B03F1E6">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热泵热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4BBC1C1">
            <w:pPr>
              <w:pStyle w:val="68"/>
              <w:spacing w:before="93" w:line="240" w:lineRule="exact"/>
              <w:ind w:left="7" w:righ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《热泵</w:t>
            </w:r>
            <w:r>
              <w:rPr>
                <w:rFonts w:hint="eastAsia" w:ascii="宋体" w:hAnsi="宋体" w:cs="宋体"/>
                <w:color w:val="auto"/>
                <w:spacing w:val="2"/>
                <w:w w:val="99"/>
                <w:kern w:val="2"/>
                <w:sz w:val="21"/>
                <w:szCs w:val="21"/>
                <w:highlight w:val="none"/>
                <w:lang w:eastAsia="zh-CN"/>
              </w:rPr>
              <w:t>热</w:t>
            </w:r>
            <w:r>
              <w:rPr>
                <w:rFonts w:hint="eastAsia" w:ascii="宋体" w:hAnsi="宋体" w:cs="宋体"/>
                <w:color w:val="auto"/>
                <w:w w:val="99"/>
                <w:kern w:val="2"/>
                <w:sz w:val="21"/>
                <w:szCs w:val="21"/>
                <w:highlight w:val="none"/>
                <w:lang w:eastAsia="zh-CN"/>
              </w:rPr>
              <w:t>水</w:t>
            </w:r>
            <w:r>
              <w:rPr>
                <w:rFonts w:hint="eastAsia" w:ascii="宋体" w:hAnsi="宋体" w:cs="宋体"/>
                <w:color w:val="auto"/>
                <w:spacing w:val="-27"/>
                <w:w w:val="99"/>
                <w:kern w:val="2"/>
                <w:sz w:val="21"/>
                <w:szCs w:val="21"/>
                <w:highlight w:val="none"/>
                <w:lang w:eastAsia="zh-CN"/>
              </w:rPr>
              <w:t>机</w:t>
            </w:r>
            <w:r>
              <w:rPr>
                <w:rFonts w:hint="eastAsia" w:ascii="宋体" w:hAnsi="宋体" w:cs="宋体"/>
                <w:color w:val="auto"/>
                <w:w w:val="99"/>
                <w:kern w:val="2"/>
                <w:sz w:val="21"/>
                <w:szCs w:val="21"/>
                <w:highlight w:val="none"/>
                <w:lang w:eastAsia="zh-CN"/>
              </w:rPr>
              <w:t>（器</w:t>
            </w:r>
            <w:r>
              <w:rPr>
                <w:rFonts w:hint="eastAsia" w:ascii="宋体" w:hAnsi="宋体" w:cs="宋体"/>
                <w:color w:val="auto"/>
                <w:spacing w:val="-27"/>
                <w:w w:val="99"/>
                <w:kern w:val="2"/>
                <w:sz w:val="21"/>
                <w:szCs w:val="21"/>
                <w:highlight w:val="none"/>
                <w:lang w:eastAsia="zh-CN"/>
              </w:rPr>
              <w:t>）</w:t>
            </w:r>
            <w:r>
              <w:rPr>
                <w:rFonts w:hint="eastAsia" w:ascii="宋体" w:hAnsi="宋体" w:cs="宋体"/>
                <w:color w:val="auto"/>
                <w:w w:val="99"/>
                <w:kern w:val="2"/>
                <w:sz w:val="21"/>
                <w:szCs w:val="21"/>
                <w:highlight w:val="none"/>
                <w:lang w:eastAsia="zh-CN"/>
              </w:rPr>
              <w:t>能效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定值及能效等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295</w:t>
            </w:r>
            <w:r>
              <w:rPr>
                <w:rFonts w:hint="eastAsia" w:ascii="宋体" w:hAnsi="宋体" w:cs="宋体"/>
                <w:color w:val="auto"/>
                <w:w w:val="99"/>
                <w:kern w:val="2"/>
                <w:sz w:val="21"/>
                <w:szCs w:val="21"/>
                <w:highlight w:val="none"/>
                <w:lang w:eastAsia="zh-CN"/>
              </w:rPr>
              <w:t>4</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6EA5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EE0235">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8A07F8">
            <w:pPr>
              <w:widowControl/>
              <w:spacing w:line="240" w:lineRule="exact"/>
              <w:jc w:val="left"/>
              <w:rPr>
                <w:rFonts w:ascii="宋体" w:hAnsi="宋体" w:cs="宋体"/>
                <w:color w:val="auto"/>
                <w:szCs w:val="21"/>
                <w:highlight w:val="none"/>
              </w:rPr>
            </w:pPr>
          </w:p>
        </w:tc>
        <w:tc>
          <w:tcPr>
            <w:tcW w:w="87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B8A39A4">
            <w:pPr>
              <w:widowControl/>
              <w:spacing w:line="240" w:lineRule="exact"/>
              <w:jc w:val="left"/>
              <w:rPr>
                <w:rFonts w:ascii="宋体" w:hAnsi="宋体" w:cs="宋体"/>
                <w:color w:val="auto"/>
                <w:szCs w:val="21"/>
                <w:highlight w:val="none"/>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3285CE50">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太阳能</w:t>
            </w:r>
            <w:r>
              <w:rPr>
                <w:rFonts w:hint="eastAsia" w:ascii="宋体" w:hAnsi="宋体" w:cs="宋体"/>
                <w:color w:val="auto"/>
                <w:spacing w:val="2"/>
                <w:w w:val="99"/>
                <w:kern w:val="2"/>
                <w:sz w:val="21"/>
                <w:szCs w:val="21"/>
                <w:highlight w:val="none"/>
              </w:rPr>
              <w:t>热</w:t>
            </w:r>
            <w:r>
              <w:rPr>
                <w:rFonts w:hint="eastAsia" w:ascii="宋体" w:hAnsi="宋体" w:cs="宋体"/>
                <w:color w:val="auto"/>
                <w:w w:val="99"/>
                <w:kern w:val="2"/>
                <w:sz w:val="21"/>
                <w:szCs w:val="21"/>
                <w:highlight w:val="none"/>
              </w:rPr>
              <w:t>水系统</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3361003D">
            <w:pPr>
              <w:pStyle w:val="68"/>
              <w:spacing w:before="52"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《家用太阳能热水系统</w:t>
            </w:r>
            <w:r>
              <w:rPr>
                <w:rFonts w:hint="eastAsia" w:ascii="宋体" w:hAnsi="宋体" w:cs="宋体"/>
                <w:color w:val="auto"/>
                <w:spacing w:val="9"/>
                <w:w w:val="99"/>
                <w:kern w:val="2"/>
                <w:sz w:val="21"/>
                <w:szCs w:val="21"/>
                <w:highlight w:val="none"/>
                <w:lang w:eastAsia="zh-CN"/>
              </w:rPr>
              <w:t>能</w:t>
            </w:r>
            <w:r>
              <w:rPr>
                <w:rFonts w:hint="eastAsia" w:ascii="宋体" w:hAnsi="宋体" w:cs="宋体"/>
                <w:color w:val="auto"/>
                <w:spacing w:val="12"/>
                <w:w w:val="99"/>
                <w:kern w:val="2"/>
                <w:sz w:val="21"/>
                <w:szCs w:val="21"/>
                <w:highlight w:val="none"/>
                <w:lang w:eastAsia="zh-CN"/>
              </w:rPr>
              <w:t>效限</w:t>
            </w:r>
            <w:r>
              <w:rPr>
                <w:rFonts w:hint="eastAsia" w:ascii="宋体" w:hAnsi="宋体" w:cs="宋体"/>
                <w:color w:val="auto"/>
                <w:w w:val="99"/>
                <w:kern w:val="2"/>
                <w:sz w:val="21"/>
                <w:szCs w:val="21"/>
                <w:highlight w:val="none"/>
                <w:lang w:eastAsia="zh-CN"/>
              </w:rPr>
              <w:t>定值及能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26</w:t>
            </w:r>
            <w:r>
              <w:rPr>
                <w:rFonts w:hint="eastAsia" w:ascii="宋体" w:hAnsi="宋体" w:cs="宋体"/>
                <w:color w:val="auto"/>
                <w:w w:val="99"/>
                <w:kern w:val="2"/>
                <w:sz w:val="21"/>
                <w:szCs w:val="21"/>
                <w:highlight w:val="none"/>
                <w:lang w:eastAsia="zh-CN"/>
              </w:rPr>
              <w:t>96</w:t>
            </w:r>
            <w:r>
              <w:rPr>
                <w:rFonts w:hint="eastAsia" w:ascii="宋体" w:hAnsi="宋体" w:cs="宋体"/>
                <w:color w:val="auto"/>
                <w:spacing w:val="-2"/>
                <w:w w:val="99"/>
                <w:kern w:val="2"/>
                <w:sz w:val="21"/>
                <w:szCs w:val="21"/>
                <w:highlight w:val="none"/>
                <w:lang w:eastAsia="zh-CN"/>
              </w:rPr>
              <w:t>9</w:t>
            </w:r>
            <w:r>
              <w:rPr>
                <w:rFonts w:hint="eastAsia" w:ascii="宋体" w:hAnsi="宋体" w:cs="宋体"/>
                <w:color w:val="auto"/>
                <w:w w:val="99"/>
                <w:kern w:val="2"/>
                <w:sz w:val="21"/>
                <w:szCs w:val="21"/>
                <w:highlight w:val="none"/>
                <w:lang w:eastAsia="zh-CN"/>
              </w:rPr>
              <w:t>）</w:t>
            </w:r>
          </w:p>
        </w:tc>
      </w:tr>
      <w:tr w14:paraId="6E99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0AB6DB8C">
            <w:pPr>
              <w:pStyle w:val="68"/>
              <w:spacing w:line="240" w:lineRule="exact"/>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1</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28969BC7">
            <w:pPr>
              <w:pStyle w:val="68"/>
              <w:spacing w:before="157" w:line="240" w:lineRule="exact"/>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06</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900照明设备</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1C9AC1E0">
            <w:pPr>
              <w:pStyle w:val="68"/>
              <w:spacing w:before="133" w:line="240" w:lineRule="exact"/>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★普通照明用双端荧光灯</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6ABA5BD">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0016E26">
            <w:pPr>
              <w:pStyle w:val="68"/>
              <w:spacing w:before="133"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《普通照明用双端荧光灯能效限定值及能效等级》（GB19043）</w:t>
            </w:r>
          </w:p>
        </w:tc>
      </w:tr>
      <w:tr w14:paraId="177A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D5474F">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D390CD">
            <w:pPr>
              <w:widowControl/>
              <w:spacing w:line="240" w:lineRule="exact"/>
              <w:jc w:val="left"/>
              <w:rPr>
                <w:rFonts w:ascii="宋体" w:hAnsi="宋体" w:cs="宋体"/>
                <w:color w:val="auto"/>
                <w:szCs w:val="21"/>
                <w:highlight w:val="none"/>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1911D40">
            <w:pPr>
              <w:pStyle w:val="68"/>
              <w:spacing w:before="92" w:line="240" w:lineRule="exact"/>
              <w:ind w:left="7" w:right="2"/>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w:t>
            </w:r>
            <w:r>
              <w:rPr>
                <w:rFonts w:hint="eastAsia" w:ascii="宋体" w:hAnsi="宋体" w:cs="宋体"/>
                <w:color w:val="auto"/>
                <w:spacing w:val="12"/>
                <w:w w:val="99"/>
                <w:kern w:val="2"/>
                <w:sz w:val="21"/>
                <w:szCs w:val="21"/>
                <w:highlight w:val="none"/>
              </w:rPr>
              <w:t>道</w:t>
            </w:r>
            <w:r>
              <w:rPr>
                <w:rFonts w:hint="eastAsia" w:ascii="宋体" w:hAnsi="宋体" w:cs="宋体"/>
                <w:color w:val="auto"/>
                <w:spacing w:val="9"/>
                <w:w w:val="99"/>
                <w:kern w:val="2"/>
                <w:sz w:val="21"/>
                <w:szCs w:val="21"/>
                <w:highlight w:val="none"/>
              </w:rPr>
              <w:t>路</w:t>
            </w:r>
            <w:r>
              <w:rPr>
                <w:rFonts w:hint="eastAsia" w:ascii="宋体" w:hAnsi="宋体" w:cs="宋体"/>
                <w:color w:val="auto"/>
                <w:spacing w:val="13"/>
                <w:w w:val="99"/>
                <w:kern w:val="2"/>
                <w:sz w:val="21"/>
                <w:szCs w:val="21"/>
                <w:highlight w:val="none"/>
              </w:rPr>
              <w:t>/</w:t>
            </w:r>
            <w:r>
              <w:rPr>
                <w:rFonts w:hint="eastAsia" w:ascii="宋体" w:hAnsi="宋体" w:cs="宋体"/>
                <w:color w:val="auto"/>
                <w:spacing w:val="12"/>
                <w:w w:val="99"/>
                <w:kern w:val="2"/>
                <w:sz w:val="21"/>
                <w:szCs w:val="21"/>
                <w:highlight w:val="none"/>
              </w:rPr>
              <w:t>隧道照</w:t>
            </w:r>
            <w:r>
              <w:rPr>
                <w:rFonts w:hint="eastAsia" w:ascii="宋体" w:hAnsi="宋体" w:cs="宋体"/>
                <w:color w:val="auto"/>
                <w:w w:val="99"/>
                <w:kern w:val="2"/>
                <w:sz w:val="21"/>
                <w:szCs w:val="21"/>
                <w:highlight w:val="none"/>
              </w:rPr>
              <w:t>明产品</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BF40041">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D9F6FBB">
            <w:pPr>
              <w:pStyle w:val="68"/>
              <w:spacing w:before="92" w:line="240" w:lineRule="exact"/>
              <w:ind w:left="7" w:right="7"/>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《道路和隧道照明用LED灯具能效限定值及能效等级》（GB37478</w:t>
            </w:r>
            <w:r>
              <w:rPr>
                <w:rFonts w:ascii="宋体" w:hAnsi="宋体" w:cs="宋体"/>
                <w:color w:val="auto"/>
                <w:spacing w:val="10"/>
                <w:kern w:val="2"/>
                <w:sz w:val="21"/>
                <w:szCs w:val="21"/>
                <w:highlight w:val="none"/>
                <w:lang w:eastAsia="zh-CN"/>
              </w:rPr>
              <w:t>）</w:t>
            </w:r>
          </w:p>
        </w:tc>
      </w:tr>
      <w:tr w14:paraId="3DAF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3BF7D2">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C99C53">
            <w:pPr>
              <w:widowControl/>
              <w:spacing w:line="240" w:lineRule="exact"/>
              <w:jc w:val="left"/>
              <w:rPr>
                <w:rFonts w:ascii="宋体" w:hAnsi="宋体" w:cs="宋体"/>
                <w:color w:val="auto"/>
                <w:szCs w:val="21"/>
                <w:highlight w:val="none"/>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456AB8CC">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D筒灯</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E3A8048">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393AFA1">
            <w:pPr>
              <w:pStyle w:val="68"/>
              <w:spacing w:before="83" w:line="240" w:lineRule="exact"/>
              <w:ind w:left="7" w:right="7"/>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《室内照明用LED产品能效限定值及能效等级》（GB30255）</w:t>
            </w:r>
          </w:p>
        </w:tc>
      </w:tr>
      <w:tr w14:paraId="2E1F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363379">
            <w:pPr>
              <w:widowControl/>
              <w:spacing w:line="240" w:lineRule="exact"/>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82BF91">
            <w:pPr>
              <w:widowControl/>
              <w:spacing w:line="240" w:lineRule="exact"/>
              <w:jc w:val="left"/>
              <w:rPr>
                <w:rFonts w:ascii="宋体" w:hAnsi="宋体" w:cs="宋体"/>
                <w:color w:val="auto"/>
                <w:szCs w:val="21"/>
                <w:highlight w:val="none"/>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5D76D6F6">
            <w:pPr>
              <w:pStyle w:val="68"/>
              <w:spacing w:line="240" w:lineRule="exact"/>
              <w:ind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w:t>
            </w:r>
            <w:r>
              <w:rPr>
                <w:rFonts w:hint="eastAsia" w:ascii="宋体" w:hAnsi="宋体" w:cs="宋体"/>
                <w:color w:val="auto"/>
                <w:spacing w:val="24"/>
                <w:w w:val="99"/>
                <w:kern w:val="2"/>
                <w:sz w:val="21"/>
                <w:szCs w:val="21"/>
                <w:highlight w:val="none"/>
                <w:lang w:eastAsia="zh-CN"/>
              </w:rPr>
              <w:t>通</w:t>
            </w:r>
            <w:r>
              <w:rPr>
                <w:rFonts w:hint="eastAsia" w:ascii="宋体" w:hAnsi="宋体" w:cs="宋体"/>
                <w:color w:val="auto"/>
                <w:w w:val="99"/>
                <w:kern w:val="2"/>
                <w:sz w:val="21"/>
                <w:szCs w:val="21"/>
                <w:highlight w:val="none"/>
                <w:lang w:eastAsia="zh-CN"/>
              </w:rPr>
              <w:t>照明用非</w:t>
            </w:r>
            <w:r>
              <w:rPr>
                <w:rFonts w:hint="eastAsia" w:ascii="宋体" w:hAnsi="宋体" w:cs="宋体"/>
                <w:color w:val="auto"/>
                <w:spacing w:val="24"/>
                <w:w w:val="99"/>
                <w:kern w:val="2"/>
                <w:sz w:val="21"/>
                <w:szCs w:val="21"/>
                <w:highlight w:val="none"/>
                <w:lang w:eastAsia="zh-CN"/>
              </w:rPr>
              <w:t>定</w:t>
            </w:r>
            <w:r>
              <w:rPr>
                <w:rFonts w:hint="eastAsia" w:ascii="宋体" w:hAnsi="宋体" w:cs="宋体"/>
                <w:color w:val="auto"/>
                <w:w w:val="99"/>
                <w:kern w:val="2"/>
                <w:sz w:val="21"/>
                <w:szCs w:val="21"/>
                <w:highlight w:val="none"/>
                <w:lang w:eastAsia="zh-CN"/>
              </w:rPr>
              <w:t>向自镇流</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D灯</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CD12123">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42AB5880">
            <w:pPr>
              <w:pStyle w:val="68"/>
              <w:spacing w:line="240" w:lineRule="exact"/>
              <w:ind w:left="7" w:right="7"/>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《室内照明用LED产品能效限定值及能效等级》（GB30255）</w:t>
            </w:r>
          </w:p>
        </w:tc>
      </w:tr>
      <w:tr w14:paraId="65AC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6521FAF7">
            <w:pPr>
              <w:pStyle w:val="68"/>
              <w:spacing w:line="240" w:lineRule="exact"/>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2</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1FFD37C5">
            <w:pPr>
              <w:pStyle w:val="68"/>
              <w:spacing w:before="81" w:line="240" w:lineRule="exact"/>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91000电视设备</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2416CCFB">
            <w:pPr>
              <w:pStyle w:val="68"/>
              <w:spacing w:before="81" w:line="240" w:lineRule="exact"/>
              <w:ind w:left="7" w:right="5"/>
              <w:jc w:val="center"/>
              <w:rPr>
                <w:rFonts w:ascii="宋体" w:hAnsi="宋体" w:cs="宋体"/>
                <w:color w:val="auto"/>
                <w:kern w:val="2"/>
                <w:sz w:val="21"/>
                <w:szCs w:val="21"/>
                <w:highlight w:val="none"/>
                <w:lang w:eastAsia="zh-CN"/>
              </w:rPr>
            </w:pPr>
            <w:r>
              <w:rPr>
                <w:rFonts w:hint="eastAsia" w:ascii="宋体" w:hAnsi="宋体" w:cs="宋体"/>
                <w:color w:val="auto"/>
                <w:spacing w:val="1"/>
                <w:w w:val="99"/>
                <w:kern w:val="2"/>
                <w:sz w:val="21"/>
                <w:szCs w:val="21"/>
                <w:highlight w:val="none"/>
                <w:lang w:eastAsia="zh-CN"/>
              </w:rPr>
              <w:t>A02</w:t>
            </w:r>
            <w:r>
              <w:rPr>
                <w:rFonts w:hint="eastAsia" w:ascii="宋体" w:hAnsi="宋体" w:cs="宋体"/>
                <w:color w:val="auto"/>
                <w:w w:val="99"/>
                <w:kern w:val="2"/>
                <w:sz w:val="21"/>
                <w:szCs w:val="21"/>
                <w:highlight w:val="none"/>
                <w:lang w:eastAsia="zh-CN"/>
              </w:rPr>
              <w:t>09</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001普通电视设备（</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视机）</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659705A5">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8C08A8E">
            <w:pPr>
              <w:pStyle w:val="68"/>
              <w:spacing w:before="81"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《平板电视与机顶盒能效限定值及能效等级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248</w:t>
            </w:r>
            <w:r>
              <w:rPr>
                <w:rFonts w:hint="eastAsia" w:ascii="宋体" w:hAnsi="宋体" w:cs="宋体"/>
                <w:color w:val="auto"/>
                <w:w w:val="99"/>
                <w:kern w:val="2"/>
                <w:sz w:val="21"/>
                <w:szCs w:val="21"/>
                <w:highlight w:val="none"/>
                <w:lang w:eastAsia="zh-CN"/>
              </w:rPr>
              <w:t>50）</w:t>
            </w:r>
          </w:p>
        </w:tc>
      </w:tr>
      <w:tr w14:paraId="6EFA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4D0E7CA5">
            <w:pPr>
              <w:pStyle w:val="68"/>
              <w:spacing w:line="240" w:lineRule="exact"/>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3</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02B09EFF">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91100视频设备</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70B1FB7F">
            <w:pPr>
              <w:pStyle w:val="68"/>
              <w:spacing w:line="240" w:lineRule="exact"/>
              <w:ind w:right="5"/>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09</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107视频监控设备</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4B6A9543">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监视器</w:t>
            </w: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9D94D7E">
            <w:pPr>
              <w:pStyle w:val="68"/>
              <w:spacing w:before="28" w:line="240" w:lineRule="exact"/>
              <w:ind w:left="7" w:right="5"/>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以射频信号为主要信号</w:t>
            </w:r>
            <w:r>
              <w:rPr>
                <w:rFonts w:hint="eastAsia" w:ascii="宋体" w:hAnsi="宋体" w:cs="宋体"/>
                <w:color w:val="auto"/>
                <w:spacing w:val="9"/>
                <w:w w:val="99"/>
                <w:kern w:val="2"/>
                <w:sz w:val="21"/>
                <w:szCs w:val="21"/>
                <w:highlight w:val="none"/>
                <w:lang w:eastAsia="zh-CN"/>
              </w:rPr>
              <w:t>输</w:t>
            </w:r>
            <w:r>
              <w:rPr>
                <w:rFonts w:hint="eastAsia" w:ascii="宋体" w:hAnsi="宋体" w:cs="宋体"/>
                <w:color w:val="auto"/>
                <w:spacing w:val="12"/>
                <w:w w:val="99"/>
                <w:kern w:val="2"/>
                <w:sz w:val="21"/>
                <w:szCs w:val="21"/>
                <w:highlight w:val="none"/>
                <w:lang w:eastAsia="zh-CN"/>
              </w:rPr>
              <w:t>入的</w:t>
            </w:r>
            <w:r>
              <w:rPr>
                <w:rFonts w:hint="eastAsia" w:ascii="宋体" w:hAnsi="宋体" w:cs="宋体"/>
                <w:color w:val="auto"/>
                <w:w w:val="99"/>
                <w:kern w:val="2"/>
                <w:sz w:val="21"/>
                <w:szCs w:val="21"/>
                <w:highlight w:val="none"/>
                <w:lang w:eastAsia="zh-CN"/>
              </w:rPr>
              <w:t>监视器应</w:t>
            </w:r>
            <w:r>
              <w:rPr>
                <w:rFonts w:hint="eastAsia" w:ascii="宋体" w:hAnsi="宋体" w:cs="宋体"/>
                <w:color w:val="auto"/>
                <w:spacing w:val="2"/>
                <w:w w:val="99"/>
                <w:kern w:val="2"/>
                <w:sz w:val="21"/>
                <w:szCs w:val="21"/>
                <w:highlight w:val="none"/>
                <w:lang w:eastAsia="zh-CN"/>
              </w:rPr>
              <w:t>符</w:t>
            </w:r>
            <w:r>
              <w:rPr>
                <w:rFonts w:hint="eastAsia" w:ascii="宋体" w:hAnsi="宋体" w:cs="宋体"/>
                <w:color w:val="auto"/>
                <w:spacing w:val="-58"/>
                <w:w w:val="99"/>
                <w:kern w:val="2"/>
                <w:sz w:val="21"/>
                <w:szCs w:val="21"/>
                <w:highlight w:val="none"/>
                <w:lang w:eastAsia="zh-CN"/>
              </w:rPr>
              <w:t>合</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平板电视与机顶盒能效限定值及能效等级》（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24850</w:t>
            </w:r>
            <w:r>
              <w:rPr>
                <w:rFonts w:hint="eastAsia" w:ascii="宋体" w:hAnsi="宋体" w:cs="宋体"/>
                <w:color w:val="auto"/>
                <w:spacing w:val="-3"/>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2"/>
                <w:w w:val="99"/>
                <w:kern w:val="2"/>
                <w:sz w:val="21"/>
                <w:szCs w:val="21"/>
                <w:highlight w:val="none"/>
                <w:lang w:eastAsia="zh-CN"/>
              </w:rPr>
              <w:t>以数字信号为主要信号</w:t>
            </w:r>
            <w:r>
              <w:rPr>
                <w:rFonts w:hint="eastAsia" w:ascii="宋体" w:hAnsi="宋体" w:cs="宋体"/>
                <w:color w:val="auto"/>
                <w:spacing w:val="9"/>
                <w:w w:val="99"/>
                <w:kern w:val="2"/>
                <w:sz w:val="21"/>
                <w:szCs w:val="21"/>
                <w:highlight w:val="none"/>
                <w:lang w:eastAsia="zh-CN"/>
              </w:rPr>
              <w:t>输</w:t>
            </w:r>
            <w:r>
              <w:rPr>
                <w:rFonts w:hint="eastAsia" w:ascii="宋体" w:hAnsi="宋体" w:cs="宋体"/>
                <w:color w:val="auto"/>
                <w:spacing w:val="12"/>
                <w:w w:val="99"/>
                <w:kern w:val="2"/>
                <w:sz w:val="21"/>
                <w:szCs w:val="21"/>
                <w:highlight w:val="none"/>
                <w:lang w:eastAsia="zh-CN"/>
              </w:rPr>
              <w:t>入的</w:t>
            </w:r>
            <w:r>
              <w:rPr>
                <w:rFonts w:hint="eastAsia" w:ascii="宋体" w:hAnsi="宋体" w:cs="宋体"/>
                <w:color w:val="auto"/>
                <w:w w:val="99"/>
                <w:kern w:val="2"/>
                <w:sz w:val="21"/>
                <w:szCs w:val="21"/>
                <w:highlight w:val="none"/>
                <w:lang w:eastAsia="zh-CN"/>
              </w:rPr>
              <w:t>监视器应</w:t>
            </w:r>
            <w:r>
              <w:rPr>
                <w:rFonts w:hint="eastAsia" w:ascii="宋体" w:hAnsi="宋体" w:cs="宋体"/>
                <w:color w:val="auto"/>
                <w:spacing w:val="2"/>
                <w:w w:val="99"/>
                <w:kern w:val="2"/>
                <w:sz w:val="21"/>
                <w:szCs w:val="21"/>
                <w:highlight w:val="none"/>
                <w:lang w:eastAsia="zh-CN"/>
              </w:rPr>
              <w:t>符</w:t>
            </w:r>
            <w:r>
              <w:rPr>
                <w:rFonts w:hint="eastAsia" w:ascii="宋体" w:hAnsi="宋体" w:cs="宋体"/>
                <w:color w:val="auto"/>
                <w:spacing w:val="-58"/>
                <w:w w:val="99"/>
                <w:kern w:val="2"/>
                <w:sz w:val="21"/>
                <w:szCs w:val="21"/>
                <w:highlight w:val="none"/>
                <w:lang w:eastAsia="zh-CN"/>
              </w:rPr>
              <w:t>合</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计算</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显示</w:t>
            </w:r>
            <w:r>
              <w:rPr>
                <w:rFonts w:hint="eastAsia" w:ascii="宋体" w:hAnsi="宋体" w:cs="宋体"/>
                <w:color w:val="auto"/>
                <w:spacing w:val="2"/>
                <w:w w:val="99"/>
                <w:kern w:val="2"/>
                <w:sz w:val="21"/>
                <w:szCs w:val="21"/>
                <w:highlight w:val="none"/>
                <w:lang w:eastAsia="zh-CN"/>
              </w:rPr>
              <w:t>器</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0</w:t>
            </w:r>
            <w:r>
              <w:rPr>
                <w:rFonts w:hint="eastAsia" w:ascii="宋体" w:hAnsi="宋体" w:cs="宋体"/>
                <w:color w:val="auto"/>
                <w:w w:val="99"/>
                <w:kern w:val="2"/>
                <w:sz w:val="21"/>
                <w:szCs w:val="21"/>
                <w:highlight w:val="none"/>
                <w:lang w:eastAsia="zh-CN"/>
              </w:rPr>
              <w:t>）</w:t>
            </w:r>
          </w:p>
        </w:tc>
      </w:tr>
      <w:tr w14:paraId="288F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6BA732AF">
            <w:pPr>
              <w:pStyle w:val="68"/>
              <w:spacing w:line="240" w:lineRule="exact"/>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4</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674C577A">
            <w:pPr>
              <w:pStyle w:val="68"/>
              <w:spacing w:before="76" w:line="240" w:lineRule="exact"/>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A02241000</w:t>
            </w:r>
            <w:r>
              <w:rPr>
                <w:rFonts w:hint="eastAsia" w:ascii="宋体" w:hAnsi="宋体" w:cs="宋体"/>
                <w:color w:val="auto"/>
                <w:w w:val="99"/>
                <w:kern w:val="2"/>
                <w:sz w:val="21"/>
                <w:szCs w:val="21"/>
                <w:highlight w:val="none"/>
              </w:rPr>
              <w:t>饮食炊事机械</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27AD47B9">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商用燃</w:t>
            </w:r>
            <w:r>
              <w:rPr>
                <w:rFonts w:hint="eastAsia" w:ascii="宋体" w:hAnsi="宋体" w:cs="宋体"/>
                <w:color w:val="auto"/>
                <w:spacing w:val="2"/>
                <w:w w:val="99"/>
                <w:kern w:val="2"/>
                <w:sz w:val="21"/>
                <w:szCs w:val="21"/>
                <w:highlight w:val="none"/>
              </w:rPr>
              <w:t>气</w:t>
            </w:r>
            <w:r>
              <w:rPr>
                <w:rFonts w:hint="eastAsia" w:ascii="宋体" w:hAnsi="宋体" w:cs="宋体"/>
                <w:color w:val="auto"/>
                <w:w w:val="99"/>
                <w:kern w:val="2"/>
                <w:sz w:val="21"/>
                <w:szCs w:val="21"/>
                <w:highlight w:val="none"/>
              </w:rPr>
              <w:t>灶具</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761B348">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E43DEC2">
            <w:pPr>
              <w:pStyle w:val="68"/>
              <w:spacing w:before="76"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《商用燃气灶具能效限</w:t>
            </w:r>
            <w:r>
              <w:rPr>
                <w:rFonts w:hint="eastAsia" w:ascii="宋体" w:hAnsi="宋体" w:cs="宋体"/>
                <w:color w:val="auto"/>
                <w:spacing w:val="9"/>
                <w:w w:val="99"/>
                <w:kern w:val="2"/>
                <w:sz w:val="21"/>
                <w:szCs w:val="21"/>
                <w:highlight w:val="none"/>
                <w:lang w:eastAsia="zh-CN"/>
              </w:rPr>
              <w:t>定</w:t>
            </w:r>
            <w:r>
              <w:rPr>
                <w:rFonts w:hint="eastAsia" w:ascii="宋体" w:hAnsi="宋体" w:cs="宋体"/>
                <w:color w:val="auto"/>
                <w:spacing w:val="12"/>
                <w:w w:val="99"/>
                <w:kern w:val="2"/>
                <w:sz w:val="21"/>
                <w:szCs w:val="21"/>
                <w:highlight w:val="none"/>
                <w:lang w:eastAsia="zh-CN"/>
              </w:rPr>
              <w:t>值及</w:t>
            </w:r>
            <w:r>
              <w:rPr>
                <w:rFonts w:hint="eastAsia" w:ascii="宋体" w:hAnsi="宋体" w:cs="宋体"/>
                <w:color w:val="auto"/>
                <w:w w:val="99"/>
                <w:kern w:val="2"/>
                <w:sz w:val="21"/>
                <w:szCs w:val="21"/>
                <w:highlight w:val="none"/>
                <w:lang w:eastAsia="zh-CN"/>
              </w:rPr>
              <w:t>能效等级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30</w:t>
            </w:r>
            <w:r>
              <w:rPr>
                <w:rFonts w:hint="eastAsia" w:ascii="宋体" w:hAnsi="宋体" w:cs="宋体"/>
                <w:color w:val="auto"/>
                <w:w w:val="99"/>
                <w:kern w:val="2"/>
                <w:sz w:val="21"/>
                <w:szCs w:val="21"/>
                <w:highlight w:val="none"/>
                <w:lang w:eastAsia="zh-CN"/>
              </w:rPr>
              <w:t>53</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5835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noWrap w:val="0"/>
            <w:vAlign w:val="center"/>
          </w:tcPr>
          <w:p w14:paraId="396218FA">
            <w:pPr>
              <w:spacing w:line="240" w:lineRule="exact"/>
              <w:jc w:val="center"/>
              <w:rPr>
                <w:rFonts w:ascii="宋体" w:hAnsi="宋体"/>
                <w:color w:val="auto"/>
                <w:szCs w:val="21"/>
                <w:highlight w:val="none"/>
              </w:rPr>
            </w:pPr>
            <w:r>
              <w:rPr>
                <w:rFonts w:hint="eastAsia" w:ascii="宋体" w:hAnsi="宋体"/>
                <w:color w:val="auto"/>
                <w:szCs w:val="21"/>
                <w:highlight w:val="none"/>
              </w:rPr>
              <w:t>15</w:t>
            </w:r>
          </w:p>
        </w:tc>
        <w:tc>
          <w:tcPr>
            <w:tcW w:w="834" w:type="pct"/>
            <w:vMerge w:val="restart"/>
            <w:tcBorders>
              <w:top w:val="single" w:color="000000" w:sz="4" w:space="0"/>
              <w:left w:val="single" w:color="000000" w:sz="4" w:space="0"/>
              <w:bottom w:val="single" w:color="000000" w:sz="4" w:space="0"/>
              <w:right w:val="single" w:color="000000" w:sz="4" w:space="0"/>
            </w:tcBorders>
            <w:noWrap w:val="0"/>
            <w:vAlign w:val="center"/>
          </w:tcPr>
          <w:p w14:paraId="3AB91076">
            <w:pPr>
              <w:pStyle w:val="68"/>
              <w:spacing w:line="240" w:lineRule="exact"/>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A05020105</w:t>
            </w:r>
            <w:r>
              <w:rPr>
                <w:rFonts w:hint="eastAsia" w:ascii="宋体" w:hAnsi="宋体" w:cs="宋体"/>
                <w:color w:val="auto"/>
                <w:w w:val="99"/>
                <w:kern w:val="2"/>
                <w:sz w:val="21"/>
                <w:szCs w:val="21"/>
                <w:highlight w:val="none"/>
              </w:rPr>
              <w:t>便器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604C1357">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坐便器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8CC1DEC">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76E555CC">
            <w:pPr>
              <w:pStyle w:val="68"/>
              <w:spacing w:before="124" w:line="240" w:lineRule="exact"/>
              <w:ind w:left="7"/>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《坐便</w:t>
            </w:r>
            <w:r>
              <w:rPr>
                <w:rFonts w:hint="eastAsia" w:ascii="宋体" w:hAnsi="宋体" w:cs="宋体"/>
                <w:color w:val="auto"/>
                <w:spacing w:val="2"/>
                <w:w w:val="99"/>
                <w:kern w:val="2"/>
                <w:sz w:val="21"/>
                <w:szCs w:val="21"/>
                <w:highlight w:val="none"/>
                <w:lang w:eastAsia="zh-CN"/>
              </w:rPr>
              <w:t>器</w:t>
            </w:r>
            <w:r>
              <w:rPr>
                <w:rFonts w:hint="eastAsia" w:ascii="宋体" w:hAnsi="宋体" w:cs="宋体"/>
                <w:color w:val="auto"/>
                <w:w w:val="99"/>
                <w:kern w:val="2"/>
                <w:sz w:val="21"/>
                <w:szCs w:val="21"/>
                <w:highlight w:val="none"/>
                <w:lang w:eastAsia="zh-CN"/>
              </w:rPr>
              <w:t>水效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w:t>
            </w:r>
            <w:r>
              <w:rPr>
                <w:rFonts w:hint="eastAsia" w:ascii="宋体" w:hAnsi="宋体" w:cs="宋体"/>
                <w:color w:val="auto"/>
                <w:spacing w:val="2"/>
                <w:w w:val="99"/>
                <w:kern w:val="2"/>
                <w:sz w:val="21"/>
                <w:szCs w:val="21"/>
                <w:highlight w:val="none"/>
                <w:lang w:eastAsia="zh-CN"/>
              </w:rPr>
              <w:t>及</w:t>
            </w:r>
            <w:r>
              <w:rPr>
                <w:rFonts w:hint="eastAsia" w:ascii="宋体" w:hAnsi="宋体" w:cs="宋体"/>
                <w:color w:val="auto"/>
                <w:w w:val="99"/>
                <w:kern w:val="2"/>
                <w:sz w:val="21"/>
                <w:szCs w:val="21"/>
                <w:highlight w:val="none"/>
                <w:lang w:eastAsia="zh-CN"/>
              </w:rPr>
              <w:t>水</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p>
          <w:p w14:paraId="2E723BD0">
            <w:pPr>
              <w:pStyle w:val="68"/>
              <w:spacing w:before="50" w:line="240" w:lineRule="exact"/>
              <w:ind w:left="7"/>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G</w:t>
            </w:r>
            <w:r>
              <w:rPr>
                <w:rFonts w:hint="eastAsia" w:ascii="宋体" w:hAnsi="宋体" w:cs="宋体"/>
                <w:color w:val="auto"/>
                <w:w w:val="99"/>
                <w:kern w:val="2"/>
                <w:sz w:val="21"/>
                <w:szCs w:val="21"/>
                <w:highlight w:val="none"/>
              </w:rPr>
              <w:t>B</w:t>
            </w:r>
            <w:r>
              <w:rPr>
                <w:rFonts w:hint="eastAsia" w:ascii="宋体" w:hAnsi="宋体" w:cs="宋体"/>
                <w:color w:val="auto"/>
                <w:spacing w:val="1"/>
                <w:w w:val="99"/>
                <w:kern w:val="2"/>
                <w:sz w:val="21"/>
                <w:szCs w:val="21"/>
                <w:highlight w:val="none"/>
              </w:rPr>
              <w:t>2</w:t>
            </w:r>
            <w:r>
              <w:rPr>
                <w:rFonts w:hint="eastAsia" w:ascii="宋体" w:hAnsi="宋体" w:cs="宋体"/>
                <w:color w:val="auto"/>
                <w:w w:val="99"/>
                <w:kern w:val="2"/>
                <w:sz w:val="21"/>
                <w:szCs w:val="21"/>
                <w:highlight w:val="none"/>
              </w:rPr>
              <w:t>55</w:t>
            </w:r>
            <w:r>
              <w:rPr>
                <w:rFonts w:hint="eastAsia" w:ascii="宋体" w:hAnsi="宋体" w:cs="宋体"/>
                <w:color w:val="auto"/>
                <w:spacing w:val="1"/>
                <w:w w:val="99"/>
                <w:kern w:val="2"/>
                <w:sz w:val="21"/>
                <w:szCs w:val="21"/>
                <w:highlight w:val="none"/>
              </w:rPr>
              <w:t>02</w:t>
            </w:r>
            <w:r>
              <w:rPr>
                <w:rFonts w:hint="eastAsia" w:ascii="宋体" w:hAnsi="宋体" w:cs="宋体"/>
                <w:color w:val="auto"/>
                <w:w w:val="99"/>
                <w:kern w:val="2"/>
                <w:sz w:val="21"/>
                <w:szCs w:val="21"/>
                <w:highlight w:val="none"/>
              </w:rPr>
              <w:t>）</w:t>
            </w:r>
          </w:p>
        </w:tc>
      </w:tr>
      <w:tr w14:paraId="2948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BA47BE0">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F4D52F">
            <w:pPr>
              <w:widowControl/>
              <w:spacing w:line="240" w:lineRule="exact"/>
              <w:jc w:val="left"/>
              <w:rPr>
                <w:rFonts w:ascii="宋体" w:hAnsi="宋体" w:cs="宋体"/>
                <w:color w:val="auto"/>
                <w:w w:val="99"/>
                <w:szCs w:val="21"/>
                <w:highlight w:val="none"/>
                <w:lang w:eastAsia="en-US"/>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384906CB">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蹲便器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CCD7653">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5F4753FC">
            <w:pPr>
              <w:pStyle w:val="68"/>
              <w:spacing w:before="124"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《蹲便器用水效率限定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及用</w:t>
            </w:r>
            <w:r>
              <w:rPr>
                <w:rFonts w:hint="eastAsia" w:ascii="宋体" w:hAnsi="宋体" w:cs="宋体"/>
                <w:color w:val="auto"/>
                <w:w w:val="99"/>
                <w:kern w:val="2"/>
                <w:sz w:val="21"/>
                <w:szCs w:val="21"/>
                <w:highlight w:val="none"/>
                <w:lang w:eastAsia="zh-CN"/>
              </w:rPr>
              <w:t>水效率等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307</w:t>
            </w:r>
            <w:r>
              <w:rPr>
                <w:rFonts w:hint="eastAsia" w:ascii="宋体" w:hAnsi="宋体" w:cs="宋体"/>
                <w:color w:val="auto"/>
                <w:w w:val="99"/>
                <w:kern w:val="2"/>
                <w:sz w:val="21"/>
                <w:szCs w:val="21"/>
                <w:highlight w:val="none"/>
                <w:lang w:eastAsia="zh-CN"/>
              </w:rPr>
              <w:t>1</w:t>
            </w:r>
            <w:r>
              <w:rPr>
                <w:rFonts w:hint="eastAsia" w:ascii="宋体" w:hAnsi="宋体" w:cs="宋体"/>
                <w:color w:val="auto"/>
                <w:spacing w:val="-1"/>
                <w:w w:val="99"/>
                <w:kern w:val="2"/>
                <w:sz w:val="21"/>
                <w:szCs w:val="21"/>
                <w:highlight w:val="none"/>
                <w:lang w:eastAsia="zh-CN"/>
              </w:rPr>
              <w:t>7</w:t>
            </w:r>
            <w:r>
              <w:rPr>
                <w:rFonts w:hint="eastAsia" w:ascii="宋体" w:hAnsi="宋体" w:cs="宋体"/>
                <w:color w:val="auto"/>
                <w:w w:val="99"/>
                <w:kern w:val="2"/>
                <w:sz w:val="21"/>
                <w:szCs w:val="21"/>
                <w:highlight w:val="none"/>
                <w:lang w:eastAsia="zh-CN"/>
              </w:rPr>
              <w:t>）</w:t>
            </w:r>
          </w:p>
        </w:tc>
      </w:tr>
      <w:tr w14:paraId="5279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02FA9E">
            <w:pPr>
              <w:widowControl/>
              <w:spacing w:line="240" w:lineRule="exact"/>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929151">
            <w:pPr>
              <w:widowControl/>
              <w:spacing w:line="240" w:lineRule="exact"/>
              <w:jc w:val="left"/>
              <w:rPr>
                <w:rFonts w:ascii="宋体" w:hAnsi="宋体" w:cs="宋体"/>
                <w:color w:val="auto"/>
                <w:w w:val="99"/>
                <w:szCs w:val="21"/>
                <w:highlight w:val="none"/>
              </w:rPr>
            </w:pP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D4D4721">
            <w:pPr>
              <w:pStyle w:val="68"/>
              <w:spacing w:line="240" w:lineRule="exact"/>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小便器</w:t>
            </w: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54395B40">
            <w:pPr>
              <w:spacing w:line="240" w:lineRule="exact"/>
              <w:jc w:val="center"/>
              <w:rPr>
                <w:rFonts w:ascii="宋体" w:hAnsi="宋体"/>
                <w:color w:val="auto"/>
                <w:szCs w:val="21"/>
                <w:highlight w:val="none"/>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07C633B">
            <w:pPr>
              <w:pStyle w:val="68"/>
              <w:spacing w:before="124"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《小便器用水效率限定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及用</w:t>
            </w:r>
            <w:r>
              <w:rPr>
                <w:rFonts w:hint="eastAsia" w:ascii="宋体" w:hAnsi="宋体" w:cs="宋体"/>
                <w:color w:val="auto"/>
                <w:w w:val="99"/>
                <w:kern w:val="2"/>
                <w:sz w:val="21"/>
                <w:szCs w:val="21"/>
                <w:highlight w:val="none"/>
                <w:lang w:eastAsia="zh-CN"/>
              </w:rPr>
              <w:t>水效率等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w:t>
            </w:r>
            <w:r>
              <w:rPr>
                <w:rFonts w:hint="eastAsia" w:ascii="宋体" w:hAnsi="宋体" w:cs="宋体"/>
                <w:color w:val="auto"/>
                <w:w w:val="99"/>
                <w:kern w:val="2"/>
                <w:sz w:val="21"/>
                <w:szCs w:val="21"/>
                <w:highlight w:val="none"/>
                <w:lang w:eastAsia="zh-CN"/>
              </w:rPr>
              <w:t>7</w:t>
            </w:r>
            <w:r>
              <w:rPr>
                <w:rFonts w:hint="eastAsia" w:ascii="宋体" w:hAnsi="宋体" w:cs="宋体"/>
                <w:color w:val="auto"/>
                <w:spacing w:val="-1"/>
                <w:w w:val="99"/>
                <w:kern w:val="2"/>
                <w:sz w:val="21"/>
                <w:szCs w:val="21"/>
                <w:highlight w:val="none"/>
                <w:lang w:eastAsia="zh-CN"/>
              </w:rPr>
              <w:t>7</w:t>
            </w:r>
            <w:r>
              <w:rPr>
                <w:rFonts w:hint="eastAsia" w:ascii="宋体" w:hAnsi="宋体" w:cs="宋体"/>
                <w:color w:val="auto"/>
                <w:w w:val="99"/>
                <w:kern w:val="2"/>
                <w:sz w:val="21"/>
                <w:szCs w:val="21"/>
                <w:highlight w:val="none"/>
                <w:lang w:eastAsia="zh-CN"/>
              </w:rPr>
              <w:t>）</w:t>
            </w:r>
          </w:p>
        </w:tc>
      </w:tr>
      <w:tr w14:paraId="7F3C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14F63435">
            <w:pPr>
              <w:pStyle w:val="68"/>
              <w:spacing w:line="240" w:lineRule="exact"/>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16</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62C6A1BC">
            <w:pPr>
              <w:pStyle w:val="68"/>
              <w:spacing w:before="153" w:line="240" w:lineRule="exact"/>
              <w:ind w:left="7"/>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w:t>
            </w:r>
            <w:r>
              <w:rPr>
                <w:rFonts w:hint="eastAsia" w:ascii="宋体" w:hAnsi="宋体" w:cs="仿宋_GB2312"/>
                <w:color w:val="auto"/>
                <w:kern w:val="2"/>
                <w:sz w:val="21"/>
                <w:szCs w:val="21"/>
                <w:highlight w:val="none"/>
              </w:rPr>
              <w:t>A05020106</w:t>
            </w:r>
            <w:r>
              <w:rPr>
                <w:rFonts w:hint="eastAsia" w:ascii="宋体" w:hAnsi="宋体" w:cs="宋体"/>
                <w:color w:val="auto"/>
                <w:kern w:val="2"/>
                <w:sz w:val="21"/>
                <w:szCs w:val="21"/>
                <w:highlight w:val="none"/>
              </w:rPr>
              <w:t>水</w:t>
            </w:r>
            <w:r>
              <w:rPr>
                <w:rFonts w:hint="eastAsia" w:ascii="宋体" w:hAnsi="宋体" w:cs="宋体"/>
                <w:color w:val="auto"/>
                <w:w w:val="99"/>
                <w:kern w:val="2"/>
                <w:sz w:val="21"/>
                <w:szCs w:val="21"/>
                <w:highlight w:val="none"/>
              </w:rPr>
              <w:t>嘴</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2392DEAD">
            <w:pPr>
              <w:spacing w:line="240" w:lineRule="exact"/>
              <w:jc w:val="center"/>
              <w:rPr>
                <w:rFonts w:ascii="宋体" w:hAnsi="宋体"/>
                <w:color w:val="auto"/>
                <w:szCs w:val="21"/>
                <w:highlight w:val="none"/>
                <w:lang w:eastAsia="en-US"/>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7B454BD8">
            <w:pPr>
              <w:spacing w:line="240" w:lineRule="exact"/>
              <w:jc w:val="center"/>
              <w:rPr>
                <w:rFonts w:ascii="宋体" w:hAnsi="宋体"/>
                <w:color w:val="auto"/>
                <w:szCs w:val="21"/>
                <w:highlight w:val="none"/>
                <w:lang w:eastAsia="en-US"/>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0D2F0724">
            <w:pPr>
              <w:pStyle w:val="68"/>
              <w:spacing w:before="153"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《水嘴用水效率限定值及用水效</w:t>
            </w:r>
            <w:r>
              <w:rPr>
                <w:rFonts w:hint="eastAsia" w:ascii="宋体" w:hAnsi="宋体" w:cs="宋体"/>
                <w:color w:val="auto"/>
                <w:kern w:val="2"/>
                <w:sz w:val="21"/>
                <w:szCs w:val="21"/>
                <w:highlight w:val="none"/>
                <w:lang w:eastAsia="zh-CN"/>
              </w:rPr>
              <w:t>率等级》（GB 25501）</w:t>
            </w:r>
          </w:p>
        </w:tc>
      </w:tr>
      <w:tr w14:paraId="7C58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15972E29">
            <w:pPr>
              <w:pStyle w:val="68"/>
              <w:spacing w:line="240" w:lineRule="exact"/>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17</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71407275">
            <w:pPr>
              <w:pStyle w:val="68"/>
              <w:spacing w:before="112" w:line="240" w:lineRule="exact"/>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A05020107</w:t>
            </w:r>
            <w:r>
              <w:rPr>
                <w:rFonts w:hint="eastAsia" w:ascii="宋体" w:hAnsi="宋体" w:cs="宋体"/>
                <w:color w:val="auto"/>
                <w:kern w:val="2"/>
                <w:sz w:val="21"/>
                <w:szCs w:val="21"/>
                <w:highlight w:val="none"/>
              </w:rPr>
              <w:t>便器冲洗阀</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53F18A55">
            <w:pPr>
              <w:spacing w:line="240" w:lineRule="exact"/>
              <w:jc w:val="center"/>
              <w:rPr>
                <w:rFonts w:ascii="宋体" w:hAnsi="宋体"/>
                <w:color w:val="auto"/>
                <w:szCs w:val="21"/>
                <w:highlight w:val="none"/>
                <w:lang w:eastAsia="en-US"/>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2CAB76A2">
            <w:pPr>
              <w:spacing w:line="240" w:lineRule="exact"/>
              <w:jc w:val="center"/>
              <w:rPr>
                <w:rFonts w:ascii="宋体" w:hAnsi="宋体"/>
                <w:color w:val="auto"/>
                <w:szCs w:val="21"/>
                <w:highlight w:val="none"/>
                <w:lang w:eastAsia="en-US"/>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2341B8D1">
            <w:pPr>
              <w:pStyle w:val="68"/>
              <w:spacing w:before="112"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《便器冲洗阀用水效率限定值及</w:t>
            </w:r>
            <w:r>
              <w:rPr>
                <w:rFonts w:hint="eastAsia" w:ascii="宋体" w:hAnsi="宋体" w:cs="宋体"/>
                <w:color w:val="auto"/>
                <w:kern w:val="2"/>
                <w:sz w:val="21"/>
                <w:szCs w:val="21"/>
                <w:highlight w:val="none"/>
                <w:lang w:eastAsia="zh-CN"/>
              </w:rPr>
              <w:t>用水效率等级》（GB28379）</w:t>
            </w:r>
          </w:p>
        </w:tc>
      </w:tr>
      <w:tr w14:paraId="1261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noWrap w:val="0"/>
            <w:vAlign w:val="center"/>
          </w:tcPr>
          <w:p w14:paraId="6B7BC212">
            <w:pPr>
              <w:pStyle w:val="68"/>
              <w:spacing w:line="240" w:lineRule="exact"/>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18</w:t>
            </w:r>
          </w:p>
        </w:tc>
        <w:tc>
          <w:tcPr>
            <w:tcW w:w="834" w:type="pct"/>
            <w:tcBorders>
              <w:top w:val="single" w:color="000000" w:sz="4" w:space="0"/>
              <w:left w:val="single" w:color="000000" w:sz="4" w:space="0"/>
              <w:bottom w:val="single" w:color="000000" w:sz="4" w:space="0"/>
              <w:right w:val="single" w:color="000000" w:sz="4" w:space="0"/>
            </w:tcBorders>
            <w:noWrap w:val="0"/>
            <w:vAlign w:val="center"/>
          </w:tcPr>
          <w:p w14:paraId="0965D066">
            <w:pPr>
              <w:pStyle w:val="68"/>
              <w:spacing w:before="131" w:line="240" w:lineRule="exact"/>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A05020110</w:t>
            </w:r>
            <w:r>
              <w:rPr>
                <w:rFonts w:hint="eastAsia" w:ascii="宋体" w:hAnsi="宋体" w:cs="宋体"/>
                <w:color w:val="auto"/>
                <w:kern w:val="2"/>
                <w:sz w:val="21"/>
                <w:szCs w:val="21"/>
                <w:highlight w:val="none"/>
              </w:rPr>
              <w:t>淋浴</w:t>
            </w:r>
            <w:r>
              <w:rPr>
                <w:rFonts w:hint="eastAsia" w:ascii="宋体" w:hAnsi="宋体" w:cs="宋体"/>
                <w:color w:val="auto"/>
                <w:w w:val="99"/>
                <w:kern w:val="2"/>
                <w:sz w:val="21"/>
                <w:szCs w:val="21"/>
                <w:highlight w:val="none"/>
              </w:rPr>
              <w:t>器</w:t>
            </w:r>
          </w:p>
        </w:tc>
        <w:tc>
          <w:tcPr>
            <w:tcW w:w="878" w:type="pct"/>
            <w:tcBorders>
              <w:top w:val="single" w:color="000000" w:sz="4" w:space="0"/>
              <w:left w:val="single" w:color="000000" w:sz="4" w:space="0"/>
              <w:bottom w:val="single" w:color="000000" w:sz="4" w:space="0"/>
              <w:right w:val="single" w:color="000000" w:sz="4" w:space="0"/>
            </w:tcBorders>
            <w:noWrap w:val="0"/>
            <w:vAlign w:val="center"/>
          </w:tcPr>
          <w:p w14:paraId="0BABCF06">
            <w:pPr>
              <w:spacing w:line="240" w:lineRule="exact"/>
              <w:jc w:val="center"/>
              <w:rPr>
                <w:rFonts w:ascii="宋体" w:hAnsi="宋体"/>
                <w:color w:val="auto"/>
                <w:szCs w:val="21"/>
                <w:highlight w:val="none"/>
                <w:lang w:eastAsia="en-US"/>
              </w:rPr>
            </w:pPr>
          </w:p>
        </w:tc>
        <w:tc>
          <w:tcPr>
            <w:tcW w:w="802" w:type="pct"/>
            <w:tcBorders>
              <w:top w:val="single" w:color="000000" w:sz="4" w:space="0"/>
              <w:left w:val="single" w:color="000000" w:sz="4" w:space="0"/>
              <w:bottom w:val="single" w:color="000000" w:sz="4" w:space="0"/>
              <w:right w:val="single" w:color="000000" w:sz="4" w:space="0"/>
            </w:tcBorders>
            <w:noWrap w:val="0"/>
            <w:vAlign w:val="center"/>
          </w:tcPr>
          <w:p w14:paraId="0F0FCCB8">
            <w:pPr>
              <w:spacing w:line="240" w:lineRule="exact"/>
              <w:jc w:val="center"/>
              <w:rPr>
                <w:rFonts w:ascii="宋体" w:hAnsi="宋体"/>
                <w:color w:val="auto"/>
                <w:szCs w:val="21"/>
                <w:highlight w:val="none"/>
                <w:lang w:eastAsia="en-US"/>
              </w:rPr>
            </w:pPr>
          </w:p>
        </w:tc>
        <w:tc>
          <w:tcPr>
            <w:tcW w:w="2092" w:type="pct"/>
            <w:tcBorders>
              <w:top w:val="single" w:color="000000" w:sz="4" w:space="0"/>
              <w:left w:val="single" w:color="000000" w:sz="4" w:space="0"/>
              <w:bottom w:val="single" w:color="000000" w:sz="4" w:space="0"/>
              <w:right w:val="single" w:color="000000" w:sz="4" w:space="0"/>
            </w:tcBorders>
            <w:noWrap w:val="0"/>
            <w:vAlign w:val="top"/>
          </w:tcPr>
          <w:p w14:paraId="17783E8E">
            <w:pPr>
              <w:pStyle w:val="68"/>
              <w:spacing w:before="131" w:line="240" w:lineRule="exact"/>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《淋浴器用水效率限定值及用水</w:t>
            </w:r>
            <w:r>
              <w:rPr>
                <w:rFonts w:hint="eastAsia" w:ascii="宋体" w:hAnsi="宋体" w:cs="宋体"/>
                <w:color w:val="auto"/>
                <w:kern w:val="2"/>
                <w:sz w:val="21"/>
                <w:szCs w:val="21"/>
                <w:highlight w:val="none"/>
                <w:lang w:eastAsia="zh-CN"/>
              </w:rPr>
              <w:t>效率等级》（GB28378）</w:t>
            </w:r>
          </w:p>
        </w:tc>
      </w:tr>
    </w:tbl>
    <w:p w14:paraId="2496F67E">
      <w:pPr>
        <w:pStyle w:val="15"/>
        <w:spacing w:line="360" w:lineRule="auto"/>
        <w:rPr>
          <w:rFonts w:ascii="宋体" w:hAnsi="宋体"/>
          <w:color w:val="auto"/>
          <w:kern w:val="2"/>
          <w:sz w:val="21"/>
          <w:szCs w:val="21"/>
          <w:highlight w:val="none"/>
        </w:rPr>
      </w:pPr>
      <w:r>
        <w:rPr>
          <w:rFonts w:hint="eastAsia" w:ascii="宋体" w:hAnsi="宋体"/>
          <w:color w:val="auto"/>
          <w:spacing w:val="-3"/>
          <w:sz w:val="21"/>
          <w:szCs w:val="21"/>
          <w:highlight w:val="none"/>
        </w:rPr>
        <w:t>注：</w:t>
      </w:r>
      <w:r>
        <w:rPr>
          <w:rFonts w:ascii="宋体" w:hAnsi="宋体"/>
          <w:color w:val="auto"/>
          <w:spacing w:val="-3"/>
          <w:sz w:val="21"/>
          <w:szCs w:val="21"/>
          <w:highlight w:val="none"/>
        </w:rPr>
        <w:t>1.</w:t>
      </w:r>
      <w:r>
        <w:rPr>
          <w:rFonts w:hint="eastAsia" w:ascii="宋体" w:hAnsi="宋体"/>
          <w:color w:val="auto"/>
          <w:spacing w:val="-3"/>
          <w:sz w:val="21"/>
          <w:szCs w:val="21"/>
          <w:highlight w:val="none"/>
        </w:rPr>
        <w:t>节能产品认证应依据相关国家标准的最新版本，依据国家标准中二级能效（水效）</w:t>
      </w:r>
      <w:r>
        <w:rPr>
          <w:rFonts w:hint="eastAsia" w:ascii="宋体" w:hAnsi="宋体"/>
          <w:color w:val="auto"/>
          <w:sz w:val="21"/>
          <w:szCs w:val="21"/>
          <w:highlight w:val="none"/>
        </w:rPr>
        <w:t>指标。</w:t>
      </w:r>
    </w:p>
    <w:p w14:paraId="2A0BAB14">
      <w:pPr>
        <w:pStyle w:val="15"/>
        <w:spacing w:line="360" w:lineRule="auto"/>
        <w:ind w:firstLine="465"/>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.以</w:t>
      </w:r>
      <w:r>
        <w:rPr>
          <w:rFonts w:ascii="宋体" w:hAnsi="宋体"/>
          <w:color w:val="auto"/>
          <w:sz w:val="21"/>
          <w:szCs w:val="21"/>
          <w:highlight w:val="none"/>
        </w:rPr>
        <w:t>“</w:t>
      </w:r>
      <w:r>
        <w:rPr>
          <w:rFonts w:hint="eastAsia" w:ascii="宋体" w:hAnsi="宋体"/>
          <w:color w:val="auto"/>
          <w:sz w:val="21"/>
          <w:szCs w:val="21"/>
          <w:highlight w:val="none"/>
        </w:rPr>
        <w:t>★</w:t>
      </w:r>
      <w:r>
        <w:rPr>
          <w:rFonts w:ascii="宋体" w:hAnsi="宋体"/>
          <w:color w:val="auto"/>
          <w:sz w:val="21"/>
          <w:szCs w:val="21"/>
          <w:highlight w:val="none"/>
        </w:rPr>
        <w:t>”</w:t>
      </w:r>
      <w:r>
        <w:rPr>
          <w:rFonts w:hint="eastAsia" w:ascii="宋体" w:hAnsi="宋体"/>
          <w:color w:val="auto"/>
          <w:sz w:val="21"/>
          <w:szCs w:val="21"/>
          <w:highlight w:val="none"/>
        </w:rPr>
        <w:t>标注的为政府强制采购产品。</w:t>
      </w:r>
    </w:p>
    <w:p w14:paraId="150141B4">
      <w:pPr>
        <w:pStyle w:val="15"/>
        <w:spacing w:line="360" w:lineRule="auto"/>
        <w:ind w:firstLine="465"/>
        <w:rPr>
          <w:rFonts w:ascii="宋体" w:hAnsi="宋体"/>
          <w:color w:val="auto"/>
          <w:sz w:val="21"/>
          <w:szCs w:val="21"/>
          <w:highlight w:val="none"/>
        </w:rPr>
      </w:pPr>
      <w:r>
        <w:rPr>
          <w:rFonts w:hint="eastAsia" w:ascii="宋体" w:hAnsi="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3B5257F0">
      <w:pPr>
        <w:tabs>
          <w:tab w:val="left" w:pos="180"/>
          <w:tab w:val="left" w:pos="1620"/>
        </w:tabs>
        <w:spacing w:line="360" w:lineRule="auto"/>
        <w:rPr>
          <w:rFonts w:ascii="宋体" w:hAnsi="宋体" w:cs="宋体"/>
          <w:b/>
          <w:bCs/>
          <w:color w:val="auto"/>
          <w:szCs w:val="21"/>
          <w:highlight w:val="none"/>
        </w:rPr>
        <w:sectPr>
          <w:footerReference r:id="rId7" w:type="default"/>
          <w:pgSz w:w="11906" w:h="16838"/>
          <w:pgMar w:top="1134" w:right="1134" w:bottom="1134" w:left="1134" w:header="851" w:footer="992" w:gutter="0"/>
          <w:pgNumType w:fmt="decimal" w:start="1"/>
          <w:cols w:space="720" w:num="1"/>
        </w:sectPr>
      </w:pPr>
      <w:r>
        <w:rPr>
          <w:rFonts w:hint="eastAsia" w:ascii="Arial Black" w:hAnsi="Arial Black" w:eastAsia="宋体" w:cs="Arial Black"/>
          <w:color w:val="auto"/>
          <w:sz w:val="32"/>
          <w:szCs w:val="32"/>
          <w:highlight w:val="none"/>
          <w:lang w:val="en-US" w:eastAsia="zh-CN"/>
        </w:rPr>
        <w:t xml:space="preserve"> </w:t>
      </w:r>
      <w:r>
        <w:rPr>
          <w:rFonts w:hint="eastAsia" w:ascii="宋体" w:hAnsi="宋体" w:eastAsia="宋体" w:cs="Times New Roman"/>
          <w:b/>
          <w:color w:val="auto"/>
          <w:sz w:val="24"/>
          <w:szCs w:val="24"/>
          <w:highlight w:val="none"/>
          <w:lang w:val="en-US" w:eastAsia="zh-CN"/>
        </w:rPr>
        <w:t xml:space="preserve"> </w:t>
      </w:r>
    </w:p>
    <w:p w14:paraId="0123427A">
      <w:pPr>
        <w:spacing w:line="360" w:lineRule="auto"/>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rPr>
        <w:t>：</w:t>
      </w:r>
    </w:p>
    <w:p w14:paraId="69F0788F">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p w14:paraId="43B48D86">
      <w:pPr>
        <w:spacing w:line="528" w:lineRule="exact"/>
        <w:jc w:val="center"/>
        <w:rPr>
          <w:rFonts w:hint="eastAsia" w:ascii="宋体" w:hAnsi="宋体" w:eastAsia="宋体" w:cs="宋体"/>
          <w:color w:val="auto"/>
          <w:sz w:val="40"/>
          <w:szCs w:val="40"/>
          <w:highlight w:val="none"/>
        </w:rPr>
      </w:pPr>
    </w:p>
    <w:tbl>
      <w:tblPr>
        <w:tblStyle w:val="29"/>
        <w:tblW w:w="5000" w:type="pct"/>
        <w:tblInd w:w="0" w:type="dxa"/>
        <w:tblLayout w:type="autofit"/>
        <w:tblCellMar>
          <w:top w:w="0" w:type="dxa"/>
          <w:left w:w="108" w:type="dxa"/>
          <w:bottom w:w="0" w:type="dxa"/>
          <w:right w:w="108" w:type="dxa"/>
        </w:tblCellMar>
      </w:tblPr>
      <w:tblGrid>
        <w:gridCol w:w="1815"/>
        <w:gridCol w:w="1544"/>
        <w:gridCol w:w="1389"/>
        <w:gridCol w:w="1787"/>
        <w:gridCol w:w="1676"/>
        <w:gridCol w:w="1076"/>
      </w:tblGrid>
      <w:tr w14:paraId="7F355B39">
        <w:tblPrEx>
          <w:tblCellMar>
            <w:top w:w="0" w:type="dxa"/>
            <w:left w:w="108" w:type="dxa"/>
            <w:bottom w:w="0" w:type="dxa"/>
            <w:right w:w="108" w:type="dxa"/>
          </w:tblCellMar>
        </w:tblPrEx>
        <w:trPr>
          <w:trHeight w:val="285" w:hRule="atLeast"/>
        </w:trPr>
        <w:tc>
          <w:tcPr>
            <w:tcW w:w="1816" w:type="dxa"/>
            <w:tcBorders>
              <w:top w:val="single" w:color="auto" w:sz="4" w:space="0"/>
              <w:left w:val="single" w:color="auto" w:sz="4" w:space="0"/>
              <w:bottom w:val="single" w:color="auto" w:sz="4" w:space="0"/>
              <w:right w:val="single" w:color="auto" w:sz="4" w:space="0"/>
            </w:tcBorders>
            <w:noWrap w:val="0"/>
            <w:vAlign w:val="center"/>
          </w:tcPr>
          <w:p w14:paraId="4FCA8E53">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544" w:type="dxa"/>
            <w:tcBorders>
              <w:top w:val="single" w:color="auto" w:sz="4" w:space="0"/>
              <w:left w:val="nil"/>
              <w:bottom w:val="single" w:color="auto" w:sz="4" w:space="0"/>
              <w:right w:val="single" w:color="auto" w:sz="4" w:space="0"/>
            </w:tcBorders>
            <w:noWrap w:val="0"/>
            <w:vAlign w:val="center"/>
          </w:tcPr>
          <w:p w14:paraId="2943D37C">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1389" w:type="dxa"/>
            <w:tcBorders>
              <w:top w:val="single" w:color="auto" w:sz="4" w:space="0"/>
              <w:left w:val="nil"/>
              <w:bottom w:val="single" w:color="auto" w:sz="4" w:space="0"/>
              <w:right w:val="single" w:color="auto" w:sz="4" w:space="0"/>
            </w:tcBorders>
            <w:noWrap w:val="0"/>
            <w:vAlign w:val="center"/>
          </w:tcPr>
          <w:p w14:paraId="76B61FB0">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787" w:type="dxa"/>
            <w:tcBorders>
              <w:top w:val="single" w:color="auto" w:sz="4" w:space="0"/>
              <w:left w:val="nil"/>
              <w:bottom w:val="single" w:color="auto" w:sz="4" w:space="0"/>
              <w:right w:val="single" w:color="auto" w:sz="4" w:space="0"/>
            </w:tcBorders>
            <w:noWrap w:val="0"/>
            <w:vAlign w:val="center"/>
          </w:tcPr>
          <w:p w14:paraId="5CFAD695">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676" w:type="dxa"/>
            <w:tcBorders>
              <w:top w:val="single" w:color="auto" w:sz="4" w:space="0"/>
              <w:left w:val="nil"/>
              <w:bottom w:val="single" w:color="auto" w:sz="4" w:space="0"/>
              <w:right w:val="single" w:color="auto" w:sz="4" w:space="0"/>
            </w:tcBorders>
            <w:noWrap w:val="0"/>
            <w:vAlign w:val="center"/>
          </w:tcPr>
          <w:p w14:paraId="713C1BF8">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076" w:type="dxa"/>
            <w:tcBorders>
              <w:top w:val="single" w:color="auto" w:sz="4" w:space="0"/>
              <w:left w:val="nil"/>
              <w:bottom w:val="single" w:color="auto" w:sz="4" w:space="0"/>
              <w:right w:val="single" w:color="auto" w:sz="4" w:space="0"/>
            </w:tcBorders>
            <w:noWrap w:val="0"/>
            <w:vAlign w:val="center"/>
          </w:tcPr>
          <w:p w14:paraId="576CA9C9">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4201B0B4">
        <w:tblPrEx>
          <w:tblCellMar>
            <w:top w:w="0" w:type="dxa"/>
            <w:left w:w="108" w:type="dxa"/>
            <w:bottom w:w="0" w:type="dxa"/>
            <w:right w:w="108" w:type="dxa"/>
          </w:tblCellMar>
        </w:tblPrEx>
        <w:trPr>
          <w:trHeight w:val="225" w:hRule="atLeast"/>
        </w:trPr>
        <w:tc>
          <w:tcPr>
            <w:tcW w:w="1816" w:type="dxa"/>
            <w:tcBorders>
              <w:top w:val="nil"/>
              <w:left w:val="single" w:color="auto" w:sz="4" w:space="0"/>
              <w:bottom w:val="single" w:color="auto" w:sz="4" w:space="0"/>
              <w:right w:val="single" w:color="auto" w:sz="4" w:space="0"/>
            </w:tcBorders>
            <w:noWrap w:val="0"/>
            <w:vAlign w:val="bottom"/>
          </w:tcPr>
          <w:p w14:paraId="7FD048E8">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544" w:type="dxa"/>
            <w:tcBorders>
              <w:top w:val="nil"/>
              <w:left w:val="nil"/>
              <w:bottom w:val="single" w:color="auto" w:sz="4" w:space="0"/>
              <w:right w:val="single" w:color="auto" w:sz="4" w:space="0"/>
            </w:tcBorders>
            <w:noWrap w:val="0"/>
            <w:vAlign w:val="center"/>
          </w:tcPr>
          <w:p w14:paraId="35AA9EE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557B258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5745CAF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676" w:type="dxa"/>
            <w:tcBorders>
              <w:top w:val="nil"/>
              <w:left w:val="nil"/>
              <w:bottom w:val="single" w:color="auto" w:sz="4" w:space="0"/>
              <w:right w:val="single" w:color="auto" w:sz="4" w:space="0"/>
            </w:tcBorders>
            <w:noWrap w:val="0"/>
            <w:vAlign w:val="center"/>
          </w:tcPr>
          <w:p w14:paraId="07D16BF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1076" w:type="dxa"/>
            <w:tcBorders>
              <w:top w:val="nil"/>
              <w:left w:val="nil"/>
              <w:bottom w:val="single" w:color="auto" w:sz="4" w:space="0"/>
              <w:right w:val="single" w:color="auto" w:sz="4" w:space="0"/>
            </w:tcBorders>
            <w:noWrap w:val="0"/>
            <w:vAlign w:val="center"/>
          </w:tcPr>
          <w:p w14:paraId="4542352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6DD51869">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6DBB20AE">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544" w:type="dxa"/>
            <w:tcBorders>
              <w:top w:val="nil"/>
              <w:left w:val="nil"/>
              <w:bottom w:val="single" w:color="auto" w:sz="4" w:space="0"/>
              <w:right w:val="single" w:color="auto" w:sz="4" w:space="0"/>
            </w:tcBorders>
            <w:noWrap w:val="0"/>
            <w:vAlign w:val="center"/>
          </w:tcPr>
          <w:p w14:paraId="128CA65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432493E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7EB2E54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76" w:type="dxa"/>
            <w:tcBorders>
              <w:top w:val="nil"/>
              <w:left w:val="nil"/>
              <w:bottom w:val="single" w:color="auto" w:sz="4" w:space="0"/>
              <w:right w:val="single" w:color="auto" w:sz="4" w:space="0"/>
            </w:tcBorders>
            <w:noWrap w:val="0"/>
            <w:vAlign w:val="center"/>
          </w:tcPr>
          <w:p w14:paraId="768D3C3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076" w:type="dxa"/>
            <w:tcBorders>
              <w:top w:val="nil"/>
              <w:left w:val="nil"/>
              <w:bottom w:val="single" w:color="auto" w:sz="4" w:space="0"/>
              <w:right w:val="single" w:color="auto" w:sz="4" w:space="0"/>
            </w:tcBorders>
            <w:noWrap w:val="0"/>
            <w:vAlign w:val="center"/>
          </w:tcPr>
          <w:p w14:paraId="578CCB9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3AA9851">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115A254B">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20DE599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05256D8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06E3477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676" w:type="dxa"/>
            <w:tcBorders>
              <w:top w:val="nil"/>
              <w:left w:val="nil"/>
              <w:bottom w:val="single" w:color="auto" w:sz="4" w:space="0"/>
              <w:right w:val="single" w:color="auto" w:sz="4" w:space="0"/>
            </w:tcBorders>
            <w:noWrap w:val="0"/>
            <w:vAlign w:val="center"/>
          </w:tcPr>
          <w:p w14:paraId="3E01408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1076" w:type="dxa"/>
            <w:tcBorders>
              <w:top w:val="nil"/>
              <w:left w:val="nil"/>
              <w:bottom w:val="single" w:color="auto" w:sz="4" w:space="0"/>
              <w:right w:val="single" w:color="auto" w:sz="4" w:space="0"/>
            </w:tcBorders>
            <w:noWrap w:val="0"/>
            <w:vAlign w:val="center"/>
          </w:tcPr>
          <w:p w14:paraId="33317B9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3EC61C67">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032FB3C9">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544" w:type="dxa"/>
            <w:tcBorders>
              <w:top w:val="nil"/>
              <w:left w:val="nil"/>
              <w:bottom w:val="single" w:color="auto" w:sz="4" w:space="0"/>
              <w:right w:val="single" w:color="auto" w:sz="4" w:space="0"/>
            </w:tcBorders>
            <w:noWrap w:val="0"/>
            <w:vAlign w:val="center"/>
          </w:tcPr>
          <w:p w14:paraId="5EF5888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213CE6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0AE3D18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676" w:type="dxa"/>
            <w:tcBorders>
              <w:top w:val="nil"/>
              <w:left w:val="nil"/>
              <w:bottom w:val="single" w:color="auto" w:sz="4" w:space="0"/>
              <w:right w:val="single" w:color="auto" w:sz="4" w:space="0"/>
            </w:tcBorders>
            <w:noWrap w:val="0"/>
            <w:vAlign w:val="center"/>
          </w:tcPr>
          <w:p w14:paraId="2E94868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1076" w:type="dxa"/>
            <w:tcBorders>
              <w:top w:val="nil"/>
              <w:left w:val="nil"/>
              <w:bottom w:val="single" w:color="auto" w:sz="4" w:space="0"/>
              <w:right w:val="single" w:color="auto" w:sz="4" w:space="0"/>
            </w:tcBorders>
            <w:noWrap w:val="0"/>
            <w:vAlign w:val="center"/>
          </w:tcPr>
          <w:p w14:paraId="34AD2C7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67D3EEF1">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04F8DF05">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35B9E7F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389" w:type="dxa"/>
            <w:tcBorders>
              <w:top w:val="nil"/>
              <w:left w:val="nil"/>
              <w:bottom w:val="single" w:color="auto" w:sz="4" w:space="0"/>
              <w:right w:val="single" w:color="auto" w:sz="4" w:space="0"/>
            </w:tcBorders>
            <w:noWrap w:val="0"/>
            <w:vAlign w:val="center"/>
          </w:tcPr>
          <w:p w14:paraId="68BC122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54A75F6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676" w:type="dxa"/>
            <w:tcBorders>
              <w:top w:val="nil"/>
              <w:left w:val="nil"/>
              <w:bottom w:val="single" w:color="auto" w:sz="4" w:space="0"/>
              <w:right w:val="single" w:color="auto" w:sz="4" w:space="0"/>
            </w:tcBorders>
            <w:noWrap w:val="0"/>
            <w:vAlign w:val="center"/>
          </w:tcPr>
          <w:p w14:paraId="46396F7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1076" w:type="dxa"/>
            <w:tcBorders>
              <w:top w:val="nil"/>
              <w:left w:val="nil"/>
              <w:bottom w:val="single" w:color="auto" w:sz="4" w:space="0"/>
              <w:right w:val="single" w:color="auto" w:sz="4" w:space="0"/>
            </w:tcBorders>
            <w:noWrap w:val="0"/>
            <w:vAlign w:val="center"/>
          </w:tcPr>
          <w:p w14:paraId="6863AF9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522683DE">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1B6B12F1">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544" w:type="dxa"/>
            <w:tcBorders>
              <w:top w:val="nil"/>
              <w:left w:val="nil"/>
              <w:bottom w:val="single" w:color="auto" w:sz="4" w:space="0"/>
              <w:right w:val="single" w:color="auto" w:sz="4" w:space="0"/>
            </w:tcBorders>
            <w:noWrap w:val="0"/>
            <w:vAlign w:val="center"/>
          </w:tcPr>
          <w:p w14:paraId="3EADF92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73945CE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45ED655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676" w:type="dxa"/>
            <w:tcBorders>
              <w:top w:val="nil"/>
              <w:left w:val="nil"/>
              <w:bottom w:val="single" w:color="auto" w:sz="4" w:space="0"/>
              <w:right w:val="single" w:color="auto" w:sz="4" w:space="0"/>
            </w:tcBorders>
            <w:noWrap w:val="0"/>
            <w:vAlign w:val="center"/>
          </w:tcPr>
          <w:p w14:paraId="5CBA97C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1076" w:type="dxa"/>
            <w:tcBorders>
              <w:top w:val="nil"/>
              <w:left w:val="nil"/>
              <w:bottom w:val="single" w:color="auto" w:sz="4" w:space="0"/>
              <w:right w:val="single" w:color="auto" w:sz="4" w:space="0"/>
            </w:tcBorders>
            <w:noWrap w:val="0"/>
            <w:vAlign w:val="center"/>
          </w:tcPr>
          <w:p w14:paraId="068269E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0708285D">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1B42D9F8">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2F6F906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7F75586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5B0D476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676" w:type="dxa"/>
            <w:tcBorders>
              <w:top w:val="nil"/>
              <w:left w:val="nil"/>
              <w:bottom w:val="single" w:color="auto" w:sz="4" w:space="0"/>
              <w:right w:val="single" w:color="auto" w:sz="4" w:space="0"/>
            </w:tcBorders>
            <w:noWrap w:val="0"/>
            <w:vAlign w:val="center"/>
          </w:tcPr>
          <w:p w14:paraId="60B5CB8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076" w:type="dxa"/>
            <w:tcBorders>
              <w:top w:val="nil"/>
              <w:left w:val="nil"/>
              <w:bottom w:val="single" w:color="auto" w:sz="4" w:space="0"/>
              <w:right w:val="single" w:color="auto" w:sz="4" w:space="0"/>
            </w:tcBorders>
            <w:noWrap w:val="0"/>
            <w:vAlign w:val="center"/>
          </w:tcPr>
          <w:p w14:paraId="6670645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10EC42C0">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6D9BF8AF">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544" w:type="dxa"/>
            <w:tcBorders>
              <w:top w:val="nil"/>
              <w:left w:val="nil"/>
              <w:bottom w:val="single" w:color="auto" w:sz="4" w:space="0"/>
              <w:right w:val="single" w:color="auto" w:sz="4" w:space="0"/>
            </w:tcBorders>
            <w:noWrap w:val="0"/>
            <w:vAlign w:val="center"/>
          </w:tcPr>
          <w:p w14:paraId="7BFEBEE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6A01079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5E5B52F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676" w:type="dxa"/>
            <w:tcBorders>
              <w:top w:val="nil"/>
              <w:left w:val="nil"/>
              <w:bottom w:val="single" w:color="auto" w:sz="4" w:space="0"/>
              <w:right w:val="single" w:color="auto" w:sz="4" w:space="0"/>
            </w:tcBorders>
            <w:noWrap w:val="0"/>
            <w:vAlign w:val="center"/>
          </w:tcPr>
          <w:p w14:paraId="593FAAB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1076" w:type="dxa"/>
            <w:tcBorders>
              <w:top w:val="nil"/>
              <w:left w:val="nil"/>
              <w:bottom w:val="single" w:color="auto" w:sz="4" w:space="0"/>
              <w:right w:val="single" w:color="auto" w:sz="4" w:space="0"/>
            </w:tcBorders>
            <w:noWrap w:val="0"/>
            <w:vAlign w:val="center"/>
          </w:tcPr>
          <w:p w14:paraId="44DEF82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E29D979">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0D67D2A3">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3876E97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0B4AAB3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106A3AE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676" w:type="dxa"/>
            <w:tcBorders>
              <w:top w:val="nil"/>
              <w:left w:val="nil"/>
              <w:bottom w:val="single" w:color="auto" w:sz="4" w:space="0"/>
              <w:right w:val="single" w:color="auto" w:sz="4" w:space="0"/>
            </w:tcBorders>
            <w:noWrap w:val="0"/>
            <w:vAlign w:val="center"/>
          </w:tcPr>
          <w:p w14:paraId="2AFFEA4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1076" w:type="dxa"/>
            <w:tcBorders>
              <w:top w:val="nil"/>
              <w:left w:val="nil"/>
              <w:bottom w:val="single" w:color="auto" w:sz="4" w:space="0"/>
              <w:right w:val="single" w:color="auto" w:sz="4" w:space="0"/>
            </w:tcBorders>
            <w:noWrap w:val="0"/>
            <w:vAlign w:val="center"/>
          </w:tcPr>
          <w:p w14:paraId="0EC77F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8CEB1D4">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707AAD18">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544" w:type="dxa"/>
            <w:tcBorders>
              <w:top w:val="nil"/>
              <w:left w:val="nil"/>
              <w:bottom w:val="single" w:color="auto" w:sz="4" w:space="0"/>
              <w:right w:val="single" w:color="auto" w:sz="4" w:space="0"/>
            </w:tcBorders>
            <w:noWrap w:val="0"/>
            <w:vAlign w:val="center"/>
          </w:tcPr>
          <w:p w14:paraId="53D03AF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63D48FB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01D7584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76" w:type="dxa"/>
            <w:tcBorders>
              <w:top w:val="nil"/>
              <w:left w:val="nil"/>
              <w:bottom w:val="single" w:color="auto" w:sz="4" w:space="0"/>
              <w:right w:val="single" w:color="auto" w:sz="4" w:space="0"/>
            </w:tcBorders>
            <w:noWrap w:val="0"/>
            <w:vAlign w:val="center"/>
          </w:tcPr>
          <w:p w14:paraId="08264AD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076" w:type="dxa"/>
            <w:tcBorders>
              <w:top w:val="nil"/>
              <w:left w:val="nil"/>
              <w:bottom w:val="single" w:color="auto" w:sz="4" w:space="0"/>
              <w:right w:val="single" w:color="auto" w:sz="4" w:space="0"/>
            </w:tcBorders>
            <w:noWrap w:val="0"/>
            <w:vAlign w:val="center"/>
          </w:tcPr>
          <w:p w14:paraId="07A925A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F7C5A16">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23A36EEF">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095EB36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570D745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44E4345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676" w:type="dxa"/>
            <w:tcBorders>
              <w:top w:val="nil"/>
              <w:left w:val="nil"/>
              <w:bottom w:val="single" w:color="auto" w:sz="4" w:space="0"/>
              <w:right w:val="single" w:color="auto" w:sz="4" w:space="0"/>
            </w:tcBorders>
            <w:noWrap w:val="0"/>
            <w:vAlign w:val="center"/>
          </w:tcPr>
          <w:p w14:paraId="58B1B8A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1076" w:type="dxa"/>
            <w:tcBorders>
              <w:top w:val="nil"/>
              <w:left w:val="nil"/>
              <w:bottom w:val="single" w:color="auto" w:sz="4" w:space="0"/>
              <w:right w:val="single" w:color="auto" w:sz="4" w:space="0"/>
            </w:tcBorders>
            <w:noWrap w:val="0"/>
            <w:vAlign w:val="center"/>
          </w:tcPr>
          <w:p w14:paraId="7336C16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5453EADD">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3CAF542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544" w:type="dxa"/>
            <w:tcBorders>
              <w:top w:val="nil"/>
              <w:left w:val="nil"/>
              <w:bottom w:val="single" w:color="auto" w:sz="4" w:space="0"/>
              <w:right w:val="single" w:color="auto" w:sz="4" w:space="0"/>
            </w:tcBorders>
            <w:noWrap w:val="0"/>
            <w:vAlign w:val="center"/>
          </w:tcPr>
          <w:p w14:paraId="0775FE8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524D313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2FB73E1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676" w:type="dxa"/>
            <w:tcBorders>
              <w:top w:val="nil"/>
              <w:left w:val="nil"/>
              <w:bottom w:val="single" w:color="auto" w:sz="4" w:space="0"/>
              <w:right w:val="single" w:color="auto" w:sz="4" w:space="0"/>
            </w:tcBorders>
            <w:noWrap w:val="0"/>
            <w:vAlign w:val="center"/>
          </w:tcPr>
          <w:p w14:paraId="66EFBA4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1076" w:type="dxa"/>
            <w:tcBorders>
              <w:top w:val="nil"/>
              <w:left w:val="nil"/>
              <w:bottom w:val="single" w:color="auto" w:sz="4" w:space="0"/>
              <w:right w:val="single" w:color="auto" w:sz="4" w:space="0"/>
            </w:tcBorders>
            <w:noWrap w:val="0"/>
            <w:vAlign w:val="center"/>
          </w:tcPr>
          <w:p w14:paraId="68BA4D9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6F77224F">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7961CC7D">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62DE30D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3899B60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1687275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676" w:type="dxa"/>
            <w:tcBorders>
              <w:top w:val="nil"/>
              <w:left w:val="nil"/>
              <w:bottom w:val="single" w:color="auto" w:sz="4" w:space="0"/>
              <w:right w:val="single" w:color="auto" w:sz="4" w:space="0"/>
            </w:tcBorders>
            <w:noWrap w:val="0"/>
            <w:vAlign w:val="center"/>
          </w:tcPr>
          <w:p w14:paraId="166690A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076" w:type="dxa"/>
            <w:tcBorders>
              <w:top w:val="nil"/>
              <w:left w:val="nil"/>
              <w:bottom w:val="single" w:color="auto" w:sz="4" w:space="0"/>
              <w:right w:val="single" w:color="auto" w:sz="4" w:space="0"/>
            </w:tcBorders>
            <w:noWrap w:val="0"/>
            <w:vAlign w:val="center"/>
          </w:tcPr>
          <w:p w14:paraId="1BF5F0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82C650E">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4F1884A5">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544" w:type="dxa"/>
            <w:tcBorders>
              <w:top w:val="nil"/>
              <w:left w:val="nil"/>
              <w:bottom w:val="single" w:color="auto" w:sz="4" w:space="0"/>
              <w:right w:val="single" w:color="auto" w:sz="4" w:space="0"/>
            </w:tcBorders>
            <w:noWrap w:val="0"/>
            <w:vAlign w:val="center"/>
          </w:tcPr>
          <w:p w14:paraId="2845F95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3011C3A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4DB95D6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76" w:type="dxa"/>
            <w:tcBorders>
              <w:top w:val="nil"/>
              <w:left w:val="nil"/>
              <w:bottom w:val="single" w:color="auto" w:sz="4" w:space="0"/>
              <w:right w:val="single" w:color="auto" w:sz="4" w:space="0"/>
            </w:tcBorders>
            <w:noWrap w:val="0"/>
            <w:vAlign w:val="center"/>
          </w:tcPr>
          <w:p w14:paraId="46758D1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076" w:type="dxa"/>
            <w:tcBorders>
              <w:top w:val="nil"/>
              <w:left w:val="nil"/>
              <w:bottom w:val="single" w:color="auto" w:sz="4" w:space="0"/>
              <w:right w:val="single" w:color="auto" w:sz="4" w:space="0"/>
            </w:tcBorders>
            <w:noWrap w:val="0"/>
            <w:vAlign w:val="center"/>
          </w:tcPr>
          <w:p w14:paraId="579F97A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621D573C">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4457885E">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50E661A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0CB3616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0AE19E0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676" w:type="dxa"/>
            <w:tcBorders>
              <w:top w:val="nil"/>
              <w:left w:val="nil"/>
              <w:bottom w:val="single" w:color="auto" w:sz="4" w:space="0"/>
              <w:right w:val="single" w:color="auto" w:sz="4" w:space="0"/>
            </w:tcBorders>
            <w:noWrap w:val="0"/>
            <w:vAlign w:val="center"/>
          </w:tcPr>
          <w:p w14:paraId="21C75B1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076" w:type="dxa"/>
            <w:tcBorders>
              <w:top w:val="nil"/>
              <w:left w:val="nil"/>
              <w:bottom w:val="single" w:color="auto" w:sz="4" w:space="0"/>
              <w:right w:val="single" w:color="auto" w:sz="4" w:space="0"/>
            </w:tcBorders>
            <w:noWrap w:val="0"/>
            <w:vAlign w:val="center"/>
          </w:tcPr>
          <w:p w14:paraId="5E7537C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A02109D">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089C082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544" w:type="dxa"/>
            <w:tcBorders>
              <w:top w:val="nil"/>
              <w:left w:val="nil"/>
              <w:bottom w:val="single" w:color="auto" w:sz="4" w:space="0"/>
              <w:right w:val="single" w:color="auto" w:sz="4" w:space="0"/>
            </w:tcBorders>
            <w:noWrap w:val="0"/>
            <w:vAlign w:val="center"/>
          </w:tcPr>
          <w:p w14:paraId="35545F1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086970C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0F77549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76" w:type="dxa"/>
            <w:tcBorders>
              <w:top w:val="nil"/>
              <w:left w:val="nil"/>
              <w:bottom w:val="single" w:color="auto" w:sz="4" w:space="0"/>
              <w:right w:val="single" w:color="auto" w:sz="4" w:space="0"/>
            </w:tcBorders>
            <w:noWrap w:val="0"/>
            <w:vAlign w:val="center"/>
          </w:tcPr>
          <w:p w14:paraId="667DEFF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6" w:type="dxa"/>
            <w:tcBorders>
              <w:top w:val="nil"/>
              <w:left w:val="nil"/>
              <w:bottom w:val="single" w:color="auto" w:sz="4" w:space="0"/>
              <w:right w:val="single" w:color="auto" w:sz="4" w:space="0"/>
            </w:tcBorders>
            <w:noWrap w:val="0"/>
            <w:vAlign w:val="center"/>
          </w:tcPr>
          <w:p w14:paraId="742D3F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12D9B84">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56F9B579">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1B7551C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3A2482A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5851A79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676" w:type="dxa"/>
            <w:tcBorders>
              <w:top w:val="nil"/>
              <w:left w:val="nil"/>
              <w:bottom w:val="single" w:color="auto" w:sz="4" w:space="0"/>
              <w:right w:val="single" w:color="auto" w:sz="4" w:space="0"/>
            </w:tcBorders>
            <w:noWrap w:val="0"/>
            <w:vAlign w:val="center"/>
          </w:tcPr>
          <w:p w14:paraId="46739B0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076" w:type="dxa"/>
            <w:tcBorders>
              <w:top w:val="nil"/>
              <w:left w:val="nil"/>
              <w:bottom w:val="single" w:color="auto" w:sz="4" w:space="0"/>
              <w:right w:val="single" w:color="auto" w:sz="4" w:space="0"/>
            </w:tcBorders>
            <w:noWrap w:val="0"/>
            <w:vAlign w:val="center"/>
          </w:tcPr>
          <w:p w14:paraId="1D6B60E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A01311A">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68113449">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544" w:type="dxa"/>
            <w:tcBorders>
              <w:top w:val="nil"/>
              <w:left w:val="nil"/>
              <w:bottom w:val="single" w:color="auto" w:sz="4" w:space="0"/>
              <w:right w:val="single" w:color="auto" w:sz="4" w:space="0"/>
            </w:tcBorders>
            <w:noWrap w:val="0"/>
            <w:vAlign w:val="center"/>
          </w:tcPr>
          <w:p w14:paraId="30CB110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3B95865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2881837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76" w:type="dxa"/>
            <w:tcBorders>
              <w:top w:val="nil"/>
              <w:left w:val="nil"/>
              <w:bottom w:val="single" w:color="auto" w:sz="4" w:space="0"/>
              <w:right w:val="single" w:color="auto" w:sz="4" w:space="0"/>
            </w:tcBorders>
            <w:noWrap w:val="0"/>
            <w:vAlign w:val="center"/>
          </w:tcPr>
          <w:p w14:paraId="6611826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6" w:type="dxa"/>
            <w:tcBorders>
              <w:top w:val="nil"/>
              <w:left w:val="nil"/>
              <w:bottom w:val="single" w:color="auto" w:sz="4" w:space="0"/>
              <w:right w:val="single" w:color="auto" w:sz="4" w:space="0"/>
            </w:tcBorders>
            <w:noWrap w:val="0"/>
            <w:vAlign w:val="center"/>
          </w:tcPr>
          <w:p w14:paraId="0FF6CC8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2A7DC89">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39730F7B">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4DDD7DF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1E3224C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54C4C1F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676" w:type="dxa"/>
            <w:tcBorders>
              <w:top w:val="nil"/>
              <w:left w:val="nil"/>
              <w:bottom w:val="single" w:color="auto" w:sz="4" w:space="0"/>
              <w:right w:val="single" w:color="auto" w:sz="4" w:space="0"/>
            </w:tcBorders>
            <w:noWrap w:val="0"/>
            <w:vAlign w:val="center"/>
          </w:tcPr>
          <w:p w14:paraId="7F895CA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076" w:type="dxa"/>
            <w:tcBorders>
              <w:top w:val="nil"/>
              <w:left w:val="nil"/>
              <w:bottom w:val="single" w:color="auto" w:sz="4" w:space="0"/>
              <w:right w:val="single" w:color="auto" w:sz="4" w:space="0"/>
            </w:tcBorders>
            <w:noWrap w:val="0"/>
            <w:vAlign w:val="center"/>
          </w:tcPr>
          <w:p w14:paraId="619FEE6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1F8E1EA">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43430B0D">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544" w:type="dxa"/>
            <w:tcBorders>
              <w:top w:val="nil"/>
              <w:left w:val="nil"/>
              <w:bottom w:val="single" w:color="auto" w:sz="4" w:space="0"/>
              <w:right w:val="single" w:color="auto" w:sz="4" w:space="0"/>
            </w:tcBorders>
            <w:noWrap w:val="0"/>
            <w:vAlign w:val="center"/>
          </w:tcPr>
          <w:p w14:paraId="2E70F4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6111015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4C40ACC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676" w:type="dxa"/>
            <w:tcBorders>
              <w:top w:val="nil"/>
              <w:left w:val="nil"/>
              <w:bottom w:val="single" w:color="auto" w:sz="4" w:space="0"/>
              <w:right w:val="single" w:color="auto" w:sz="4" w:space="0"/>
            </w:tcBorders>
            <w:noWrap w:val="0"/>
            <w:vAlign w:val="center"/>
          </w:tcPr>
          <w:p w14:paraId="4BC9788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6" w:type="dxa"/>
            <w:tcBorders>
              <w:top w:val="nil"/>
              <w:left w:val="nil"/>
              <w:bottom w:val="single" w:color="auto" w:sz="4" w:space="0"/>
              <w:right w:val="single" w:color="auto" w:sz="4" w:space="0"/>
            </w:tcBorders>
            <w:noWrap w:val="0"/>
            <w:vAlign w:val="center"/>
          </w:tcPr>
          <w:p w14:paraId="4266401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0475A24">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286AC12E">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0A9C615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23B17BF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315E946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676" w:type="dxa"/>
            <w:tcBorders>
              <w:top w:val="nil"/>
              <w:left w:val="nil"/>
              <w:bottom w:val="single" w:color="auto" w:sz="4" w:space="0"/>
              <w:right w:val="single" w:color="auto" w:sz="4" w:space="0"/>
            </w:tcBorders>
            <w:noWrap w:val="0"/>
            <w:vAlign w:val="center"/>
          </w:tcPr>
          <w:p w14:paraId="29FC62F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076" w:type="dxa"/>
            <w:tcBorders>
              <w:top w:val="nil"/>
              <w:left w:val="nil"/>
              <w:bottom w:val="single" w:color="auto" w:sz="4" w:space="0"/>
              <w:right w:val="single" w:color="auto" w:sz="4" w:space="0"/>
            </w:tcBorders>
            <w:noWrap w:val="0"/>
            <w:vAlign w:val="center"/>
          </w:tcPr>
          <w:p w14:paraId="3E4721F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C492684">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3533B1B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544" w:type="dxa"/>
            <w:tcBorders>
              <w:top w:val="nil"/>
              <w:left w:val="nil"/>
              <w:bottom w:val="single" w:color="auto" w:sz="4" w:space="0"/>
              <w:right w:val="single" w:color="auto" w:sz="4" w:space="0"/>
            </w:tcBorders>
            <w:noWrap w:val="0"/>
            <w:vAlign w:val="center"/>
          </w:tcPr>
          <w:p w14:paraId="19D6CDA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443C7F6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2F23B0F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76" w:type="dxa"/>
            <w:tcBorders>
              <w:top w:val="nil"/>
              <w:left w:val="nil"/>
              <w:bottom w:val="single" w:color="auto" w:sz="4" w:space="0"/>
              <w:right w:val="single" w:color="auto" w:sz="4" w:space="0"/>
            </w:tcBorders>
            <w:noWrap w:val="0"/>
            <w:vAlign w:val="center"/>
          </w:tcPr>
          <w:p w14:paraId="1C7FEDA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6" w:type="dxa"/>
            <w:tcBorders>
              <w:top w:val="nil"/>
              <w:left w:val="nil"/>
              <w:bottom w:val="single" w:color="auto" w:sz="4" w:space="0"/>
              <w:right w:val="single" w:color="auto" w:sz="4" w:space="0"/>
            </w:tcBorders>
            <w:noWrap w:val="0"/>
            <w:vAlign w:val="center"/>
          </w:tcPr>
          <w:p w14:paraId="6778C1E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9AC29E4">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6BCCA9DD">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3DE1F9C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76E9655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25FA01C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676" w:type="dxa"/>
            <w:tcBorders>
              <w:top w:val="nil"/>
              <w:left w:val="nil"/>
              <w:bottom w:val="single" w:color="auto" w:sz="4" w:space="0"/>
              <w:right w:val="single" w:color="auto" w:sz="4" w:space="0"/>
            </w:tcBorders>
            <w:noWrap w:val="0"/>
            <w:vAlign w:val="center"/>
          </w:tcPr>
          <w:p w14:paraId="7F0F1E2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1076" w:type="dxa"/>
            <w:tcBorders>
              <w:top w:val="nil"/>
              <w:left w:val="nil"/>
              <w:bottom w:val="single" w:color="auto" w:sz="4" w:space="0"/>
              <w:right w:val="single" w:color="auto" w:sz="4" w:space="0"/>
            </w:tcBorders>
            <w:noWrap w:val="0"/>
            <w:vAlign w:val="center"/>
          </w:tcPr>
          <w:p w14:paraId="4EFA7B3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4180B62D">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176158E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544" w:type="dxa"/>
            <w:tcBorders>
              <w:top w:val="nil"/>
              <w:left w:val="nil"/>
              <w:bottom w:val="single" w:color="auto" w:sz="4" w:space="0"/>
              <w:right w:val="single" w:color="auto" w:sz="4" w:space="0"/>
            </w:tcBorders>
            <w:noWrap w:val="0"/>
            <w:vAlign w:val="center"/>
          </w:tcPr>
          <w:p w14:paraId="1A6ABAD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7C0DBC7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2540CCA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676" w:type="dxa"/>
            <w:tcBorders>
              <w:top w:val="nil"/>
              <w:left w:val="nil"/>
              <w:bottom w:val="single" w:color="auto" w:sz="4" w:space="0"/>
              <w:right w:val="single" w:color="auto" w:sz="4" w:space="0"/>
            </w:tcBorders>
            <w:noWrap w:val="0"/>
            <w:vAlign w:val="center"/>
          </w:tcPr>
          <w:p w14:paraId="6AF209C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1076" w:type="dxa"/>
            <w:tcBorders>
              <w:top w:val="nil"/>
              <w:left w:val="nil"/>
              <w:bottom w:val="single" w:color="auto" w:sz="4" w:space="0"/>
              <w:right w:val="single" w:color="auto" w:sz="4" w:space="0"/>
            </w:tcBorders>
            <w:noWrap w:val="0"/>
            <w:vAlign w:val="center"/>
          </w:tcPr>
          <w:p w14:paraId="663082B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562B567B">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170FC824">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25B9506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389" w:type="dxa"/>
            <w:tcBorders>
              <w:top w:val="nil"/>
              <w:left w:val="nil"/>
              <w:bottom w:val="single" w:color="auto" w:sz="4" w:space="0"/>
              <w:right w:val="single" w:color="auto" w:sz="4" w:space="0"/>
            </w:tcBorders>
            <w:noWrap w:val="0"/>
            <w:vAlign w:val="center"/>
          </w:tcPr>
          <w:p w14:paraId="234D684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7BC5D3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676" w:type="dxa"/>
            <w:tcBorders>
              <w:top w:val="nil"/>
              <w:left w:val="nil"/>
              <w:bottom w:val="single" w:color="auto" w:sz="4" w:space="0"/>
              <w:right w:val="single" w:color="auto" w:sz="4" w:space="0"/>
            </w:tcBorders>
            <w:noWrap w:val="0"/>
            <w:vAlign w:val="center"/>
          </w:tcPr>
          <w:p w14:paraId="1EBB8D1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1076" w:type="dxa"/>
            <w:tcBorders>
              <w:top w:val="nil"/>
              <w:left w:val="nil"/>
              <w:bottom w:val="single" w:color="auto" w:sz="4" w:space="0"/>
              <w:right w:val="single" w:color="auto" w:sz="4" w:space="0"/>
            </w:tcBorders>
            <w:noWrap w:val="0"/>
            <w:vAlign w:val="center"/>
          </w:tcPr>
          <w:p w14:paraId="15F3C49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5A9DFFE6">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5179AA0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544" w:type="dxa"/>
            <w:tcBorders>
              <w:top w:val="nil"/>
              <w:left w:val="nil"/>
              <w:bottom w:val="single" w:color="auto" w:sz="4" w:space="0"/>
              <w:right w:val="single" w:color="auto" w:sz="4" w:space="0"/>
            </w:tcBorders>
            <w:noWrap w:val="0"/>
            <w:vAlign w:val="center"/>
          </w:tcPr>
          <w:p w14:paraId="5FC2CD2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2BA141B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1E37708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76" w:type="dxa"/>
            <w:tcBorders>
              <w:top w:val="nil"/>
              <w:left w:val="nil"/>
              <w:bottom w:val="single" w:color="auto" w:sz="4" w:space="0"/>
              <w:right w:val="single" w:color="auto" w:sz="4" w:space="0"/>
            </w:tcBorders>
            <w:noWrap w:val="0"/>
            <w:vAlign w:val="center"/>
          </w:tcPr>
          <w:p w14:paraId="46D4645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076" w:type="dxa"/>
            <w:tcBorders>
              <w:top w:val="nil"/>
              <w:left w:val="nil"/>
              <w:bottom w:val="single" w:color="auto" w:sz="4" w:space="0"/>
              <w:right w:val="single" w:color="auto" w:sz="4" w:space="0"/>
            </w:tcBorders>
            <w:noWrap w:val="0"/>
            <w:vAlign w:val="center"/>
          </w:tcPr>
          <w:p w14:paraId="4582BB8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72408E1F">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13DC1F4F">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41F8582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1389" w:type="dxa"/>
            <w:tcBorders>
              <w:top w:val="nil"/>
              <w:left w:val="nil"/>
              <w:bottom w:val="single" w:color="auto" w:sz="4" w:space="0"/>
              <w:right w:val="single" w:color="auto" w:sz="4" w:space="0"/>
            </w:tcBorders>
            <w:noWrap w:val="0"/>
            <w:vAlign w:val="center"/>
          </w:tcPr>
          <w:p w14:paraId="5EC13F8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40E2B02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676" w:type="dxa"/>
            <w:tcBorders>
              <w:top w:val="nil"/>
              <w:left w:val="nil"/>
              <w:bottom w:val="single" w:color="auto" w:sz="4" w:space="0"/>
              <w:right w:val="single" w:color="auto" w:sz="4" w:space="0"/>
            </w:tcBorders>
            <w:noWrap w:val="0"/>
            <w:vAlign w:val="center"/>
          </w:tcPr>
          <w:p w14:paraId="629695F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1076" w:type="dxa"/>
            <w:tcBorders>
              <w:top w:val="nil"/>
              <w:left w:val="nil"/>
              <w:bottom w:val="single" w:color="auto" w:sz="4" w:space="0"/>
              <w:right w:val="single" w:color="auto" w:sz="4" w:space="0"/>
            </w:tcBorders>
            <w:noWrap w:val="0"/>
            <w:vAlign w:val="center"/>
          </w:tcPr>
          <w:p w14:paraId="091915C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57A84217">
        <w:tblPrEx>
          <w:tblCellMar>
            <w:top w:w="0" w:type="dxa"/>
            <w:left w:w="108" w:type="dxa"/>
            <w:bottom w:w="0" w:type="dxa"/>
            <w:right w:w="108" w:type="dxa"/>
          </w:tblCellMar>
        </w:tblPrEx>
        <w:trPr>
          <w:trHeight w:val="225" w:hRule="atLeast"/>
        </w:trPr>
        <w:tc>
          <w:tcPr>
            <w:tcW w:w="1816" w:type="dxa"/>
            <w:vMerge w:val="restart"/>
            <w:tcBorders>
              <w:top w:val="nil"/>
              <w:left w:val="single" w:color="auto" w:sz="4" w:space="0"/>
              <w:bottom w:val="single" w:color="auto" w:sz="4" w:space="0"/>
              <w:right w:val="single" w:color="auto" w:sz="4" w:space="0"/>
            </w:tcBorders>
            <w:noWrap w:val="0"/>
            <w:vAlign w:val="bottom"/>
          </w:tcPr>
          <w:p w14:paraId="738673C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544" w:type="dxa"/>
            <w:tcBorders>
              <w:top w:val="nil"/>
              <w:left w:val="nil"/>
              <w:bottom w:val="single" w:color="auto" w:sz="4" w:space="0"/>
              <w:right w:val="single" w:color="auto" w:sz="4" w:space="0"/>
            </w:tcBorders>
            <w:noWrap w:val="0"/>
            <w:vAlign w:val="center"/>
          </w:tcPr>
          <w:p w14:paraId="72E97AB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35C6883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0E6EB91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76" w:type="dxa"/>
            <w:tcBorders>
              <w:top w:val="nil"/>
              <w:left w:val="nil"/>
              <w:bottom w:val="single" w:color="auto" w:sz="4" w:space="0"/>
              <w:right w:val="single" w:color="auto" w:sz="4" w:space="0"/>
            </w:tcBorders>
            <w:noWrap w:val="0"/>
            <w:vAlign w:val="center"/>
          </w:tcPr>
          <w:p w14:paraId="4872880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6" w:type="dxa"/>
            <w:tcBorders>
              <w:top w:val="nil"/>
              <w:left w:val="nil"/>
              <w:bottom w:val="single" w:color="auto" w:sz="4" w:space="0"/>
              <w:right w:val="single" w:color="auto" w:sz="4" w:space="0"/>
            </w:tcBorders>
            <w:noWrap w:val="0"/>
            <w:vAlign w:val="center"/>
          </w:tcPr>
          <w:p w14:paraId="475727C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2EE4277">
        <w:tblPrEx>
          <w:tblCellMar>
            <w:top w:w="0" w:type="dxa"/>
            <w:left w:w="108" w:type="dxa"/>
            <w:bottom w:w="0" w:type="dxa"/>
            <w:right w:w="108" w:type="dxa"/>
          </w:tblCellMar>
        </w:tblPrEx>
        <w:trPr>
          <w:trHeight w:val="225" w:hRule="atLeast"/>
        </w:trPr>
        <w:tc>
          <w:tcPr>
            <w:tcW w:w="1816" w:type="dxa"/>
            <w:vMerge w:val="continue"/>
            <w:tcBorders>
              <w:top w:val="nil"/>
              <w:left w:val="single" w:color="auto" w:sz="4" w:space="0"/>
              <w:bottom w:val="single" w:color="auto" w:sz="4" w:space="0"/>
              <w:right w:val="single" w:color="auto" w:sz="4" w:space="0"/>
            </w:tcBorders>
            <w:noWrap w:val="0"/>
            <w:vAlign w:val="center"/>
          </w:tcPr>
          <w:p w14:paraId="487672E0">
            <w:pPr>
              <w:widowControl/>
              <w:jc w:val="left"/>
              <w:rPr>
                <w:rFonts w:hint="eastAsia" w:ascii="宋体" w:hAnsi="宋体" w:eastAsia="宋体" w:cs="宋体"/>
                <w:b/>
                <w:bCs/>
                <w:color w:val="auto"/>
                <w:kern w:val="0"/>
                <w:sz w:val="18"/>
                <w:szCs w:val="18"/>
                <w:highlight w:val="none"/>
              </w:rPr>
            </w:pPr>
          </w:p>
        </w:tc>
        <w:tc>
          <w:tcPr>
            <w:tcW w:w="1544" w:type="dxa"/>
            <w:tcBorders>
              <w:top w:val="nil"/>
              <w:left w:val="nil"/>
              <w:bottom w:val="single" w:color="auto" w:sz="4" w:space="0"/>
              <w:right w:val="single" w:color="auto" w:sz="4" w:space="0"/>
            </w:tcBorders>
            <w:noWrap w:val="0"/>
            <w:vAlign w:val="center"/>
          </w:tcPr>
          <w:p w14:paraId="7A3FC78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1389" w:type="dxa"/>
            <w:tcBorders>
              <w:top w:val="nil"/>
              <w:left w:val="nil"/>
              <w:bottom w:val="single" w:color="auto" w:sz="4" w:space="0"/>
              <w:right w:val="single" w:color="auto" w:sz="4" w:space="0"/>
            </w:tcBorders>
            <w:noWrap w:val="0"/>
            <w:vAlign w:val="center"/>
          </w:tcPr>
          <w:p w14:paraId="5CE2A5F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87" w:type="dxa"/>
            <w:tcBorders>
              <w:top w:val="nil"/>
              <w:left w:val="nil"/>
              <w:bottom w:val="single" w:color="auto" w:sz="4" w:space="0"/>
              <w:right w:val="single" w:color="auto" w:sz="4" w:space="0"/>
            </w:tcBorders>
            <w:noWrap w:val="0"/>
            <w:vAlign w:val="center"/>
          </w:tcPr>
          <w:p w14:paraId="094244C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676" w:type="dxa"/>
            <w:tcBorders>
              <w:top w:val="nil"/>
              <w:left w:val="nil"/>
              <w:bottom w:val="single" w:color="auto" w:sz="4" w:space="0"/>
              <w:right w:val="single" w:color="auto" w:sz="4" w:space="0"/>
            </w:tcBorders>
            <w:noWrap w:val="0"/>
            <w:vAlign w:val="center"/>
          </w:tcPr>
          <w:p w14:paraId="276B8E1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1076" w:type="dxa"/>
            <w:tcBorders>
              <w:top w:val="nil"/>
              <w:left w:val="nil"/>
              <w:bottom w:val="single" w:color="auto" w:sz="4" w:space="0"/>
              <w:right w:val="single" w:color="auto" w:sz="4" w:space="0"/>
            </w:tcBorders>
            <w:noWrap w:val="0"/>
            <w:vAlign w:val="center"/>
          </w:tcPr>
          <w:p w14:paraId="0B3A1D1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0BE06CB">
        <w:tblPrEx>
          <w:tblCellMar>
            <w:top w:w="0" w:type="dxa"/>
            <w:left w:w="108" w:type="dxa"/>
            <w:bottom w:w="0" w:type="dxa"/>
            <w:right w:w="108" w:type="dxa"/>
          </w:tblCellMar>
        </w:tblPrEx>
        <w:trPr>
          <w:trHeight w:val="225" w:hRule="atLeast"/>
        </w:trPr>
        <w:tc>
          <w:tcPr>
            <w:tcW w:w="1816" w:type="dxa"/>
            <w:tcBorders>
              <w:top w:val="nil"/>
              <w:left w:val="single" w:color="auto" w:sz="4" w:space="0"/>
              <w:bottom w:val="single" w:color="auto" w:sz="4" w:space="0"/>
              <w:right w:val="single" w:color="auto" w:sz="4" w:space="0"/>
            </w:tcBorders>
            <w:noWrap w:val="0"/>
            <w:vAlign w:val="bottom"/>
          </w:tcPr>
          <w:p w14:paraId="498282F9">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544" w:type="dxa"/>
            <w:tcBorders>
              <w:top w:val="nil"/>
              <w:left w:val="nil"/>
              <w:bottom w:val="single" w:color="auto" w:sz="4" w:space="0"/>
              <w:right w:val="single" w:color="auto" w:sz="4" w:space="0"/>
            </w:tcBorders>
            <w:noWrap w:val="0"/>
            <w:vAlign w:val="center"/>
          </w:tcPr>
          <w:p w14:paraId="0909576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1389" w:type="dxa"/>
            <w:tcBorders>
              <w:top w:val="nil"/>
              <w:left w:val="nil"/>
              <w:bottom w:val="single" w:color="auto" w:sz="4" w:space="0"/>
              <w:right w:val="single" w:color="auto" w:sz="4" w:space="0"/>
            </w:tcBorders>
            <w:noWrap w:val="0"/>
            <w:vAlign w:val="center"/>
          </w:tcPr>
          <w:p w14:paraId="35A38E3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87" w:type="dxa"/>
            <w:tcBorders>
              <w:top w:val="nil"/>
              <w:left w:val="nil"/>
              <w:bottom w:val="single" w:color="auto" w:sz="4" w:space="0"/>
              <w:right w:val="single" w:color="auto" w:sz="4" w:space="0"/>
            </w:tcBorders>
            <w:noWrap w:val="0"/>
            <w:vAlign w:val="center"/>
          </w:tcPr>
          <w:p w14:paraId="593931B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76" w:type="dxa"/>
            <w:tcBorders>
              <w:top w:val="nil"/>
              <w:left w:val="nil"/>
              <w:bottom w:val="single" w:color="auto" w:sz="4" w:space="0"/>
              <w:right w:val="single" w:color="auto" w:sz="4" w:space="0"/>
            </w:tcBorders>
            <w:noWrap w:val="0"/>
            <w:vAlign w:val="center"/>
          </w:tcPr>
          <w:p w14:paraId="08682B0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076" w:type="dxa"/>
            <w:tcBorders>
              <w:top w:val="nil"/>
              <w:left w:val="nil"/>
              <w:bottom w:val="single" w:color="auto" w:sz="4" w:space="0"/>
              <w:right w:val="single" w:color="auto" w:sz="4" w:space="0"/>
            </w:tcBorders>
            <w:noWrap w:val="0"/>
            <w:vAlign w:val="center"/>
          </w:tcPr>
          <w:p w14:paraId="7847CF6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4A032A7C">
      <w:pPr>
        <w:tabs>
          <w:tab w:val="left" w:pos="180"/>
          <w:tab w:val="left" w:pos="1620"/>
        </w:tabs>
        <w:spacing w:line="360" w:lineRule="auto"/>
        <w:ind w:firstLine="420" w:firstLineChars="200"/>
        <w:rPr>
          <w:rFonts w:hint="eastAsia" w:ascii="宋体" w:hAnsi="宋体" w:cs="宋体"/>
          <w:b/>
          <w:bCs/>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378BEA6">
      <w:pPr>
        <w:spacing w:line="360" w:lineRule="auto"/>
        <w:rPr>
          <w:rFonts w:hint="eastAsia"/>
          <w:color w:val="auto"/>
          <w:szCs w:val="21"/>
          <w:highlight w:val="none"/>
        </w:rPr>
      </w:pPr>
      <w:r>
        <w:rPr>
          <w:rFonts w:hint="eastAsia"/>
          <w:color w:val="auto"/>
          <w:szCs w:val="21"/>
          <w:highlight w:val="none"/>
        </w:rPr>
        <w:br w:type="page"/>
      </w:r>
    </w:p>
    <w:p w14:paraId="0CB103AA">
      <w:pPr>
        <w:pStyle w:val="3"/>
        <w:jc w:val="center"/>
        <w:rPr>
          <w:rFonts w:hint="eastAsia"/>
          <w:color w:val="auto"/>
          <w:highlight w:val="none"/>
        </w:rPr>
      </w:pPr>
      <w:bookmarkStart w:id="111" w:name="_Toc4352"/>
      <w:r>
        <w:rPr>
          <w:rFonts w:hint="eastAsia"/>
          <w:color w:val="auto"/>
          <w:highlight w:val="none"/>
        </w:rPr>
        <w:t>第四章  评审程序、评审方法和评审标准</w:t>
      </w:r>
      <w:bookmarkEnd w:id="111"/>
    </w:p>
    <w:p w14:paraId="0E3D3721">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14:paraId="65E3A165">
      <w:pPr>
        <w:shd w:val="clear" w:color="auto"/>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lang w:bidi="ar"/>
        </w:rPr>
        <w:t>1.确认磋商文件</w:t>
      </w:r>
    </w:p>
    <w:p w14:paraId="19A9648A">
      <w:pPr>
        <w:shd w:val="clear" w:color="auto"/>
        <w:spacing w:line="360" w:lineRule="auto"/>
        <w:ind w:firstLine="420" w:firstLineChars="200"/>
        <w:rPr>
          <w:rFonts w:hint="default" w:eastAsia="宋体"/>
          <w:color w:val="auto"/>
          <w:highlight w:val="none"/>
          <w:lang w:val="en-US" w:eastAsia="zh-CN"/>
        </w:rPr>
      </w:pPr>
      <w:r>
        <w:rPr>
          <w:rFonts w:hint="eastAsia" w:ascii="宋体" w:hAnsi="宋体" w:cs="宋体"/>
          <w:color w:val="auto"/>
          <w:szCs w:val="21"/>
          <w:highlight w:val="none"/>
          <w:lang w:bidi="ar"/>
        </w:rPr>
        <w:t>由磋商小组确认磋商文件。</w:t>
      </w:r>
    </w:p>
    <w:p w14:paraId="0E18EE6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lang w:val="en-US" w:eastAsia="zh-CN"/>
        </w:rPr>
        <w:t>2</w:t>
      </w:r>
      <w:r>
        <w:rPr>
          <w:rFonts w:hint="eastAsia" w:ascii="黑体" w:hAnsi="黑体" w:eastAsia="黑体" w:cs="宋体"/>
          <w:b/>
          <w:bCs/>
          <w:color w:val="auto"/>
          <w:sz w:val="24"/>
          <w:highlight w:val="none"/>
        </w:rPr>
        <w:t>.资格审查</w:t>
      </w:r>
    </w:p>
    <w:p w14:paraId="7D4E8721">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2F73783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1FFC950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r>
        <w:rPr>
          <w:rFonts w:hint="eastAsia"/>
          <w:color w:val="auto"/>
          <w:highlight w:val="none"/>
          <w:lang w:eastAsia="zh-CN"/>
        </w:rPr>
        <w:t>、</w:t>
      </w:r>
      <w:r>
        <w:rPr>
          <w:rFonts w:hint="eastAsia" w:ascii="宋体" w:hAnsi="宋体" w:cs="宋体"/>
          <w:color w:val="auto"/>
          <w:szCs w:val="21"/>
          <w:highlight w:val="none"/>
        </w:rPr>
        <w:t>。</w:t>
      </w:r>
    </w:p>
    <w:p w14:paraId="7C3AECD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20FF24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5967C536">
      <w:pPr>
        <w:pStyle w:val="13"/>
        <w:snapToGrid w:val="0"/>
        <w:spacing w:line="360" w:lineRule="auto"/>
        <w:ind w:firstLineChars="20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w:t>
      </w:r>
      <w:r>
        <w:rPr>
          <w:rFonts w:hint="eastAsia"/>
          <w:color w:val="auto"/>
          <w:highlight w:val="none"/>
          <w:lang w:eastAsia="zh-CN"/>
        </w:rPr>
        <w:t>、</w:t>
      </w:r>
      <w:r>
        <w:rPr>
          <w:rFonts w:hint="eastAsia" w:ascii="宋体" w:hAnsi="宋体" w:cs="宋体"/>
          <w:color w:val="auto"/>
          <w:kern w:val="0"/>
          <w:szCs w:val="21"/>
          <w:highlight w:val="none"/>
        </w:rPr>
        <w:t>“信用中国”网站（www.creditchina.gov.cn）</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23A603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AEA9745">
      <w:pPr>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.3供应商有下列情形之一的，资格审查不通过，其响应文件按无效响应处理：</w:t>
      </w:r>
    </w:p>
    <w:p w14:paraId="646318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56C1F5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322B7F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4C1127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5F03B7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1CA1E6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60A13E3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lang w:val="en-US" w:eastAsia="zh-CN"/>
        </w:rPr>
        <w:t>3</w:t>
      </w:r>
      <w:r>
        <w:rPr>
          <w:rFonts w:hint="eastAsia" w:ascii="黑体" w:hAnsi="黑体" w:eastAsia="黑体" w:cs="宋体"/>
          <w:b/>
          <w:bCs/>
          <w:color w:val="auto"/>
          <w:sz w:val="24"/>
          <w:highlight w:val="none"/>
        </w:rPr>
        <w:t>.符合性审查</w:t>
      </w:r>
    </w:p>
    <w:p w14:paraId="3E3BC245">
      <w:pPr>
        <w:spacing w:line="360" w:lineRule="auto"/>
        <w:ind w:firstLine="420" w:firstLineChars="200"/>
        <w:rPr>
          <w:rFonts w:hint="eastAsia" w:ascii="宋体" w:hAnsi="宋体" w:cs="宋体"/>
          <w:color w:val="auto"/>
          <w:szCs w:val="21"/>
          <w:highlight w:val="none"/>
        </w:rPr>
      </w:pPr>
      <w:bookmarkStart w:id="112" w:name="_Hlk42528882"/>
      <w:r>
        <w:rPr>
          <w:rFonts w:hint="eastAsia" w:ascii="宋体" w:hAnsi="宋体" w:cs="宋体"/>
          <w:color w:val="auto"/>
          <w:szCs w:val="21"/>
          <w:highlight w:val="none"/>
          <w:lang w:val="en-US" w:eastAsia="zh-CN"/>
        </w:rPr>
        <w:t>3</w:t>
      </w:r>
      <w:r>
        <w:rPr>
          <w:rFonts w:ascii="宋体" w:hAnsi="宋体" w:cs="宋体"/>
          <w:color w:val="auto"/>
          <w:szCs w:val="21"/>
          <w:highlight w:val="none"/>
        </w:rPr>
        <w:t>.1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报价、商务、技术等实质性要求进行符合性审查，以确定其是否满足磋商文件的实质性要求。</w:t>
      </w:r>
    </w:p>
    <w:bookmarkEnd w:id="112"/>
    <w:p w14:paraId="5EA133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9673586">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w:t>
      </w:r>
      <w:r>
        <w:rPr>
          <w:rFonts w:hint="eastAsia" w:ascii="宋体" w:hAnsi="宋体" w:cs="宋体"/>
          <w:color w:val="auto"/>
          <w:szCs w:val="21"/>
          <w:highlight w:val="none"/>
          <w:lang w:val="en-US"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2A1C1C41">
      <w:pPr>
        <w:spacing w:line="360" w:lineRule="auto"/>
        <w:ind w:firstLine="420" w:firstLineChars="20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09BD3C88">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lang w:val="en-US" w:eastAsia="zh-CN"/>
        </w:rPr>
        <w:t>3</w:t>
      </w:r>
      <w:r>
        <w:rPr>
          <w:rFonts w:ascii="宋体" w:hAnsi="宋体" w:cs="宋体"/>
          <w:color w:val="auto"/>
          <w:spacing w:val="-6"/>
          <w:szCs w:val="21"/>
          <w:highlight w:val="none"/>
        </w:rPr>
        <w:t>.4</w:t>
      </w:r>
      <w:r>
        <w:rPr>
          <w:rFonts w:hint="eastAsia" w:ascii="宋体" w:hAnsi="宋体" w:cs="宋体"/>
          <w:color w:val="auto"/>
          <w:szCs w:val="21"/>
          <w:highlight w:val="none"/>
        </w:rPr>
        <w:t xml:space="preserve">首次响应文件报价出现前后不一致的，按照下列规定修正： </w:t>
      </w:r>
    </w:p>
    <w:p w14:paraId="34BFD8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62A1A9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4C350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9197F3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E36C7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421186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336BD662">
      <w:pPr>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55BABD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497F89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7DE5AA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7CEEA6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10C5DE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D454E15">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bidi="ar"/>
        </w:rPr>
        <w:t>5</w:t>
      </w:r>
      <w:r>
        <w:rPr>
          <w:rFonts w:hint="eastAsia" w:ascii="宋体" w:hAnsi="宋体" w:cs="宋体"/>
          <w:color w:val="auto"/>
          <w:szCs w:val="21"/>
          <w:highlight w:val="none"/>
          <w:lang w:bidi="ar"/>
        </w:rPr>
        <w:t>）商务条款中标（成交）“▲”的条款发生负偏离的或者允许负偏离的条款数超过“供应商须知前附表”规定项数的或者标明实质性的要求发生负偏离；</w:t>
      </w:r>
    </w:p>
    <w:p w14:paraId="01148F04">
      <w:pPr>
        <w:spacing w:line="360" w:lineRule="auto"/>
        <w:ind w:firstLine="420" w:firstLineChars="200"/>
        <w:rPr>
          <w:rFonts w:hint="eastAsia" w:ascii="宋体" w:hAnsi="宋体" w:cs="宋体"/>
          <w:color w:val="auto"/>
          <w:szCs w:val="21"/>
          <w:highlight w:val="none"/>
        </w:rPr>
      </w:pPr>
    </w:p>
    <w:p w14:paraId="537E5C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6）未对</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有效期作出响应或者响应文件承诺的</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有效期不满足磋商文件要求；</w:t>
      </w:r>
    </w:p>
    <w:p w14:paraId="2DF3F6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4E5B93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3C050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48F5EA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46FDE1C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，或者出现其他情形而导致被磋商小组认定无效；</w:t>
      </w:r>
    </w:p>
    <w:p w14:paraId="669BE22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bookmarkStart w:id="113" w:name="_Hlk71704147"/>
      <w:r>
        <w:rPr>
          <w:rFonts w:hint="eastAsia" w:ascii="宋体" w:hAnsi="宋体" w:cs="宋体"/>
          <w:color w:val="auto"/>
          <w:szCs w:val="21"/>
          <w:highlight w:val="none"/>
        </w:rPr>
        <w:t>磋商文件未载明允许提供备选（替代）</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方案或明确不允许提供备选（替代）</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方案时，供应商提供了备选（替代）</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方案的；</w:t>
      </w:r>
      <w:bookmarkEnd w:id="113"/>
    </w:p>
    <w:p w14:paraId="70004EF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2FB155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5B36DEA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7077D7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7D638F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0103DA8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报价表”；</w:t>
      </w:r>
    </w:p>
    <w:p w14:paraId="353FDE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0DEDE2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分标进行报价或者存在漏项报价；供应商未就所</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分标的单项内容作唯一报价；供应商未就所</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分标的全部内容作完整唯一总价报价；供应商响应文件中存在有选择、有条件报价的（磋商文件允许有备选方案或者其他约定的除外）；</w:t>
      </w:r>
    </w:p>
    <w:p w14:paraId="31F1DF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报价（包含首次报价、最后报价）超过所</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分标规定的采购预算金额或者最高限价的（如本项目公布了最高限价）；</w:t>
      </w:r>
      <w:bookmarkStart w:id="114" w:name="_Hlk42596405"/>
      <w:r>
        <w:rPr>
          <w:rFonts w:hint="eastAsia" w:ascii="宋体" w:hAnsi="宋体" w:cs="宋体"/>
          <w:color w:val="auto"/>
          <w:szCs w:val="21"/>
          <w:highlight w:val="none"/>
        </w:rPr>
        <w:t>分项</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报价（包含首次报价、最后报价）</w:t>
      </w:r>
      <w:bookmarkEnd w:id="114"/>
      <w:bookmarkStart w:id="115" w:name="_Hlk42596276"/>
      <w:r>
        <w:rPr>
          <w:rFonts w:hint="eastAsia" w:ascii="宋体" w:hAnsi="宋体" w:cs="宋体"/>
          <w:color w:val="auto"/>
          <w:szCs w:val="21"/>
          <w:highlight w:val="none"/>
        </w:rPr>
        <w:t>超过磋商文件分项采购预算金额或者最高限价的</w:t>
      </w:r>
      <w:bookmarkEnd w:id="115"/>
      <w:r>
        <w:rPr>
          <w:rFonts w:hint="eastAsia" w:ascii="宋体" w:hAnsi="宋体" w:cs="宋体"/>
          <w:color w:val="auto"/>
          <w:szCs w:val="21"/>
          <w:highlight w:val="none"/>
        </w:rPr>
        <w:t>（如本项目公布了最高限价）；</w:t>
      </w:r>
    </w:p>
    <w:p w14:paraId="14EB2E7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报价（包含首次报价、最后报价）超过所</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分标规定的采购预算金额或者最高限价（如本项目公布了最高限价）；或者经供应商确认修正后分项</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报价（包含首次报价、最后报价）超过磋商文件分项采购预算金额或者最高限价的（如本项目公布了最高限价）。</w:t>
      </w:r>
    </w:p>
    <w:p w14:paraId="6AF1B8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121697B4">
      <w:pPr>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注：</w:t>
      </w:r>
      <w:r>
        <w:rPr>
          <w:rFonts w:hint="eastAsia" w:ascii="宋体" w:hAnsi="宋体" w:cs="宋体"/>
          <w:b/>
          <w:bCs/>
          <w:color w:val="auto"/>
          <w:szCs w:val="21"/>
          <w:highlight w:val="none"/>
        </w:rPr>
        <w:t>供应商在进行工程量清单报价（包含首次报价、最后报价）时，应按照采购人提供的工程量清单进行报价。供应商对自己所填写的项目编码、项目名称及项目特征描述、计量单位、工程量负责。如项目编码、项目名称及项目特征描述、计量单位、工程量任何一处与招标工程量清单不一致的，视为不响应竞争性磋商文件实质性内容，将作响应文件</w:t>
      </w:r>
      <w:r>
        <w:rPr>
          <w:rFonts w:hint="eastAsia" w:ascii="宋体" w:hAnsi="宋体" w:cs="宋体"/>
          <w:b/>
          <w:bCs/>
          <w:color w:val="auto"/>
          <w:szCs w:val="21"/>
          <w:highlight w:val="none"/>
          <w:lang w:eastAsia="zh-CN"/>
        </w:rPr>
        <w:t>无效响应处理</w:t>
      </w:r>
      <w:r>
        <w:rPr>
          <w:rFonts w:hint="eastAsia" w:ascii="宋体" w:hAnsi="宋体" w:cs="宋体"/>
          <w:b/>
          <w:bCs/>
          <w:color w:val="auto"/>
          <w:szCs w:val="21"/>
          <w:highlight w:val="none"/>
        </w:rPr>
        <w:t>；</w:t>
      </w:r>
    </w:p>
    <w:p w14:paraId="6FDB6CE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7F1B9D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20B09460">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1A4C15C4">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，未在规定时间内参加磋商的视同放弃参加磋商权利，其响应文件按无效响应处理。</w:t>
      </w:r>
    </w:p>
    <w:p w14:paraId="443B57D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DED55C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45A0C8C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1D730AF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67CDFCFD">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9D8B739">
      <w:pPr>
        <w:tabs>
          <w:tab w:val="left" w:pos="2835"/>
        </w:tabs>
        <w:spacing w:line="360" w:lineRule="auto"/>
        <w:ind w:firstLine="420" w:firstLineChars="20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4908A598">
      <w:pPr>
        <w:tabs>
          <w:tab w:val="left" w:pos="2835"/>
        </w:tabs>
        <w:spacing w:line="360" w:lineRule="auto"/>
        <w:ind w:firstLine="420" w:firstLineChars="20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1345AE42">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B2307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DAE69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62B950C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1C21968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1407325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2FF8324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1D02A25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6264773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1F6688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1B2129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报价（包含首次报价、最后报价）超过所</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分标规定的采购预算金额或者最高限价的（如本项目公布了最高限价）；</w:t>
      </w:r>
    </w:p>
    <w:p w14:paraId="5779DF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报价（包含首次报价、最后报价）超过分项采购预算金额或者最高限价的（如本项目公布了最高限价）。</w:t>
      </w:r>
    </w:p>
    <w:p w14:paraId="426D244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3765D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5E8AD3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7C65D1C8">
      <w:pPr>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12本工程磋商报价采用工程量清单报价。供应商应就采购人提供的工程量清单全部内容作完整唯一报价，漏项报价的或有选择的或有条件的报价，其磋商将视为无效。作最终报价时，磋商小组将明确告知磋商供应商，磋商供应商的最后报价与首次报价不一致的，须提供与最后报价一致的已标价工程量清单作为附件，否则报价无效，视同放弃报价权利退出磋商。最后报价中的各项综合单价不得高于招标控制价中对应项的综合单价。</w:t>
      </w:r>
    </w:p>
    <w:p w14:paraId="26271B80">
      <w:pPr>
        <w:spacing w:line="360" w:lineRule="auto"/>
        <w:ind w:firstLine="420" w:firstLineChars="200"/>
        <w:rPr>
          <w:rFonts w:hint="eastAsia" w:ascii="宋体" w:hAnsi="宋体" w:cs="宋体"/>
          <w:color w:val="auto"/>
          <w:szCs w:val="21"/>
          <w:highlight w:val="none"/>
        </w:rPr>
      </w:pPr>
    </w:p>
    <w:p w14:paraId="20B0129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5F9294C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12E57A1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56C247A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3D9093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4B0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353DBBE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3F9FBC30">
      <w:pPr>
        <w:spacing w:line="360" w:lineRule="auto"/>
        <w:ind w:firstLine="420" w:firstLineChars="200"/>
        <w:rPr>
          <w:rFonts w:hint="eastAsia" w:ascii="宋体" w:hAnsi="宋体"/>
          <w:color w:val="auto"/>
          <w:kern w:val="0"/>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4523EAFA">
      <w:pPr>
        <w:spacing w:line="360" w:lineRule="auto"/>
        <w:ind w:firstLine="420" w:firstLineChars="200"/>
        <w:rPr>
          <w:rFonts w:hint="eastAsia" w:ascii="宋体" w:hAnsi="宋体"/>
          <w:color w:val="auto"/>
          <w:kern w:val="0"/>
          <w:szCs w:val="21"/>
          <w:highlight w:val="none"/>
        </w:rPr>
      </w:pPr>
      <w:r>
        <w:rPr>
          <w:rFonts w:ascii="宋体" w:hAnsi="宋体"/>
          <w:color w:val="auto"/>
          <w:kern w:val="0"/>
          <w:szCs w:val="21"/>
          <w:highlight w:val="none"/>
        </w:rPr>
        <w:t>5.6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12CCFFB">
      <w:pPr>
        <w:pageBreakBefore w:val="0"/>
        <w:kinsoku/>
        <w:wordWrap/>
        <w:overflowPunct/>
        <w:topLinePunct w:val="0"/>
        <w:autoSpaceDE/>
        <w:autoSpaceDN/>
        <w:bidi w:val="0"/>
        <w:snapToGrid w:val="0"/>
        <w:spacing w:line="400" w:lineRule="exact"/>
        <w:ind w:firstLine="422" w:firstLineChars="200"/>
        <w:textAlignment w:val="auto"/>
        <w:rPr>
          <w:rFonts w:hint="eastAsia" w:ascii="宋体" w:hAnsi="宋体" w:eastAsia="宋体" w:cs="宋体"/>
          <w:color w:val="auto"/>
          <w:szCs w:val="21"/>
          <w:highlight w:val="none"/>
          <w:lang w:val="en-US" w:eastAsia="zh-CN"/>
        </w:rPr>
      </w:pPr>
      <w:r>
        <w:rPr>
          <w:rFonts w:hint="eastAsia" w:ascii="宋体" w:hAnsi="宋体" w:cs="宋体"/>
          <w:b/>
          <w:bCs/>
          <w:color w:val="auto"/>
          <w:szCs w:val="21"/>
          <w:highlight w:val="none"/>
          <w:lang w:val="en-US" w:eastAsia="zh-CN"/>
        </w:rPr>
        <w:t>6</w:t>
      </w:r>
      <w:r>
        <w:rPr>
          <w:rFonts w:hint="eastAsia" w:ascii="宋体" w:hAnsi="宋体" w:eastAsia="宋体" w:cs="宋体"/>
          <w:b/>
          <w:bCs/>
          <w:color w:val="auto"/>
          <w:szCs w:val="21"/>
          <w:highlight w:val="none"/>
          <w:lang w:val="en-US" w:eastAsia="zh-CN"/>
        </w:rPr>
        <w:t>.异常低价审查</w:t>
      </w:r>
      <w:r>
        <w:rPr>
          <w:rFonts w:hint="eastAsia" w:ascii="宋体" w:hAnsi="宋体" w:eastAsia="宋体" w:cs="宋体"/>
          <w:color w:val="auto"/>
          <w:szCs w:val="21"/>
          <w:highlight w:val="none"/>
          <w:lang w:val="en-US" w:eastAsia="zh-CN"/>
        </w:rPr>
        <w:t xml:space="preserve"> </w:t>
      </w:r>
    </w:p>
    <w:p w14:paraId="071C2DB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依据规定</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《财政部关于推动解决政府采购异常低价问题的通知》（财库〔2026〕2号）</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规定，政府采购评审中出现以下异常低价情形，</w:t>
      </w:r>
      <w:r>
        <w:rPr>
          <w:rFonts w:hint="eastAsia" w:ascii="宋体" w:hAnsi="宋体" w:eastAsia="宋体" w:cs="宋体"/>
          <w:color w:val="auto"/>
          <w:szCs w:val="21"/>
          <w:highlight w:val="none"/>
          <w:lang w:eastAsia="zh-CN"/>
        </w:rPr>
        <w:t>评审小组</w:t>
      </w:r>
      <w:r>
        <w:rPr>
          <w:rFonts w:hint="eastAsia" w:ascii="宋体" w:hAnsi="宋体" w:eastAsia="宋体" w:cs="宋体"/>
          <w:color w:val="auto"/>
          <w:szCs w:val="21"/>
          <w:highlight w:val="none"/>
        </w:rPr>
        <w:t>应当启动异常低价</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审查程序：</w:t>
      </w:r>
    </w:p>
    <w:p w14:paraId="39AEFA1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报价低于全部通过符合性审查供应商</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报价平均值</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65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72D3652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报价低于通过符合性审查的次低报价供应商</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65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6ADECE6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报价低于采购项目最高限价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65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％的（注：此处由采购人根据项目实际情况填写，填写范围不得低于45％，最高不得超过65％）；</w:t>
      </w:r>
    </w:p>
    <w:p w14:paraId="12C523D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评审小组</w:t>
      </w:r>
      <w:r>
        <w:rPr>
          <w:rFonts w:hint="eastAsia" w:ascii="宋体" w:hAnsi="宋体" w:eastAsia="宋体" w:cs="宋体"/>
          <w:color w:val="auto"/>
          <w:szCs w:val="21"/>
          <w:highlight w:val="none"/>
        </w:rPr>
        <w:t>基于专业判断，认为供应商报价过低，有可能影响产品质量或者不能诚信履约的其他情形。相关法律法规对供应商报价有规定的，从其规定。</w:t>
      </w:r>
    </w:p>
    <w:p w14:paraId="1C99F784">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（5）相关法律法规对供应商报价有规定的，从其规定。</w:t>
      </w:r>
    </w:p>
    <w:p w14:paraId="4E5EA71C">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评审小组</w:t>
      </w:r>
      <w:r>
        <w:rPr>
          <w:rFonts w:hint="eastAsia" w:ascii="宋体" w:hAnsi="宋体" w:eastAsia="宋体" w:cs="宋体"/>
          <w:color w:val="auto"/>
          <w:szCs w:val="21"/>
          <w:highlight w:val="none"/>
        </w:rPr>
        <w:t>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13D2E58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评审小组</w:t>
      </w:r>
      <w:r>
        <w:rPr>
          <w:rFonts w:hint="eastAsia" w:ascii="宋体" w:hAnsi="宋体" w:eastAsia="宋体" w:cs="宋体"/>
          <w:color w:val="auto"/>
          <w:szCs w:val="21"/>
          <w:highlight w:val="none"/>
        </w:rPr>
        <w:t>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ascii="宋体" w:hAnsi="宋体" w:eastAsia="宋体" w:cs="宋体"/>
          <w:color w:val="auto"/>
          <w:szCs w:val="21"/>
          <w:highlight w:val="none"/>
          <w:lang w:eastAsia="zh-CN"/>
        </w:rPr>
        <w:t>评审小组</w:t>
      </w:r>
      <w:r>
        <w:rPr>
          <w:rFonts w:hint="eastAsia" w:ascii="宋体" w:hAnsi="宋体" w:eastAsia="宋体" w:cs="宋体"/>
          <w:color w:val="auto"/>
          <w:szCs w:val="21"/>
          <w:highlight w:val="none"/>
        </w:rPr>
        <w:t>）应当将其作为无效响应处理。</w:t>
      </w:r>
    </w:p>
    <w:p w14:paraId="35BE1B75">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组织:采购人、采购代理机构应当为评审委员会在评审现场及时获取同类项目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AB8C9BB">
      <w:pPr>
        <w:shd w:val="clear" w:color="auto"/>
        <w:spacing w:line="360" w:lineRule="auto"/>
        <w:ind w:firstLine="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记录及归档:异常低价</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审查的启动原因、审查意见和审查结果应当在评审报告中记录，并随供应商提供的相关书面说明及证明材料，以及评审委员会有关互联网浏览、查询历史一并归档。</w:t>
      </w:r>
    </w:p>
    <w:p w14:paraId="7AFDF400">
      <w:pPr>
        <w:shd w:val="clear" w:color="auto"/>
        <w:spacing w:line="360" w:lineRule="auto"/>
        <w:ind w:firstLine="20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bidi="ar"/>
        </w:rPr>
        <w:t>7</w:t>
      </w:r>
      <w:r>
        <w:rPr>
          <w:rFonts w:hint="eastAsia" w:ascii="宋体" w:hAnsi="宋体" w:cs="宋体"/>
          <w:b/>
          <w:bCs/>
          <w:color w:val="auto"/>
          <w:sz w:val="24"/>
          <w:highlight w:val="none"/>
          <w:lang w:bidi="ar"/>
        </w:rPr>
        <w:t>.评审复核</w:t>
      </w:r>
    </w:p>
    <w:p w14:paraId="12189DB7">
      <w:pPr>
        <w:shd w:val="clear" w:color="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bidi="ar"/>
        </w:rPr>
        <w:t>7</w:t>
      </w:r>
      <w:r>
        <w:rPr>
          <w:rFonts w:hint="eastAsia" w:ascii="宋体" w:hAnsi="宋体" w:cs="宋体"/>
          <w:color w:val="auto"/>
          <w:szCs w:val="21"/>
          <w:highlight w:val="none"/>
          <w:lang w:bidi="ar"/>
        </w:rPr>
        <w:t>.1评审报告签署前，评审委员会要对评审结果进行复核，复核意见要体现在评审报告中。</w:t>
      </w:r>
    </w:p>
    <w:p w14:paraId="1CE5368E">
      <w:pPr>
        <w:widowControl/>
        <w:shd w:val="clear" w:color="auto"/>
        <w:spacing w:line="360" w:lineRule="auto"/>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7</w:t>
      </w:r>
      <w:r>
        <w:rPr>
          <w:rFonts w:hint="eastAsia" w:ascii="宋体" w:hAnsi="宋体" w:cs="宋体"/>
          <w:color w:val="auto"/>
          <w:kern w:val="0"/>
          <w:szCs w:val="21"/>
          <w:highlight w:val="none"/>
          <w:lang w:bidi="ar"/>
        </w:rPr>
        <w:t>.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12033E80">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13895165">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lang w:val="en-US" w:eastAsia="zh-CN"/>
        </w:rPr>
        <w:t>8</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tbl>
      <w:tblPr>
        <w:tblStyle w:val="29"/>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437"/>
        <w:gridCol w:w="6429"/>
        <w:gridCol w:w="813"/>
      </w:tblGrid>
      <w:tr w14:paraId="4FA2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dxa"/>
            <w:noWrap w:val="0"/>
            <w:vAlign w:val="center"/>
          </w:tcPr>
          <w:p w14:paraId="08F7B1C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437" w:type="dxa"/>
            <w:noWrap w:val="0"/>
            <w:vAlign w:val="center"/>
          </w:tcPr>
          <w:p w14:paraId="7792ACE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6429" w:type="dxa"/>
            <w:noWrap w:val="0"/>
            <w:vAlign w:val="center"/>
          </w:tcPr>
          <w:p w14:paraId="33E2359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rPr>
              <w:t>评审因素具体内容</w:t>
            </w:r>
          </w:p>
        </w:tc>
        <w:tc>
          <w:tcPr>
            <w:tcW w:w="813" w:type="dxa"/>
            <w:noWrap w:val="0"/>
            <w:vAlign w:val="center"/>
          </w:tcPr>
          <w:p w14:paraId="522BAF0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252A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dxa"/>
            <w:noWrap w:val="0"/>
            <w:vAlign w:val="center"/>
          </w:tcPr>
          <w:p w14:paraId="378F7E2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437" w:type="dxa"/>
            <w:noWrap w:val="0"/>
            <w:vAlign w:val="center"/>
          </w:tcPr>
          <w:p w14:paraId="1743558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价格分</w:t>
            </w:r>
          </w:p>
        </w:tc>
        <w:tc>
          <w:tcPr>
            <w:tcW w:w="6429" w:type="dxa"/>
            <w:noWrap w:val="0"/>
            <w:vAlign w:val="center"/>
          </w:tcPr>
          <w:p w14:paraId="670FD28F">
            <w:pPr>
              <w:pStyle w:val="19"/>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（1）评审价为供应商的最后报价的价格，最终成交供应商的成交金额等于最后报价（如有修正，以确认修正后的最后报价为准）。</w:t>
            </w:r>
          </w:p>
          <w:p w14:paraId="6011471B">
            <w:pPr>
              <w:pStyle w:val="19"/>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（2）以进入比较与评价环节的最低的最后报价为基准价，等于基准价为满分20分。</w:t>
            </w:r>
          </w:p>
          <w:p w14:paraId="574289DC">
            <w:pPr>
              <w:pStyle w:val="19"/>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（3）价格分计算公式：</w:t>
            </w:r>
          </w:p>
          <w:p w14:paraId="0DCC31F2">
            <w:pPr>
              <w:pStyle w:val="19"/>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报价得分=（基准价/最后报价）×20分</w:t>
            </w:r>
          </w:p>
        </w:tc>
        <w:tc>
          <w:tcPr>
            <w:tcW w:w="813" w:type="dxa"/>
            <w:noWrap w:val="0"/>
            <w:vAlign w:val="center"/>
          </w:tcPr>
          <w:p w14:paraId="1849E5F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 分</w:t>
            </w:r>
          </w:p>
        </w:tc>
      </w:tr>
      <w:tr w14:paraId="1318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dxa"/>
            <w:noWrap w:val="0"/>
            <w:vAlign w:val="center"/>
          </w:tcPr>
          <w:p w14:paraId="4CB193B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2</w:t>
            </w:r>
          </w:p>
        </w:tc>
        <w:tc>
          <w:tcPr>
            <w:tcW w:w="1437" w:type="dxa"/>
            <w:noWrap w:val="0"/>
            <w:vAlign w:val="center"/>
          </w:tcPr>
          <w:p w14:paraId="3BEC4CA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技术分</w:t>
            </w:r>
          </w:p>
        </w:tc>
        <w:tc>
          <w:tcPr>
            <w:tcW w:w="6429" w:type="dxa"/>
            <w:noWrap w:val="0"/>
            <w:vAlign w:val="center"/>
          </w:tcPr>
          <w:p w14:paraId="3727B32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评审因素</w:t>
            </w:r>
          </w:p>
        </w:tc>
        <w:tc>
          <w:tcPr>
            <w:tcW w:w="813" w:type="dxa"/>
            <w:noWrap w:val="0"/>
            <w:vAlign w:val="center"/>
          </w:tcPr>
          <w:p w14:paraId="1CBC0DE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70</w:t>
            </w:r>
            <w:r>
              <w:rPr>
                <w:rFonts w:hint="eastAsia" w:ascii="宋体" w:hAnsi="宋体" w:eastAsia="宋体" w:cs="宋体"/>
                <w:color w:val="auto"/>
                <w:kern w:val="0"/>
                <w:sz w:val="21"/>
                <w:szCs w:val="21"/>
                <w:highlight w:val="none"/>
              </w:rPr>
              <w:t>分</w:t>
            </w:r>
          </w:p>
        </w:tc>
      </w:tr>
      <w:tr w14:paraId="25DF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9" w:type="dxa"/>
            <w:noWrap w:val="0"/>
            <w:vAlign w:val="center"/>
          </w:tcPr>
          <w:p w14:paraId="47249CF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2.1</w:t>
            </w:r>
          </w:p>
        </w:tc>
        <w:tc>
          <w:tcPr>
            <w:tcW w:w="1437" w:type="dxa"/>
            <w:noWrap w:val="0"/>
            <w:vAlign w:val="center"/>
          </w:tcPr>
          <w:p w14:paraId="6763053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主要施工方法</w:t>
            </w:r>
          </w:p>
        </w:tc>
        <w:tc>
          <w:tcPr>
            <w:tcW w:w="6429" w:type="dxa"/>
            <w:noWrap w:val="0"/>
            <w:vAlign w:val="center"/>
          </w:tcPr>
          <w:p w14:paraId="616212FF">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四档（10分）各主要分部施工方法符合项目实际，有详尽的施工技术方案，工艺先进、方法科学合理、可行，能指导具体施工并确保安全。</w:t>
            </w:r>
          </w:p>
          <w:p w14:paraId="33C8F233">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三档（7分）各主要分部施工方法符合项目实际，有详尽的施工技术方案，工艺一般、方法可行，能指导具体施工并确保安全。</w:t>
            </w:r>
          </w:p>
          <w:p w14:paraId="3D997393">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二档（4 分）各主要分部施工方法符合项目实际，有施工技术方案，工艺一般、方法可行，能指导施工并确保安全。</w:t>
            </w:r>
          </w:p>
          <w:p w14:paraId="54000CFF">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一档（1分）各主要分部施工方法不符合项目实际，有施工技</w:t>
            </w:r>
          </w:p>
          <w:p w14:paraId="191A3F89">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术方案，工艺一般，不能指导具体施工并确保安全。</w:t>
            </w:r>
          </w:p>
          <w:p w14:paraId="743EF714">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cs="宋体"/>
                <w:color w:val="auto"/>
                <w:szCs w:val="21"/>
                <w:highlight w:val="none"/>
              </w:rPr>
              <w:t>不符合最低入档条件的按不入档处理并计0分。</w:t>
            </w:r>
          </w:p>
        </w:tc>
        <w:tc>
          <w:tcPr>
            <w:tcW w:w="813" w:type="dxa"/>
            <w:noWrap w:val="0"/>
            <w:vAlign w:val="center"/>
          </w:tcPr>
          <w:p w14:paraId="10BF4EE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tc>
      </w:tr>
      <w:tr w14:paraId="7021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9" w:type="dxa"/>
            <w:noWrap w:val="0"/>
            <w:vAlign w:val="center"/>
          </w:tcPr>
          <w:p w14:paraId="340B059D">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2.2</w:t>
            </w:r>
          </w:p>
        </w:tc>
        <w:tc>
          <w:tcPr>
            <w:tcW w:w="1437" w:type="dxa"/>
            <w:noWrap w:val="0"/>
            <w:vAlign w:val="center"/>
          </w:tcPr>
          <w:p w14:paraId="106FA8F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拟投入的主要物资计划</w:t>
            </w:r>
          </w:p>
        </w:tc>
        <w:tc>
          <w:tcPr>
            <w:tcW w:w="6429" w:type="dxa"/>
            <w:noWrap w:val="0"/>
            <w:vAlign w:val="center"/>
          </w:tcPr>
          <w:p w14:paraId="069E7EB1">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四档（7分）投入的施工材料有详细的组织计划且计划周密，数量、选型配置、进场时间安排合理，满足施工需要。</w:t>
            </w:r>
          </w:p>
          <w:p w14:paraId="218730DB">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三档（5分）投入的施工材料有详细的组织计划但计划一般，数量、选型配置、进场时间安排合理，满足施工需要。</w:t>
            </w:r>
          </w:p>
          <w:p w14:paraId="54F44C30">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二档（3分）投入的施工材料有组织计划但计划一般，数量、选型配置、进场时间安排合理，基本满足施工需要。</w:t>
            </w:r>
          </w:p>
          <w:p w14:paraId="001341B6">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一档（1分）投入的施工材料无组织计划，数量、选型配置、进场时间安排不合理，不满足施工需要。</w:t>
            </w:r>
          </w:p>
          <w:p w14:paraId="485136F4">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cs="宋体"/>
                <w:bCs/>
                <w:color w:val="auto"/>
                <w:kern w:val="0"/>
                <w:szCs w:val="21"/>
                <w:highlight w:val="none"/>
              </w:rPr>
              <w:t>不符合最低入档</w:t>
            </w:r>
            <w:r>
              <w:rPr>
                <w:rFonts w:hint="eastAsia" w:ascii="宋体" w:hAnsi="宋体" w:cs="Courier New"/>
                <w:bCs/>
                <w:color w:val="auto"/>
                <w:szCs w:val="21"/>
                <w:highlight w:val="none"/>
              </w:rPr>
              <w:t>条件</w:t>
            </w:r>
            <w:r>
              <w:rPr>
                <w:rFonts w:hint="eastAsia" w:ascii="宋体" w:hAnsi="宋体" w:cs="宋体"/>
                <w:bCs/>
                <w:color w:val="auto"/>
                <w:kern w:val="0"/>
                <w:szCs w:val="21"/>
                <w:highlight w:val="none"/>
              </w:rPr>
              <w:t>的按不入档处理并计</w:t>
            </w:r>
            <w:r>
              <w:rPr>
                <w:rFonts w:ascii="宋体" w:hAnsi="宋体" w:cs="宋体"/>
                <w:bCs/>
                <w:color w:val="auto"/>
                <w:kern w:val="0"/>
                <w:szCs w:val="21"/>
                <w:highlight w:val="none"/>
              </w:rPr>
              <w:t>0</w:t>
            </w:r>
            <w:r>
              <w:rPr>
                <w:rFonts w:hint="eastAsia" w:ascii="宋体" w:hAnsi="宋体" w:cs="宋体"/>
                <w:bCs/>
                <w:color w:val="auto"/>
                <w:kern w:val="0"/>
                <w:szCs w:val="21"/>
                <w:highlight w:val="none"/>
              </w:rPr>
              <w:t>分。</w:t>
            </w:r>
          </w:p>
        </w:tc>
        <w:tc>
          <w:tcPr>
            <w:tcW w:w="813" w:type="dxa"/>
            <w:noWrap w:val="0"/>
            <w:vAlign w:val="center"/>
          </w:tcPr>
          <w:p w14:paraId="2F0AF98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分</w:t>
            </w:r>
          </w:p>
        </w:tc>
      </w:tr>
      <w:tr w14:paraId="3FFE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9" w:type="dxa"/>
            <w:noWrap w:val="0"/>
            <w:vAlign w:val="center"/>
          </w:tcPr>
          <w:p w14:paraId="2A3FE1F3">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2.3</w:t>
            </w:r>
          </w:p>
        </w:tc>
        <w:tc>
          <w:tcPr>
            <w:tcW w:w="1437" w:type="dxa"/>
            <w:noWrap w:val="0"/>
            <w:vAlign w:val="center"/>
          </w:tcPr>
          <w:p w14:paraId="0D0637D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拟投入的主要施工机械、设备计划</w:t>
            </w:r>
          </w:p>
        </w:tc>
        <w:tc>
          <w:tcPr>
            <w:tcW w:w="6429" w:type="dxa"/>
            <w:noWrap w:val="0"/>
            <w:vAlign w:val="center"/>
          </w:tcPr>
          <w:p w14:paraId="7BE0C71F">
            <w:pPr>
              <w:keepNext w:val="0"/>
              <w:keepLines w:val="0"/>
              <w:pageBreakBefore w:val="0"/>
              <w:kinsoku/>
              <w:wordWrap/>
              <w:overflowPunct/>
              <w:topLinePunct w:val="0"/>
              <w:autoSpaceDE/>
              <w:autoSpaceDN/>
              <w:bidi w:val="0"/>
              <w:adjustRightInd/>
              <w:snapToGrid/>
              <w:spacing w:line="440" w:lineRule="exact"/>
              <w:ind w:firstLine="420"/>
              <w:textAlignment w:val="auto"/>
              <w:rPr>
                <w:rFonts w:ascii="宋体" w:hAnsi="宋体" w:cs="宋体"/>
                <w:color w:val="auto"/>
                <w:szCs w:val="21"/>
                <w:highlight w:val="none"/>
              </w:rPr>
            </w:pPr>
            <w:r>
              <w:rPr>
                <w:rFonts w:hint="eastAsia" w:ascii="宋体" w:hAnsi="宋体" w:cs="宋体"/>
                <w:color w:val="auto"/>
                <w:szCs w:val="21"/>
                <w:highlight w:val="none"/>
              </w:rPr>
              <w:t>四档（7分）投入的施工机械、设备、机具有详细的组织计划且计划周密，设备数量、选型配置、进场时间安排合理，满足施工需要。</w:t>
            </w:r>
          </w:p>
          <w:p w14:paraId="010CBFB1">
            <w:pPr>
              <w:keepNext w:val="0"/>
              <w:keepLines w:val="0"/>
              <w:pageBreakBefore w:val="0"/>
              <w:kinsoku/>
              <w:wordWrap/>
              <w:overflowPunct/>
              <w:topLinePunct w:val="0"/>
              <w:autoSpaceDE/>
              <w:autoSpaceDN/>
              <w:bidi w:val="0"/>
              <w:adjustRightInd/>
              <w:snapToGrid/>
              <w:spacing w:line="440" w:lineRule="exact"/>
              <w:ind w:firstLine="420"/>
              <w:textAlignment w:val="auto"/>
              <w:rPr>
                <w:rFonts w:ascii="宋体" w:hAnsi="宋体" w:cs="宋体"/>
                <w:color w:val="auto"/>
                <w:szCs w:val="21"/>
                <w:highlight w:val="none"/>
              </w:rPr>
            </w:pPr>
            <w:r>
              <w:rPr>
                <w:rFonts w:hint="eastAsia" w:ascii="宋体" w:hAnsi="宋体" w:cs="宋体"/>
                <w:color w:val="auto"/>
                <w:szCs w:val="21"/>
                <w:highlight w:val="none"/>
              </w:rPr>
              <w:t>三档（5分）投入的施工机械、设备、机具有详细的组织计划但计划一般，设备数量、选型配置、进场时间安排合理，满足施工需要。</w:t>
            </w:r>
          </w:p>
          <w:p w14:paraId="247955E0">
            <w:pPr>
              <w:keepNext w:val="0"/>
              <w:keepLines w:val="0"/>
              <w:pageBreakBefore w:val="0"/>
              <w:kinsoku/>
              <w:wordWrap/>
              <w:overflowPunct/>
              <w:topLinePunct w:val="0"/>
              <w:autoSpaceDE/>
              <w:autoSpaceDN/>
              <w:bidi w:val="0"/>
              <w:adjustRightInd/>
              <w:snapToGrid/>
              <w:spacing w:line="440" w:lineRule="exact"/>
              <w:ind w:firstLine="420"/>
              <w:textAlignment w:val="auto"/>
              <w:rPr>
                <w:rFonts w:ascii="宋体" w:hAnsi="宋体" w:cs="宋体"/>
                <w:color w:val="auto"/>
                <w:szCs w:val="21"/>
                <w:highlight w:val="none"/>
              </w:rPr>
            </w:pPr>
            <w:r>
              <w:rPr>
                <w:rFonts w:hint="eastAsia" w:ascii="宋体" w:hAnsi="宋体" w:cs="宋体"/>
                <w:color w:val="auto"/>
                <w:szCs w:val="21"/>
                <w:highlight w:val="none"/>
              </w:rPr>
              <w:t>二档（3分）投入的施工机械、设备、机具有组织计划但计划一般，设备数量、选型配置、进场时间安排合理，基本满足施工需要。</w:t>
            </w:r>
          </w:p>
          <w:p w14:paraId="6878F3B5">
            <w:pPr>
              <w:keepNext w:val="0"/>
              <w:keepLines w:val="0"/>
              <w:pageBreakBefore w:val="0"/>
              <w:kinsoku/>
              <w:wordWrap/>
              <w:overflowPunct/>
              <w:topLinePunct w:val="0"/>
              <w:autoSpaceDE/>
              <w:autoSpaceDN/>
              <w:bidi w:val="0"/>
              <w:adjustRightInd/>
              <w:snapToGrid/>
              <w:spacing w:line="440" w:lineRule="exact"/>
              <w:ind w:firstLine="420"/>
              <w:textAlignment w:val="auto"/>
              <w:rPr>
                <w:rFonts w:ascii="宋体" w:hAnsi="宋体" w:cs="宋体"/>
                <w:color w:val="auto"/>
                <w:szCs w:val="21"/>
                <w:highlight w:val="none"/>
              </w:rPr>
            </w:pPr>
            <w:r>
              <w:rPr>
                <w:rFonts w:hint="eastAsia" w:ascii="宋体" w:hAnsi="宋体" w:cs="宋体"/>
                <w:color w:val="auto"/>
                <w:szCs w:val="21"/>
                <w:highlight w:val="none"/>
              </w:rPr>
              <w:t>一档（1分）投入的施工机械、设备、机具无组织计划，设备</w:t>
            </w:r>
          </w:p>
          <w:p w14:paraId="5B153881">
            <w:pPr>
              <w:keepNext w:val="0"/>
              <w:keepLines w:val="0"/>
              <w:pageBreakBefore w:val="0"/>
              <w:kinsoku/>
              <w:wordWrap/>
              <w:overflowPunct/>
              <w:topLinePunct w:val="0"/>
              <w:autoSpaceDE/>
              <w:autoSpaceDN/>
              <w:bidi w:val="0"/>
              <w:adjustRightInd/>
              <w:snapToGrid/>
              <w:spacing w:line="440" w:lineRule="exact"/>
              <w:ind w:firstLine="420"/>
              <w:textAlignment w:val="auto"/>
              <w:rPr>
                <w:rFonts w:ascii="宋体" w:hAnsi="宋体" w:cs="宋体"/>
                <w:color w:val="auto"/>
                <w:szCs w:val="21"/>
                <w:highlight w:val="none"/>
              </w:rPr>
            </w:pPr>
            <w:r>
              <w:rPr>
                <w:rFonts w:hint="eastAsia" w:ascii="宋体" w:hAnsi="宋体" w:cs="宋体"/>
                <w:color w:val="auto"/>
                <w:szCs w:val="21"/>
                <w:highlight w:val="none"/>
              </w:rPr>
              <w:t>数量、选型配置、进场时间安排不合理，不满足施工需要。</w:t>
            </w:r>
          </w:p>
          <w:p w14:paraId="726D3D6E">
            <w:pPr>
              <w:keepNext w:val="0"/>
              <w:keepLines w:val="0"/>
              <w:pageBreakBefore w:val="0"/>
              <w:kinsoku/>
              <w:wordWrap/>
              <w:overflowPunct/>
              <w:topLinePunct w:val="0"/>
              <w:autoSpaceDE/>
              <w:autoSpaceDN/>
              <w:bidi w:val="0"/>
              <w:adjustRightInd/>
              <w:snapToGrid/>
              <w:spacing w:line="440" w:lineRule="exact"/>
              <w:ind w:firstLine="420" w:firstLineChars="0"/>
              <w:textAlignment w:val="auto"/>
              <w:rPr>
                <w:rFonts w:hint="eastAsia" w:ascii="宋体" w:hAnsi="宋体" w:eastAsia="宋体" w:cs="宋体"/>
                <w:bCs/>
                <w:color w:val="auto"/>
                <w:sz w:val="21"/>
                <w:szCs w:val="21"/>
                <w:highlight w:val="none"/>
              </w:rPr>
            </w:pPr>
            <w:r>
              <w:rPr>
                <w:rFonts w:hint="eastAsia" w:ascii="宋体" w:hAnsi="宋体" w:cs="宋体"/>
                <w:color w:val="auto"/>
                <w:szCs w:val="21"/>
                <w:highlight w:val="none"/>
              </w:rPr>
              <w:t>不符合最低入档条件的按不入档处理并计</w:t>
            </w:r>
            <w:r>
              <w:rPr>
                <w:rFonts w:ascii="宋体" w:hAnsi="宋体"/>
                <w:color w:val="auto"/>
                <w:szCs w:val="21"/>
                <w:highlight w:val="none"/>
              </w:rPr>
              <w:t>0</w:t>
            </w:r>
            <w:r>
              <w:rPr>
                <w:rFonts w:hint="eastAsia" w:ascii="宋体" w:hAnsi="宋体" w:cs="宋体"/>
                <w:color w:val="auto"/>
                <w:szCs w:val="21"/>
                <w:highlight w:val="none"/>
              </w:rPr>
              <w:t>分。</w:t>
            </w:r>
          </w:p>
        </w:tc>
        <w:tc>
          <w:tcPr>
            <w:tcW w:w="813" w:type="dxa"/>
            <w:noWrap w:val="0"/>
            <w:vAlign w:val="center"/>
          </w:tcPr>
          <w:p w14:paraId="6352143D">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分</w:t>
            </w:r>
          </w:p>
        </w:tc>
      </w:tr>
      <w:tr w14:paraId="2F2B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9" w:type="dxa"/>
            <w:noWrap w:val="0"/>
            <w:vAlign w:val="center"/>
          </w:tcPr>
          <w:p w14:paraId="09644C0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2.4</w:t>
            </w:r>
          </w:p>
        </w:tc>
        <w:tc>
          <w:tcPr>
            <w:tcW w:w="1437" w:type="dxa"/>
            <w:noWrap w:val="0"/>
            <w:vAlign w:val="center"/>
          </w:tcPr>
          <w:p w14:paraId="79769E6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劳动力安排计划</w:t>
            </w:r>
          </w:p>
        </w:tc>
        <w:tc>
          <w:tcPr>
            <w:tcW w:w="6429" w:type="dxa"/>
            <w:noWrap w:val="0"/>
            <w:vAlign w:val="top"/>
          </w:tcPr>
          <w:p w14:paraId="5EF1794B">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四档（8分）各主要施工工序有详细周密的劳动力安排计划，有各工种劳动力安排计划，劳动力投入合理，满足施工需要。</w:t>
            </w:r>
          </w:p>
          <w:p w14:paraId="35DE7A5B">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三档（6分）各主要施工工序有劳动力安排计划，有各工种劳动力安排计划，劳动力投入合理，满足施工需要。</w:t>
            </w:r>
          </w:p>
          <w:p w14:paraId="40D67DF0">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二档（3分）各主要施工工序只有劳动力安排计划，无各工种劳动力安排计划，劳动力投入合理，基本满足施工需要。</w:t>
            </w:r>
          </w:p>
          <w:p w14:paraId="27B61687">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一档（1分）各主要施工工序无劳动力安排计划，劳动力投入不合理，不满足施工需要。</w:t>
            </w:r>
          </w:p>
          <w:p w14:paraId="66519523">
            <w:pPr>
              <w:pStyle w:val="15"/>
              <w:keepNext w:val="0"/>
              <w:keepLines w:val="0"/>
              <w:pageBreakBefore w:val="0"/>
              <w:kinsoku/>
              <w:wordWrap/>
              <w:overflowPunct/>
              <w:topLinePunct w:val="0"/>
              <w:autoSpaceDE/>
              <w:autoSpaceDN/>
              <w:bidi w:val="0"/>
              <w:adjustRightInd/>
              <w:snapToGrid/>
              <w:spacing w:after="0"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rPr>
              <w:t>不符合最低入档条件的按不入档处理并计</w:t>
            </w:r>
            <w:r>
              <w:rPr>
                <w:rFonts w:ascii="宋体" w:hAnsi="宋体"/>
                <w:color w:val="auto"/>
                <w:szCs w:val="21"/>
                <w:highlight w:val="none"/>
              </w:rPr>
              <w:t>0</w:t>
            </w:r>
            <w:r>
              <w:rPr>
                <w:rFonts w:hint="eastAsia" w:ascii="宋体" w:hAnsi="宋体" w:cs="宋体"/>
                <w:color w:val="auto"/>
                <w:szCs w:val="21"/>
                <w:highlight w:val="none"/>
              </w:rPr>
              <w:t>分。</w:t>
            </w:r>
          </w:p>
        </w:tc>
        <w:tc>
          <w:tcPr>
            <w:tcW w:w="813" w:type="dxa"/>
            <w:noWrap w:val="0"/>
            <w:vAlign w:val="center"/>
          </w:tcPr>
          <w:p w14:paraId="099357E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tc>
      </w:tr>
      <w:tr w14:paraId="2ACA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9" w:type="dxa"/>
            <w:noWrap w:val="0"/>
            <w:vAlign w:val="center"/>
          </w:tcPr>
          <w:p w14:paraId="27496F7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2.5</w:t>
            </w:r>
          </w:p>
        </w:tc>
        <w:tc>
          <w:tcPr>
            <w:tcW w:w="1437" w:type="dxa"/>
            <w:noWrap w:val="0"/>
            <w:vAlign w:val="center"/>
          </w:tcPr>
          <w:p w14:paraId="7229D86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确保工程质量的技术组织措施</w:t>
            </w:r>
          </w:p>
        </w:tc>
        <w:tc>
          <w:tcPr>
            <w:tcW w:w="6429" w:type="dxa"/>
            <w:noWrap w:val="0"/>
            <w:vAlign w:val="top"/>
          </w:tcPr>
          <w:p w14:paraId="05AB736C">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四档（10分）有专门的质量技术管理班子和制度，且人员配备合理，制度健全。主要工序有质量技术保证措施和手段，自控体系完整，能有效保证技术质量，达到承诺的质量标准。</w:t>
            </w:r>
          </w:p>
          <w:p w14:paraId="17513959">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三档（7分）有质量技术管理班子和制度，且人员配备合理，制度健全。主要工序有质量技术保证措施和手段，自控体系完整，能有效保证技术质量，达到承诺的质量标准。</w:t>
            </w:r>
          </w:p>
          <w:p w14:paraId="4DAEAF51">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二档（4分）有质量技术管理班子和制度。主要工序有质量技术保证措施和手段，自控体系一般，基本能保证技术质量，达到承诺的质量标准。</w:t>
            </w:r>
          </w:p>
          <w:p w14:paraId="7E3D2DAA">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一档（1分）有质量技术管理班子和制度。主要工序无质量技术保证措施和手段，自控体系一般，不能有效保证技术质量。</w:t>
            </w:r>
          </w:p>
          <w:p w14:paraId="633F5079">
            <w:pPr>
              <w:keepNext w:val="0"/>
              <w:keepLines w:val="0"/>
              <w:pageBreakBefore w:val="0"/>
              <w:kinsoku/>
              <w:wordWrap/>
              <w:overflowPunct/>
              <w:topLinePunct w:val="0"/>
              <w:autoSpaceDE/>
              <w:autoSpaceDN/>
              <w:bidi w:val="0"/>
              <w:adjustRightInd/>
              <w:snapToGrid/>
              <w:spacing w:line="440" w:lineRule="exact"/>
              <w:ind w:firstLine="420" w:firstLineChars="0"/>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rPr>
              <w:t>不符合最低入档条件的按不入档处理并计</w:t>
            </w:r>
            <w:r>
              <w:rPr>
                <w:rFonts w:ascii="宋体" w:hAnsi="宋体"/>
                <w:color w:val="auto"/>
                <w:szCs w:val="21"/>
                <w:highlight w:val="none"/>
              </w:rPr>
              <w:t>0</w:t>
            </w:r>
            <w:r>
              <w:rPr>
                <w:rFonts w:hint="eastAsia" w:ascii="宋体" w:hAnsi="宋体" w:cs="宋体"/>
                <w:color w:val="auto"/>
                <w:szCs w:val="21"/>
                <w:highlight w:val="none"/>
              </w:rPr>
              <w:t>分。</w:t>
            </w:r>
          </w:p>
        </w:tc>
        <w:tc>
          <w:tcPr>
            <w:tcW w:w="813" w:type="dxa"/>
            <w:noWrap w:val="0"/>
            <w:vAlign w:val="center"/>
          </w:tcPr>
          <w:p w14:paraId="01412A35">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tc>
      </w:tr>
      <w:tr w14:paraId="4696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9" w:type="dxa"/>
            <w:noWrap w:val="0"/>
            <w:vAlign w:val="center"/>
          </w:tcPr>
          <w:p w14:paraId="4B942E9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2.6</w:t>
            </w:r>
          </w:p>
        </w:tc>
        <w:tc>
          <w:tcPr>
            <w:tcW w:w="1437" w:type="dxa"/>
            <w:noWrap w:val="0"/>
            <w:vAlign w:val="center"/>
          </w:tcPr>
          <w:p w14:paraId="55F716D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确保安全生产的技术组织措施</w:t>
            </w:r>
          </w:p>
        </w:tc>
        <w:tc>
          <w:tcPr>
            <w:tcW w:w="6429" w:type="dxa"/>
            <w:noWrap w:val="0"/>
            <w:vAlign w:val="top"/>
          </w:tcPr>
          <w:p w14:paraId="728419BD">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四档（10分）有专门的安全管理人员和制度，且人员配备合理，制度健全，各道工序安全技术措施针对性强，符合实际且满足有关安全技术标准要求。现场防火、应急救援、社会治安安全措施得力。</w:t>
            </w:r>
          </w:p>
          <w:p w14:paraId="454FC666">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三档（7分）有安全管理人员和制度，且人员配备合理，制度</w:t>
            </w:r>
          </w:p>
          <w:p w14:paraId="64716846">
            <w:pPr>
              <w:keepNext w:val="0"/>
              <w:keepLines w:val="0"/>
              <w:pageBreakBefore w:val="0"/>
              <w:kinsoku/>
              <w:wordWrap/>
              <w:overflowPunct/>
              <w:topLinePunct w:val="0"/>
              <w:autoSpaceDE/>
              <w:autoSpaceDN/>
              <w:bidi w:val="0"/>
              <w:adjustRightInd/>
              <w:snapToGrid/>
              <w:spacing w:line="440" w:lineRule="exact"/>
              <w:ind w:firstLine="0"/>
              <w:textAlignment w:val="auto"/>
              <w:rPr>
                <w:color w:val="auto"/>
                <w:highlight w:val="none"/>
              </w:rPr>
            </w:pPr>
            <w:r>
              <w:rPr>
                <w:rFonts w:hint="eastAsia"/>
                <w:color w:val="auto"/>
                <w:highlight w:val="none"/>
              </w:rPr>
              <w:t>健全，各道工序安全技术措施有针对性，符合实际且满足有关安全技术标准要求。现场防火、应急救援、社会治安安全措施满足施工需求。</w:t>
            </w:r>
          </w:p>
          <w:p w14:paraId="77AB6DDE">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二档（4分）有安全管理人员和制度，人员配备一般，制度健全一般，各道工序安全技术措施针对性一般，基本满足有关安全技术标准要求。现场防火、应急救援、社会治安安全措施基本满足施工需求。</w:t>
            </w:r>
          </w:p>
          <w:p w14:paraId="2D65BD0A">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一档（1分）有安全管理人员和制度，各道工序安全技术措施无针对性，满足有关安全技术标准要求。现场防火、应急救援、社会治安安全措施差。</w:t>
            </w:r>
          </w:p>
          <w:p w14:paraId="350EFE3B">
            <w:pPr>
              <w:keepNext w:val="0"/>
              <w:keepLines w:val="0"/>
              <w:pageBreakBefore w:val="0"/>
              <w:kinsoku/>
              <w:wordWrap/>
              <w:overflowPunct/>
              <w:topLinePunct w:val="0"/>
              <w:autoSpaceDE/>
              <w:autoSpaceDN/>
              <w:bidi w:val="0"/>
              <w:adjustRightInd/>
              <w:snapToGrid/>
              <w:spacing w:line="440" w:lineRule="exact"/>
              <w:ind w:firstLine="420" w:firstLineChars="0"/>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rPr>
              <w:t>不符合最低入档条件的按不入档处理并计</w:t>
            </w:r>
            <w:r>
              <w:rPr>
                <w:rFonts w:ascii="宋体" w:hAnsi="宋体"/>
                <w:color w:val="auto"/>
                <w:szCs w:val="21"/>
                <w:highlight w:val="none"/>
              </w:rPr>
              <w:t>0</w:t>
            </w:r>
            <w:r>
              <w:rPr>
                <w:rFonts w:hint="eastAsia" w:ascii="宋体" w:hAnsi="宋体" w:cs="宋体"/>
                <w:color w:val="auto"/>
                <w:szCs w:val="21"/>
                <w:highlight w:val="none"/>
              </w:rPr>
              <w:t>分。</w:t>
            </w:r>
          </w:p>
        </w:tc>
        <w:tc>
          <w:tcPr>
            <w:tcW w:w="813" w:type="dxa"/>
            <w:noWrap w:val="0"/>
            <w:vAlign w:val="center"/>
          </w:tcPr>
          <w:p w14:paraId="6324CB1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tc>
      </w:tr>
      <w:tr w14:paraId="06CB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9" w:type="dxa"/>
            <w:noWrap w:val="0"/>
            <w:vAlign w:val="center"/>
          </w:tcPr>
          <w:p w14:paraId="73F13C7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2.7</w:t>
            </w:r>
          </w:p>
        </w:tc>
        <w:tc>
          <w:tcPr>
            <w:tcW w:w="1437" w:type="dxa"/>
            <w:noWrap w:val="0"/>
            <w:vAlign w:val="center"/>
          </w:tcPr>
          <w:p w14:paraId="1F51EE2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工程施工的重点和难点</w:t>
            </w:r>
          </w:p>
        </w:tc>
        <w:tc>
          <w:tcPr>
            <w:tcW w:w="6429" w:type="dxa"/>
            <w:noWrap w:val="0"/>
            <w:vAlign w:val="top"/>
          </w:tcPr>
          <w:p w14:paraId="689FE63D">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四档（10分）针对本工程的特点，详细阐述了本工程的重点和难点，解决重点和难点问题的方法合理、可行。</w:t>
            </w:r>
          </w:p>
          <w:p w14:paraId="50767BC0">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三档（7分）针对本工程的特点，阐述了本工程的重点和难点，解决重点和难点问题的方法合理。</w:t>
            </w:r>
          </w:p>
          <w:p w14:paraId="31610328">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rFonts w:hint="eastAsia"/>
                <w:color w:val="auto"/>
                <w:highlight w:val="none"/>
              </w:rPr>
              <w:t>二档（4分）简单阐述了本工程的重点和难点，解决重点和难点问题的方法一般。</w:t>
            </w:r>
          </w:p>
          <w:p w14:paraId="3FFAE07C">
            <w:pPr>
              <w:keepNext w:val="0"/>
              <w:keepLines w:val="0"/>
              <w:pageBreakBefore w:val="0"/>
              <w:kinsoku/>
              <w:wordWrap/>
              <w:overflowPunct/>
              <w:topLinePunct w:val="0"/>
              <w:autoSpaceDE/>
              <w:autoSpaceDN/>
              <w:bidi w:val="0"/>
              <w:adjustRightInd/>
              <w:snapToGrid/>
              <w:spacing w:line="440" w:lineRule="exact"/>
              <w:ind w:firstLine="420"/>
              <w:textAlignment w:val="auto"/>
              <w:rPr>
                <w:rFonts w:hint="eastAsia"/>
                <w:color w:val="auto"/>
                <w:highlight w:val="none"/>
              </w:rPr>
            </w:pPr>
            <w:r>
              <w:rPr>
                <w:rFonts w:hint="eastAsia"/>
                <w:color w:val="auto"/>
                <w:highlight w:val="none"/>
              </w:rPr>
              <w:t>一档（1分）未阐述本工程的重点和难点，无解决及保证措施重点和难点问题的方法。</w:t>
            </w:r>
          </w:p>
          <w:p w14:paraId="74C37A07">
            <w:pPr>
              <w:pStyle w:val="15"/>
              <w:keepNext w:val="0"/>
              <w:keepLines w:val="0"/>
              <w:pageBreakBefore w:val="0"/>
              <w:kinsoku/>
              <w:wordWrap/>
              <w:overflowPunct/>
              <w:topLinePunct w:val="0"/>
              <w:autoSpaceDE/>
              <w:autoSpaceDN/>
              <w:bidi w:val="0"/>
              <w:adjustRightInd/>
              <w:snapToGrid/>
              <w:spacing w:after="0"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rPr>
              <w:t>不符合最低入档条件的按不入档处理并计</w:t>
            </w:r>
            <w:r>
              <w:rPr>
                <w:rFonts w:ascii="宋体" w:hAnsi="宋体"/>
                <w:color w:val="auto"/>
                <w:szCs w:val="21"/>
                <w:highlight w:val="none"/>
              </w:rPr>
              <w:t>0</w:t>
            </w:r>
            <w:r>
              <w:rPr>
                <w:rFonts w:hint="eastAsia" w:ascii="宋体" w:hAnsi="宋体" w:cs="宋体"/>
                <w:color w:val="auto"/>
                <w:szCs w:val="21"/>
                <w:highlight w:val="none"/>
              </w:rPr>
              <w:t>分。</w:t>
            </w:r>
          </w:p>
        </w:tc>
        <w:tc>
          <w:tcPr>
            <w:tcW w:w="813" w:type="dxa"/>
            <w:noWrap w:val="0"/>
            <w:vAlign w:val="center"/>
          </w:tcPr>
          <w:p w14:paraId="1FAC30E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tc>
      </w:tr>
      <w:tr w14:paraId="22A7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9" w:type="dxa"/>
            <w:noWrap w:val="0"/>
            <w:vAlign w:val="center"/>
          </w:tcPr>
          <w:p w14:paraId="3FF03AA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w:t>
            </w:r>
          </w:p>
        </w:tc>
        <w:tc>
          <w:tcPr>
            <w:tcW w:w="1437" w:type="dxa"/>
            <w:noWrap w:val="0"/>
            <w:vAlign w:val="center"/>
          </w:tcPr>
          <w:p w14:paraId="47DB591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施工总平面布置图</w:t>
            </w:r>
          </w:p>
        </w:tc>
        <w:tc>
          <w:tcPr>
            <w:tcW w:w="6429" w:type="dxa"/>
            <w:noWrap w:val="0"/>
            <w:vAlign w:val="top"/>
          </w:tcPr>
          <w:p w14:paraId="58DD50C9">
            <w:pPr>
              <w:keepNext w:val="0"/>
              <w:keepLines w:val="0"/>
              <w:pageBreakBefore w:val="0"/>
              <w:kinsoku/>
              <w:wordWrap/>
              <w:overflowPunct/>
              <w:topLinePunct w:val="0"/>
              <w:autoSpaceDE/>
              <w:autoSpaceDN/>
              <w:bidi w:val="0"/>
              <w:adjustRightInd/>
              <w:snapToGrid/>
              <w:spacing w:line="440" w:lineRule="exact"/>
              <w:ind w:firstLine="420"/>
              <w:textAlignment w:val="auto"/>
              <w:rPr>
                <w:color w:val="auto"/>
                <w:highlight w:val="none"/>
              </w:rPr>
            </w:pPr>
            <w:r>
              <w:rPr>
                <w:color w:val="auto"/>
                <w:highlight w:val="none"/>
              </w:rPr>
              <w:t>四档（</w:t>
            </w:r>
            <w:r>
              <w:rPr>
                <w:rFonts w:hint="eastAsia"/>
                <w:color w:val="auto"/>
                <w:highlight w:val="none"/>
              </w:rPr>
              <w:t>8</w:t>
            </w:r>
            <w:r>
              <w:rPr>
                <w:color w:val="auto"/>
                <w:highlight w:val="none"/>
              </w:rPr>
              <w:t>分）有施工总平面布置图，安排科学合理，符合本项目施工实际要求。</w:t>
            </w:r>
          </w:p>
          <w:p w14:paraId="747DFEB6">
            <w:pPr>
              <w:pStyle w:val="15"/>
              <w:keepNext w:val="0"/>
              <w:keepLines w:val="0"/>
              <w:pageBreakBefore w:val="0"/>
              <w:kinsoku/>
              <w:wordWrap/>
              <w:overflowPunct/>
              <w:topLinePunct w:val="0"/>
              <w:autoSpaceDE/>
              <w:autoSpaceDN/>
              <w:bidi w:val="0"/>
              <w:adjustRightInd/>
              <w:snapToGrid/>
              <w:spacing w:after="0" w:line="440" w:lineRule="exact"/>
              <w:ind w:firstLine="420" w:firstLineChars="200"/>
              <w:textAlignment w:val="auto"/>
              <w:rPr>
                <w:color w:val="auto"/>
                <w:highlight w:val="none"/>
              </w:rPr>
            </w:pPr>
            <w:r>
              <w:rPr>
                <w:color w:val="auto"/>
                <w:highlight w:val="none"/>
              </w:rPr>
              <w:t>三档（</w:t>
            </w:r>
            <w:r>
              <w:rPr>
                <w:rFonts w:hint="eastAsia"/>
                <w:color w:val="auto"/>
                <w:highlight w:val="none"/>
              </w:rPr>
              <w:t>6</w:t>
            </w:r>
            <w:r>
              <w:rPr>
                <w:color w:val="auto"/>
                <w:highlight w:val="none"/>
              </w:rPr>
              <w:t>分）有施工总平面布置图，安排一般，符合本项目施工实际要求。</w:t>
            </w:r>
          </w:p>
          <w:p w14:paraId="0867575B">
            <w:pPr>
              <w:pStyle w:val="15"/>
              <w:keepNext w:val="0"/>
              <w:keepLines w:val="0"/>
              <w:pageBreakBefore w:val="0"/>
              <w:kinsoku/>
              <w:wordWrap/>
              <w:overflowPunct/>
              <w:topLinePunct w:val="0"/>
              <w:autoSpaceDE/>
              <w:autoSpaceDN/>
              <w:bidi w:val="0"/>
              <w:adjustRightInd/>
              <w:snapToGrid/>
              <w:spacing w:after="0" w:line="440" w:lineRule="exact"/>
              <w:ind w:firstLine="420" w:firstLineChars="200"/>
              <w:textAlignment w:val="auto"/>
              <w:rPr>
                <w:color w:val="auto"/>
                <w:highlight w:val="none"/>
              </w:rPr>
            </w:pPr>
            <w:r>
              <w:rPr>
                <w:color w:val="auto"/>
                <w:highlight w:val="none"/>
              </w:rPr>
              <w:t>二档（</w:t>
            </w:r>
            <w:r>
              <w:rPr>
                <w:rFonts w:hint="eastAsia"/>
                <w:color w:val="auto"/>
                <w:highlight w:val="none"/>
              </w:rPr>
              <w:t>3</w:t>
            </w:r>
            <w:r>
              <w:rPr>
                <w:color w:val="auto"/>
                <w:highlight w:val="none"/>
              </w:rPr>
              <w:t>分）有施工总平面布置图，基本符合本项目施工实际要求。</w:t>
            </w:r>
          </w:p>
          <w:p w14:paraId="4AA2AE5E">
            <w:pPr>
              <w:pStyle w:val="15"/>
              <w:keepNext w:val="0"/>
              <w:keepLines w:val="0"/>
              <w:pageBreakBefore w:val="0"/>
              <w:kinsoku/>
              <w:wordWrap/>
              <w:overflowPunct/>
              <w:topLinePunct w:val="0"/>
              <w:autoSpaceDE/>
              <w:autoSpaceDN/>
              <w:bidi w:val="0"/>
              <w:adjustRightInd/>
              <w:snapToGrid/>
              <w:spacing w:after="0" w:line="440" w:lineRule="exact"/>
              <w:ind w:firstLine="420" w:firstLineChars="200"/>
              <w:textAlignment w:val="auto"/>
              <w:rPr>
                <w:color w:val="auto"/>
                <w:highlight w:val="none"/>
              </w:rPr>
            </w:pPr>
            <w:r>
              <w:rPr>
                <w:color w:val="auto"/>
                <w:highlight w:val="none"/>
              </w:rPr>
              <w:t>一档（1分）有施工总平面布置图，但不符合本项目施工实际要求。</w:t>
            </w:r>
          </w:p>
          <w:p w14:paraId="0FF5C81C">
            <w:pPr>
              <w:pStyle w:val="15"/>
              <w:keepNext w:val="0"/>
              <w:keepLines w:val="0"/>
              <w:pageBreakBefore w:val="0"/>
              <w:kinsoku/>
              <w:wordWrap/>
              <w:overflowPunct/>
              <w:topLinePunct w:val="0"/>
              <w:autoSpaceDE/>
              <w:autoSpaceDN/>
              <w:bidi w:val="0"/>
              <w:adjustRightInd/>
              <w:snapToGrid/>
              <w:spacing w:after="0" w:line="440" w:lineRule="exact"/>
              <w:ind w:firstLine="420" w:firstLineChars="200"/>
              <w:textAlignment w:val="auto"/>
              <w:rPr>
                <w:rFonts w:hint="eastAsia" w:ascii="宋体" w:hAnsi="宋体" w:eastAsia="宋体" w:cs="宋体"/>
                <w:color w:val="auto"/>
                <w:sz w:val="21"/>
                <w:szCs w:val="21"/>
                <w:highlight w:val="none"/>
              </w:rPr>
            </w:pPr>
            <w:r>
              <w:rPr>
                <w:rFonts w:hint="eastAsia"/>
                <w:color w:val="auto"/>
                <w:highlight w:val="none"/>
              </w:rPr>
              <w:t>不符合最低入档条件的按不入档处理并计0分。</w:t>
            </w:r>
          </w:p>
        </w:tc>
        <w:tc>
          <w:tcPr>
            <w:tcW w:w="813" w:type="dxa"/>
            <w:noWrap w:val="0"/>
            <w:vAlign w:val="center"/>
          </w:tcPr>
          <w:p w14:paraId="65D10E4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tc>
      </w:tr>
      <w:tr w14:paraId="00E9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9" w:type="dxa"/>
            <w:noWrap w:val="0"/>
            <w:vAlign w:val="center"/>
          </w:tcPr>
          <w:p w14:paraId="3D73869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437" w:type="dxa"/>
            <w:noWrap w:val="0"/>
            <w:vAlign w:val="center"/>
          </w:tcPr>
          <w:p w14:paraId="500FC14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商务分</w:t>
            </w:r>
          </w:p>
        </w:tc>
        <w:tc>
          <w:tcPr>
            <w:tcW w:w="6429" w:type="dxa"/>
            <w:noWrap w:val="0"/>
            <w:vAlign w:val="center"/>
          </w:tcPr>
          <w:p w14:paraId="48FDAD6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评审因素</w:t>
            </w:r>
          </w:p>
        </w:tc>
        <w:tc>
          <w:tcPr>
            <w:tcW w:w="813" w:type="dxa"/>
            <w:noWrap w:val="0"/>
            <w:vAlign w:val="center"/>
          </w:tcPr>
          <w:p w14:paraId="69CF4A9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p>
        </w:tc>
      </w:tr>
      <w:tr w14:paraId="56AD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9" w:type="dxa"/>
            <w:noWrap w:val="0"/>
            <w:vAlign w:val="center"/>
          </w:tcPr>
          <w:p w14:paraId="027FB6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3.1</w:t>
            </w:r>
          </w:p>
        </w:tc>
        <w:tc>
          <w:tcPr>
            <w:tcW w:w="1437" w:type="dxa"/>
            <w:noWrap w:val="0"/>
            <w:vAlign w:val="center"/>
          </w:tcPr>
          <w:p w14:paraId="3C27278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cs="Courier New"/>
                <w:bCs/>
                <w:color w:val="auto"/>
                <w:szCs w:val="21"/>
                <w:highlight w:val="none"/>
                <w:lang w:val="en-US" w:eastAsia="zh-CN"/>
              </w:rPr>
              <w:t>管理团队分</w:t>
            </w:r>
          </w:p>
        </w:tc>
        <w:tc>
          <w:tcPr>
            <w:tcW w:w="6429" w:type="dxa"/>
            <w:noWrap w:val="0"/>
            <w:vAlign w:val="center"/>
          </w:tcPr>
          <w:p w14:paraId="07A6E4F3">
            <w:pPr>
              <w:rPr>
                <w:rFonts w:hint="default" w:eastAsia="宋体"/>
                <w:color w:val="auto"/>
                <w:highlight w:val="none"/>
                <w:lang w:val="en-US" w:eastAsia="zh-CN"/>
              </w:rPr>
            </w:pPr>
            <w:r>
              <w:rPr>
                <w:rFonts w:hint="eastAsia"/>
                <w:color w:val="auto"/>
                <w:highlight w:val="none"/>
                <w:lang w:val="en-US" w:eastAsia="zh-CN"/>
              </w:rPr>
              <w:t>1、承诺投入</w:t>
            </w:r>
            <w:r>
              <w:rPr>
                <w:rFonts w:hint="eastAsia"/>
                <w:color w:val="auto"/>
                <w:highlight w:val="none"/>
              </w:rPr>
              <w:t>施工员</w:t>
            </w:r>
            <w:r>
              <w:rPr>
                <w:rFonts w:hint="eastAsia"/>
                <w:color w:val="auto"/>
                <w:highlight w:val="none"/>
                <w:lang w:eastAsia="zh-CN"/>
              </w:rPr>
              <w:t>、</w:t>
            </w:r>
            <w:r>
              <w:rPr>
                <w:rFonts w:hint="eastAsia"/>
                <w:color w:val="auto"/>
                <w:highlight w:val="none"/>
              </w:rPr>
              <w:t>材料员</w:t>
            </w:r>
            <w:r>
              <w:rPr>
                <w:rFonts w:hint="eastAsia"/>
                <w:color w:val="auto"/>
                <w:highlight w:val="none"/>
                <w:lang w:eastAsia="zh-CN"/>
              </w:rPr>
              <w:t>、</w:t>
            </w:r>
            <w:r>
              <w:rPr>
                <w:rFonts w:hint="eastAsia"/>
                <w:color w:val="auto"/>
                <w:highlight w:val="none"/>
              </w:rPr>
              <w:t>质量员</w:t>
            </w:r>
            <w:r>
              <w:rPr>
                <w:rFonts w:hint="eastAsia"/>
                <w:color w:val="auto"/>
                <w:highlight w:val="none"/>
                <w:lang w:val="en-US" w:eastAsia="zh-CN"/>
              </w:rPr>
              <w:t>每增加1</w:t>
            </w:r>
            <w:r>
              <w:rPr>
                <w:rFonts w:hint="eastAsia"/>
                <w:color w:val="auto"/>
                <w:highlight w:val="none"/>
              </w:rPr>
              <w:t>名，</w:t>
            </w:r>
            <w:r>
              <w:rPr>
                <w:rFonts w:hint="eastAsia"/>
                <w:color w:val="auto"/>
                <w:highlight w:val="none"/>
                <w:lang w:val="en-US" w:eastAsia="zh-CN"/>
              </w:rPr>
              <w:t>得1分，满分3分。</w:t>
            </w:r>
          </w:p>
          <w:p w14:paraId="2B35C764">
            <w:pPr>
              <w:rPr>
                <w:rFonts w:hint="default"/>
                <w:color w:val="auto"/>
                <w:highlight w:val="none"/>
                <w:lang w:val="en-US" w:eastAsia="zh-CN"/>
              </w:rPr>
            </w:pPr>
            <w:r>
              <w:rPr>
                <w:rFonts w:hint="eastAsia"/>
                <w:color w:val="auto"/>
                <w:highlight w:val="none"/>
                <w:lang w:val="en-US" w:eastAsia="zh-CN"/>
              </w:rPr>
              <w:t>2、</w:t>
            </w:r>
            <w:r>
              <w:rPr>
                <w:rFonts w:hint="eastAsia"/>
                <w:color w:val="auto"/>
                <w:highlight w:val="none"/>
              </w:rPr>
              <w:t>拟投入本项目的</w:t>
            </w:r>
            <w:r>
              <w:rPr>
                <w:rFonts w:hint="eastAsia"/>
                <w:color w:val="auto"/>
                <w:highlight w:val="none"/>
                <w:lang w:val="en-US" w:eastAsia="zh-CN"/>
              </w:rPr>
              <w:t>主要管理人员具有工程类中级或以上职称的得，每人得1分，满分5分</w:t>
            </w:r>
            <w:r>
              <w:rPr>
                <w:rFonts w:hint="eastAsia"/>
                <w:color w:val="auto"/>
                <w:highlight w:val="none"/>
              </w:rPr>
              <w:t>。</w:t>
            </w:r>
          </w:p>
        </w:tc>
        <w:tc>
          <w:tcPr>
            <w:tcW w:w="813" w:type="dxa"/>
            <w:noWrap w:val="0"/>
            <w:vAlign w:val="center"/>
          </w:tcPr>
          <w:p w14:paraId="289AF51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8分</w:t>
            </w:r>
          </w:p>
        </w:tc>
      </w:tr>
      <w:tr w14:paraId="6E83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9" w:type="dxa"/>
            <w:noWrap w:val="0"/>
            <w:vAlign w:val="center"/>
          </w:tcPr>
          <w:p w14:paraId="0E9A2ED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w:t>
            </w:r>
          </w:p>
        </w:tc>
        <w:tc>
          <w:tcPr>
            <w:tcW w:w="1437" w:type="dxa"/>
            <w:noWrap w:val="0"/>
            <w:vAlign w:val="center"/>
          </w:tcPr>
          <w:p w14:paraId="62E4DBB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ascii="宋体" w:hAnsi="宋体" w:cs="Courier New"/>
                <w:bCs/>
                <w:color w:val="auto"/>
                <w:szCs w:val="21"/>
                <w:highlight w:val="none"/>
              </w:rPr>
              <w:t>业绩</w:t>
            </w:r>
            <w:r>
              <w:rPr>
                <w:rFonts w:hint="eastAsia" w:ascii="宋体" w:hAnsi="宋体" w:cs="Courier New"/>
                <w:bCs/>
                <w:color w:val="auto"/>
                <w:szCs w:val="21"/>
                <w:highlight w:val="none"/>
              </w:rPr>
              <w:t>、奖项</w:t>
            </w:r>
          </w:p>
        </w:tc>
        <w:tc>
          <w:tcPr>
            <w:tcW w:w="6429" w:type="dxa"/>
            <w:noWrap w:val="0"/>
            <w:vAlign w:val="center"/>
          </w:tcPr>
          <w:p w14:paraId="552080FA">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月1日至提交响应文件截止日供应商承接过</w:t>
            </w:r>
            <w:r>
              <w:rPr>
                <w:rFonts w:hint="eastAsia" w:ascii="宋体" w:hAnsi="宋体" w:eastAsia="宋体" w:cs="宋体"/>
                <w:color w:val="auto"/>
                <w:kern w:val="0"/>
                <w:sz w:val="21"/>
                <w:szCs w:val="21"/>
                <w:highlight w:val="none"/>
                <w:lang w:val="en-US" w:eastAsia="zh-CN"/>
              </w:rPr>
              <w:t>包含装饰装修或维修或修缮的建筑工程等</w:t>
            </w:r>
            <w:r>
              <w:rPr>
                <w:rFonts w:hint="eastAsia" w:ascii="宋体" w:hAnsi="宋体" w:eastAsia="宋体" w:cs="宋体"/>
                <w:color w:val="auto"/>
                <w:kern w:val="0"/>
                <w:sz w:val="21"/>
                <w:szCs w:val="21"/>
                <w:highlight w:val="none"/>
              </w:rPr>
              <w:t>类似业绩，每提供1份符合要求的业绩得2分，满分</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分。（提供</w:t>
            </w:r>
            <w:r>
              <w:rPr>
                <w:rFonts w:hint="eastAsia" w:ascii="宋体" w:hAnsi="宋体" w:eastAsia="宋体" w:cs="宋体"/>
                <w:color w:val="auto"/>
                <w:kern w:val="0"/>
                <w:sz w:val="21"/>
                <w:szCs w:val="21"/>
                <w:highlight w:val="none"/>
                <w:lang w:val="en-US" w:eastAsia="zh-CN"/>
              </w:rPr>
              <w:t>中标通知书或</w:t>
            </w:r>
            <w:r>
              <w:rPr>
                <w:rFonts w:hint="eastAsia" w:ascii="宋体" w:hAnsi="宋体" w:eastAsia="宋体" w:cs="宋体"/>
                <w:color w:val="auto"/>
                <w:kern w:val="0"/>
                <w:sz w:val="21"/>
                <w:szCs w:val="21"/>
                <w:highlight w:val="none"/>
              </w:rPr>
              <w:t>工程合同协议书或工程竣工验收证明材料，并加盖</w:t>
            </w:r>
            <w:r>
              <w:rPr>
                <w:rFonts w:hint="eastAsia" w:ascii="宋体" w:hAnsi="宋体" w:eastAsia="宋体" w:cs="宋体"/>
                <w:color w:val="auto"/>
                <w:kern w:val="0"/>
                <w:sz w:val="21"/>
                <w:szCs w:val="21"/>
                <w:highlight w:val="none"/>
                <w:lang w:eastAsia="zh-CN"/>
              </w:rPr>
              <w:t>供应商公章</w:t>
            </w:r>
            <w:r>
              <w:rPr>
                <w:rFonts w:hint="eastAsia" w:ascii="宋体" w:hAnsi="宋体" w:eastAsia="宋体" w:cs="宋体"/>
                <w:color w:val="auto"/>
                <w:kern w:val="0"/>
                <w:sz w:val="21"/>
                <w:szCs w:val="21"/>
                <w:highlight w:val="none"/>
              </w:rPr>
              <w:t>）</w:t>
            </w:r>
          </w:p>
        </w:tc>
        <w:tc>
          <w:tcPr>
            <w:tcW w:w="813" w:type="dxa"/>
            <w:noWrap w:val="0"/>
            <w:vAlign w:val="center"/>
          </w:tcPr>
          <w:p w14:paraId="3663B2C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w:t>
            </w:r>
          </w:p>
        </w:tc>
      </w:tr>
      <w:tr w14:paraId="314E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05" w:type="dxa"/>
            <w:gridSpan w:val="3"/>
            <w:noWrap w:val="0"/>
            <w:vAlign w:val="center"/>
          </w:tcPr>
          <w:p w14:paraId="43C5BDB3">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总得分＝1＋2＋3</w:t>
            </w:r>
          </w:p>
        </w:tc>
        <w:tc>
          <w:tcPr>
            <w:tcW w:w="813" w:type="dxa"/>
            <w:noWrap w:val="0"/>
            <w:vAlign w:val="center"/>
          </w:tcPr>
          <w:p w14:paraId="1479F43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满分100分</w:t>
            </w:r>
          </w:p>
        </w:tc>
      </w:tr>
    </w:tbl>
    <w:p w14:paraId="012FDDAF">
      <w:pPr>
        <w:pStyle w:val="15"/>
        <w:rPr>
          <w:rFonts w:hint="eastAsia" w:ascii="宋体" w:hAnsi="宋体"/>
          <w:bCs/>
          <w:color w:val="auto"/>
          <w:szCs w:val="21"/>
          <w:highlight w:val="none"/>
        </w:rPr>
      </w:pPr>
    </w:p>
    <w:p w14:paraId="4F94FEB0">
      <w:pPr>
        <w:rPr>
          <w:color w:val="auto"/>
          <w:highlight w:val="none"/>
        </w:rPr>
      </w:pPr>
    </w:p>
    <w:p w14:paraId="5B262DFA">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7.</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1C1662CF">
      <w:pPr>
        <w:rPr>
          <w:rFonts w:hint="eastAsia"/>
          <w:color w:val="auto"/>
          <w:highlight w:val="none"/>
        </w:rPr>
      </w:pPr>
    </w:p>
    <w:p w14:paraId="18408D8E">
      <w:pPr>
        <w:rPr>
          <w:rFonts w:hint="eastAsia"/>
          <w:color w:val="auto"/>
          <w:highlight w:val="none"/>
        </w:rPr>
      </w:pPr>
    </w:p>
    <w:p w14:paraId="7ED14D9E">
      <w:pPr>
        <w:rPr>
          <w:rFonts w:hint="eastAsia"/>
          <w:color w:val="auto"/>
          <w:highlight w:val="none"/>
        </w:rPr>
      </w:pPr>
    </w:p>
    <w:p w14:paraId="15F3E0F1">
      <w:pPr>
        <w:rPr>
          <w:rFonts w:hint="eastAsia"/>
          <w:color w:val="auto"/>
          <w:highlight w:val="none"/>
        </w:rPr>
      </w:pPr>
    </w:p>
    <w:p w14:paraId="66EDD4B4">
      <w:pPr>
        <w:rPr>
          <w:rFonts w:hint="eastAsia"/>
          <w:color w:val="auto"/>
          <w:highlight w:val="none"/>
        </w:rPr>
      </w:pPr>
    </w:p>
    <w:p w14:paraId="39395069">
      <w:pPr>
        <w:rPr>
          <w:rFonts w:hint="eastAsia"/>
          <w:color w:val="auto"/>
          <w:highlight w:val="none"/>
        </w:rPr>
      </w:pPr>
    </w:p>
    <w:p w14:paraId="5592FAA5">
      <w:pPr>
        <w:rPr>
          <w:rFonts w:hint="eastAsia"/>
          <w:color w:val="auto"/>
          <w:highlight w:val="none"/>
        </w:rPr>
      </w:pPr>
    </w:p>
    <w:p w14:paraId="42FF0484">
      <w:pPr>
        <w:rPr>
          <w:rFonts w:hint="eastAsia"/>
          <w:color w:val="auto"/>
          <w:highlight w:val="none"/>
        </w:rPr>
      </w:pPr>
    </w:p>
    <w:p w14:paraId="5F26F641">
      <w:pPr>
        <w:rPr>
          <w:rFonts w:hint="eastAsia"/>
          <w:color w:val="auto"/>
          <w:highlight w:val="none"/>
        </w:rPr>
      </w:pPr>
    </w:p>
    <w:p w14:paraId="50C953E0">
      <w:pPr>
        <w:rPr>
          <w:rFonts w:hint="eastAsia"/>
          <w:color w:val="auto"/>
          <w:highlight w:val="none"/>
        </w:rPr>
      </w:pPr>
    </w:p>
    <w:p w14:paraId="1E3C97DF">
      <w:pPr>
        <w:rPr>
          <w:rFonts w:hint="eastAsia"/>
          <w:color w:val="auto"/>
          <w:highlight w:val="none"/>
        </w:rPr>
      </w:pPr>
      <w:r>
        <w:rPr>
          <w:rFonts w:hint="eastAsia"/>
          <w:color w:val="auto"/>
          <w:highlight w:val="none"/>
        </w:rPr>
        <w:br w:type="page"/>
      </w:r>
    </w:p>
    <w:p w14:paraId="3356D396">
      <w:pPr>
        <w:pStyle w:val="3"/>
        <w:jc w:val="center"/>
        <w:rPr>
          <w:rFonts w:hint="eastAsia"/>
          <w:color w:val="auto"/>
          <w:highlight w:val="none"/>
        </w:rPr>
      </w:pPr>
      <w:bookmarkStart w:id="116" w:name="_Toc31118"/>
      <w:r>
        <w:rPr>
          <w:rFonts w:hint="eastAsia"/>
          <w:color w:val="auto"/>
          <w:highlight w:val="none"/>
        </w:rPr>
        <w:t>第五章 响应文件格式</w:t>
      </w:r>
      <w:bookmarkEnd w:id="116"/>
    </w:p>
    <w:p w14:paraId="29D5710D">
      <w:pPr>
        <w:spacing w:line="240" w:lineRule="atLeast"/>
        <w:rPr>
          <w:rFonts w:hint="eastAsia" w:ascii="宋体" w:hAnsi="宋体"/>
          <w:b/>
          <w:color w:val="auto"/>
          <w:sz w:val="32"/>
          <w:szCs w:val="32"/>
          <w:highlight w:val="none"/>
        </w:rPr>
      </w:pPr>
    </w:p>
    <w:p w14:paraId="33AD5026">
      <w:pPr>
        <w:spacing w:line="240" w:lineRule="atLeast"/>
        <w:rPr>
          <w:rFonts w:hint="eastAsia" w:ascii="宋体" w:hAnsi="宋体"/>
          <w:b/>
          <w:color w:val="auto"/>
          <w:sz w:val="32"/>
          <w:szCs w:val="32"/>
          <w:highlight w:val="none"/>
        </w:rPr>
      </w:pPr>
    </w:p>
    <w:p w14:paraId="0E761255">
      <w:pPr>
        <w:spacing w:line="240" w:lineRule="atLeast"/>
        <w:rPr>
          <w:rFonts w:hint="eastAsia" w:ascii="宋体" w:hAnsi="宋体"/>
          <w:b/>
          <w:color w:val="auto"/>
          <w:sz w:val="32"/>
          <w:szCs w:val="32"/>
          <w:highlight w:val="none"/>
        </w:rPr>
      </w:pPr>
    </w:p>
    <w:p w14:paraId="5A02842C">
      <w:pPr>
        <w:spacing w:line="240" w:lineRule="atLeast"/>
        <w:rPr>
          <w:rFonts w:hint="eastAsia" w:ascii="宋体" w:hAnsi="宋体"/>
          <w:b/>
          <w:color w:val="auto"/>
          <w:sz w:val="32"/>
          <w:szCs w:val="32"/>
          <w:highlight w:val="none"/>
        </w:rPr>
      </w:pPr>
    </w:p>
    <w:p w14:paraId="1870C381">
      <w:pPr>
        <w:spacing w:line="240" w:lineRule="atLeast"/>
        <w:rPr>
          <w:rFonts w:hint="eastAsia" w:ascii="宋体" w:hAnsi="宋体"/>
          <w:b/>
          <w:color w:val="auto"/>
          <w:sz w:val="32"/>
          <w:szCs w:val="32"/>
          <w:highlight w:val="none"/>
        </w:rPr>
      </w:pPr>
    </w:p>
    <w:p w14:paraId="17F11296">
      <w:pPr>
        <w:spacing w:line="240" w:lineRule="atLeast"/>
        <w:rPr>
          <w:rFonts w:hint="eastAsia" w:ascii="宋体" w:hAnsi="宋体"/>
          <w:b/>
          <w:color w:val="auto"/>
          <w:sz w:val="32"/>
          <w:szCs w:val="32"/>
          <w:highlight w:val="none"/>
        </w:rPr>
      </w:pPr>
    </w:p>
    <w:p w14:paraId="184D7625">
      <w:pPr>
        <w:spacing w:line="240" w:lineRule="atLeast"/>
        <w:rPr>
          <w:rFonts w:hint="eastAsia" w:ascii="宋体" w:hAnsi="宋体"/>
          <w:b/>
          <w:color w:val="auto"/>
          <w:sz w:val="32"/>
          <w:szCs w:val="32"/>
          <w:highlight w:val="none"/>
        </w:rPr>
      </w:pPr>
    </w:p>
    <w:p w14:paraId="2D6D775D">
      <w:pPr>
        <w:spacing w:line="240" w:lineRule="atLeast"/>
        <w:rPr>
          <w:rFonts w:hint="eastAsia" w:ascii="宋体" w:hAnsi="宋体"/>
          <w:b/>
          <w:color w:val="auto"/>
          <w:sz w:val="32"/>
          <w:szCs w:val="32"/>
          <w:highlight w:val="none"/>
        </w:rPr>
      </w:pPr>
    </w:p>
    <w:p w14:paraId="3DCDA92F">
      <w:pPr>
        <w:spacing w:line="240" w:lineRule="atLeast"/>
        <w:rPr>
          <w:rFonts w:hint="eastAsia" w:ascii="宋体" w:hAnsi="宋体"/>
          <w:b/>
          <w:color w:val="auto"/>
          <w:sz w:val="32"/>
          <w:szCs w:val="32"/>
          <w:highlight w:val="none"/>
        </w:rPr>
      </w:pPr>
    </w:p>
    <w:p w14:paraId="525F77F7">
      <w:pPr>
        <w:spacing w:line="240" w:lineRule="atLeast"/>
        <w:rPr>
          <w:rFonts w:hint="eastAsia" w:ascii="宋体" w:hAnsi="宋体"/>
          <w:b/>
          <w:color w:val="auto"/>
          <w:sz w:val="32"/>
          <w:szCs w:val="32"/>
          <w:highlight w:val="none"/>
        </w:rPr>
      </w:pPr>
    </w:p>
    <w:p w14:paraId="592B9406">
      <w:pPr>
        <w:spacing w:line="240" w:lineRule="atLeast"/>
        <w:rPr>
          <w:rFonts w:hint="eastAsia" w:ascii="宋体" w:hAnsi="宋体"/>
          <w:b/>
          <w:color w:val="auto"/>
          <w:sz w:val="32"/>
          <w:szCs w:val="32"/>
          <w:highlight w:val="none"/>
        </w:rPr>
      </w:pPr>
    </w:p>
    <w:p w14:paraId="71A1CC6C">
      <w:pPr>
        <w:snapToGrid w:val="0"/>
        <w:spacing w:before="50" w:after="50"/>
        <w:outlineLvl w:val="9"/>
        <w:rPr>
          <w:rFonts w:hint="eastAsia" w:ascii="宋体" w:hAnsi="宋体"/>
          <w:b/>
          <w:bCs/>
          <w:color w:val="auto"/>
          <w:sz w:val="24"/>
          <w:highlight w:val="none"/>
        </w:rPr>
      </w:pPr>
    </w:p>
    <w:p w14:paraId="1830BCEE">
      <w:pPr>
        <w:snapToGrid w:val="0"/>
        <w:spacing w:before="120" w:beforeLines="50" w:after="50"/>
        <w:jc w:val="center"/>
        <w:rPr>
          <w:rFonts w:hint="eastAsia" w:ascii="仿宋_GB2312" w:hAnsi="仿宋_GB2312" w:eastAsia="仿宋_GB2312" w:cs="仿宋_GB2312"/>
          <w:bCs/>
          <w:color w:val="auto"/>
          <w:sz w:val="32"/>
          <w:szCs w:val="32"/>
          <w:highlight w:val="none"/>
        </w:rPr>
      </w:pPr>
    </w:p>
    <w:p w14:paraId="7DE5A925">
      <w:pPr>
        <w:outlineLvl w:val="1"/>
        <w:rPr>
          <w:rFonts w:hint="eastAsia"/>
          <w:b/>
          <w:color w:val="auto"/>
          <w:sz w:val="32"/>
          <w:szCs w:val="32"/>
          <w:highlight w:val="none"/>
        </w:rPr>
      </w:pPr>
      <w:bookmarkStart w:id="117" w:name="_Toc35611516"/>
      <w:bookmarkStart w:id="118" w:name="_Toc31723070"/>
      <w:bookmarkStart w:id="119" w:name="_Toc35611438"/>
      <w:bookmarkStart w:id="120" w:name="_Toc44229899"/>
      <w:bookmarkStart w:id="121" w:name="_Toc71366186"/>
      <w:bookmarkStart w:id="122" w:name="_Toc31728084"/>
      <w:r>
        <w:rPr>
          <w:b/>
          <w:color w:val="auto"/>
          <w:sz w:val="32"/>
          <w:szCs w:val="32"/>
          <w:highlight w:val="none"/>
        </w:rPr>
        <w:br w:type="page"/>
      </w:r>
      <w:bookmarkStart w:id="123" w:name="_Toc8266"/>
      <w:r>
        <w:rPr>
          <w:rFonts w:hint="eastAsia"/>
          <w:b/>
          <w:color w:val="auto"/>
          <w:sz w:val="32"/>
          <w:szCs w:val="32"/>
          <w:highlight w:val="none"/>
        </w:rPr>
        <w:t>一、资格证明文件格式</w:t>
      </w:r>
      <w:bookmarkEnd w:id="117"/>
      <w:bookmarkEnd w:id="118"/>
      <w:bookmarkEnd w:id="119"/>
      <w:bookmarkEnd w:id="120"/>
      <w:bookmarkEnd w:id="121"/>
      <w:bookmarkEnd w:id="122"/>
      <w:bookmarkEnd w:id="123"/>
    </w:p>
    <w:p w14:paraId="07EBC78F">
      <w:pPr>
        <w:snapToGrid w:val="0"/>
        <w:spacing w:before="120" w:beforeLines="50" w:after="50" w:line="360" w:lineRule="auto"/>
        <w:jc w:val="left"/>
        <w:outlineLvl w:val="1"/>
        <w:rPr>
          <w:rFonts w:hint="eastAsia" w:ascii="宋体" w:hAnsi="宋体"/>
          <w:b/>
          <w:color w:val="auto"/>
          <w:sz w:val="24"/>
          <w:highlight w:val="none"/>
        </w:rPr>
      </w:pPr>
      <w:bookmarkStart w:id="124" w:name="_Toc26323"/>
      <w:r>
        <w:rPr>
          <w:rFonts w:hint="eastAsia" w:ascii="宋体" w:hAnsi="宋体"/>
          <w:b/>
          <w:color w:val="auto"/>
          <w:sz w:val="32"/>
          <w:szCs w:val="32"/>
          <w:highlight w:val="none"/>
        </w:rPr>
        <w:t>1.资格证明文件封面格式：</w:t>
      </w:r>
      <w:bookmarkEnd w:id="124"/>
      <w:r>
        <w:rPr>
          <w:rFonts w:hint="eastAsia" w:ascii="宋体" w:hAnsi="宋体"/>
          <w:b/>
          <w:color w:val="auto"/>
          <w:sz w:val="24"/>
          <w:highlight w:val="none"/>
        </w:rPr>
        <w:t xml:space="preserve"> </w:t>
      </w:r>
    </w:p>
    <w:p w14:paraId="18D8BDB4">
      <w:pPr>
        <w:snapToGrid w:val="0"/>
        <w:spacing w:before="120" w:beforeLines="50" w:after="50"/>
        <w:jc w:val="center"/>
        <w:rPr>
          <w:rFonts w:ascii="宋体" w:hAnsi="宋体"/>
          <w:color w:val="auto"/>
          <w:sz w:val="44"/>
          <w:szCs w:val="44"/>
          <w:highlight w:val="none"/>
        </w:rPr>
      </w:pPr>
    </w:p>
    <w:p w14:paraId="6A81E3D9">
      <w:pPr>
        <w:snapToGrid w:val="0"/>
        <w:spacing w:before="120"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3E1EDE9B">
      <w:pPr>
        <w:snapToGrid w:val="0"/>
        <w:spacing w:before="120" w:beforeLines="50" w:after="50"/>
        <w:rPr>
          <w:rFonts w:hint="eastAsia" w:ascii="宋体" w:hAnsi="宋体"/>
          <w:color w:val="auto"/>
          <w:sz w:val="24"/>
          <w:szCs w:val="20"/>
          <w:highlight w:val="none"/>
        </w:rPr>
      </w:pPr>
    </w:p>
    <w:p w14:paraId="0A2CA4F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343EED0A">
      <w:pPr>
        <w:snapToGrid w:val="0"/>
        <w:spacing w:before="120" w:beforeLines="50" w:after="50"/>
        <w:rPr>
          <w:rFonts w:hint="eastAsia" w:ascii="宋体" w:hAnsi="宋体"/>
          <w:bCs/>
          <w:color w:val="auto"/>
          <w:sz w:val="24"/>
          <w:szCs w:val="20"/>
          <w:highlight w:val="none"/>
        </w:rPr>
      </w:pPr>
    </w:p>
    <w:p w14:paraId="74B6476A">
      <w:pPr>
        <w:snapToGrid w:val="0"/>
        <w:spacing w:before="120" w:beforeLines="50" w:after="50"/>
        <w:rPr>
          <w:rFonts w:hint="eastAsia" w:ascii="宋体" w:hAnsi="宋体"/>
          <w:bCs/>
          <w:color w:val="auto"/>
          <w:sz w:val="24"/>
          <w:szCs w:val="20"/>
          <w:highlight w:val="none"/>
        </w:rPr>
      </w:pPr>
    </w:p>
    <w:p w14:paraId="67AE1C72">
      <w:pPr>
        <w:snapToGrid w:val="0"/>
        <w:spacing w:before="120" w:beforeLines="50" w:after="50"/>
        <w:rPr>
          <w:rFonts w:hint="eastAsia" w:ascii="宋体" w:hAnsi="宋体"/>
          <w:bCs/>
          <w:color w:val="auto"/>
          <w:sz w:val="24"/>
          <w:szCs w:val="20"/>
          <w:highlight w:val="none"/>
        </w:rPr>
      </w:pPr>
    </w:p>
    <w:p w14:paraId="731CF83B">
      <w:pPr>
        <w:snapToGrid w:val="0"/>
        <w:spacing w:before="120" w:beforeLines="50" w:after="50"/>
        <w:rPr>
          <w:rFonts w:hint="eastAsia" w:ascii="宋体" w:hAnsi="宋体"/>
          <w:bCs/>
          <w:color w:val="auto"/>
          <w:sz w:val="24"/>
          <w:szCs w:val="20"/>
          <w:highlight w:val="none"/>
        </w:rPr>
      </w:pPr>
    </w:p>
    <w:p w14:paraId="33C5DA15">
      <w:pPr>
        <w:snapToGrid w:val="0"/>
        <w:spacing w:before="120" w:beforeLines="50" w:after="50"/>
        <w:rPr>
          <w:rFonts w:hint="eastAsia" w:ascii="宋体" w:hAnsi="宋体"/>
          <w:bCs/>
          <w:color w:val="auto"/>
          <w:sz w:val="24"/>
          <w:szCs w:val="20"/>
          <w:highlight w:val="none"/>
        </w:rPr>
      </w:pPr>
    </w:p>
    <w:p w14:paraId="7B1BC4A1">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723EDB4">
      <w:pPr>
        <w:snapToGrid w:val="0"/>
        <w:spacing w:before="120" w:beforeLines="50" w:after="50"/>
        <w:ind w:firstLine="720" w:firstLineChars="225"/>
        <w:rPr>
          <w:rFonts w:hint="eastAsia" w:ascii="宋体" w:hAnsi="宋体" w:cs="仿宋_GB2312"/>
          <w:bCs/>
          <w:color w:val="auto"/>
          <w:sz w:val="32"/>
          <w:szCs w:val="32"/>
          <w:highlight w:val="none"/>
        </w:rPr>
      </w:pPr>
    </w:p>
    <w:p w14:paraId="69CA8ABB">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B3C560D">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05946C33">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7530394">
      <w:pPr>
        <w:snapToGrid w:val="0"/>
        <w:spacing w:before="120" w:beforeLines="50" w:after="50"/>
        <w:ind w:firstLine="720" w:firstLineChars="225"/>
        <w:rPr>
          <w:rFonts w:hint="eastAsia" w:ascii="宋体" w:hAnsi="宋体" w:cs="仿宋_GB2312"/>
          <w:bCs/>
          <w:color w:val="auto"/>
          <w:sz w:val="32"/>
          <w:szCs w:val="32"/>
          <w:highlight w:val="none"/>
        </w:rPr>
      </w:pPr>
    </w:p>
    <w:p w14:paraId="32567C29">
      <w:pPr>
        <w:pStyle w:val="6"/>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20E9316">
      <w:pPr>
        <w:snapToGrid w:val="0"/>
        <w:spacing w:before="120" w:beforeLines="50" w:after="50"/>
        <w:ind w:firstLine="640" w:firstLineChars="200"/>
        <w:rPr>
          <w:rFonts w:hint="eastAsia" w:ascii="宋体" w:hAnsi="宋体" w:cs="仿宋_GB2312"/>
          <w:bCs/>
          <w:color w:val="auto"/>
          <w:sz w:val="32"/>
          <w:szCs w:val="32"/>
          <w:highlight w:val="none"/>
        </w:rPr>
      </w:pPr>
    </w:p>
    <w:p w14:paraId="04BAF7FA">
      <w:pPr>
        <w:pStyle w:val="6"/>
        <w:snapToGrid w:val="0"/>
        <w:spacing w:before="50" w:after="50"/>
        <w:ind w:firstLine="720" w:firstLineChars="225"/>
        <w:rPr>
          <w:rFonts w:hint="eastAsia" w:ascii="宋体" w:hAnsi="宋体" w:cs="仿宋_GB2312"/>
          <w:bCs/>
          <w:color w:val="auto"/>
          <w:sz w:val="32"/>
          <w:szCs w:val="32"/>
          <w:highlight w:val="none"/>
        </w:rPr>
      </w:pPr>
    </w:p>
    <w:p w14:paraId="7C5CFE65">
      <w:pPr>
        <w:pStyle w:val="6"/>
        <w:snapToGrid w:val="0"/>
        <w:spacing w:before="50" w:after="50"/>
        <w:ind w:firstLine="720" w:firstLineChars="225"/>
        <w:rPr>
          <w:rFonts w:hint="eastAsia" w:ascii="宋体" w:hAnsi="宋体" w:cs="仿宋_GB2312"/>
          <w:bCs/>
          <w:color w:val="auto"/>
          <w:sz w:val="32"/>
          <w:szCs w:val="32"/>
          <w:highlight w:val="none"/>
        </w:rPr>
      </w:pPr>
    </w:p>
    <w:p w14:paraId="782883DB">
      <w:pPr>
        <w:pStyle w:val="6"/>
        <w:snapToGrid w:val="0"/>
        <w:spacing w:before="50" w:after="50"/>
        <w:ind w:firstLine="1280" w:firstLineChars="400"/>
        <w:rPr>
          <w:rFonts w:hint="eastAsia" w:ascii="宋体" w:hAnsi="宋体" w:cs="仿宋_GB2312"/>
          <w:bCs/>
          <w:color w:val="auto"/>
          <w:sz w:val="32"/>
          <w:szCs w:val="32"/>
          <w:highlight w:val="none"/>
        </w:rPr>
      </w:pPr>
    </w:p>
    <w:p w14:paraId="6679ABB6">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671CDEC">
      <w:pPr>
        <w:snapToGrid w:val="0"/>
        <w:spacing w:before="120" w:beforeLines="50" w:after="50" w:line="360" w:lineRule="auto"/>
        <w:ind w:left="142"/>
        <w:jc w:val="left"/>
        <w:outlineLvl w:val="1"/>
        <w:rPr>
          <w:rFonts w:hint="eastAsia" w:ascii="宋体" w:hAnsi="宋体"/>
          <w:b/>
          <w:bCs/>
          <w:color w:val="auto"/>
          <w:sz w:val="32"/>
          <w:szCs w:val="32"/>
          <w:highlight w:val="none"/>
        </w:rPr>
      </w:pPr>
      <w:r>
        <w:rPr>
          <w:rFonts w:ascii="宋体" w:hAnsi="宋体"/>
          <w:color w:val="auto"/>
          <w:sz w:val="24"/>
          <w:highlight w:val="none"/>
        </w:rPr>
        <w:br w:type="page"/>
      </w:r>
      <w:bookmarkStart w:id="125" w:name="_Toc3888"/>
      <w:r>
        <w:rPr>
          <w:rFonts w:hint="eastAsia" w:ascii="宋体" w:hAnsi="宋体"/>
          <w:b/>
          <w:bCs/>
          <w:color w:val="auto"/>
          <w:sz w:val="32"/>
          <w:szCs w:val="32"/>
          <w:highlight w:val="none"/>
        </w:rPr>
        <w:t>2.资格证明文件目录</w:t>
      </w:r>
      <w:bookmarkEnd w:id="125"/>
    </w:p>
    <w:p w14:paraId="5E83FEDE">
      <w:pPr>
        <w:snapToGrid w:val="0"/>
        <w:spacing w:before="120"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2FDAD07">
      <w:pPr>
        <w:snapToGrid w:val="0"/>
        <w:spacing w:before="120"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2A0296C1">
      <w:pPr>
        <w:spacing w:line="300" w:lineRule="auto"/>
        <w:rPr>
          <w:rFonts w:hint="eastAsia" w:ascii="宋体" w:hAnsi="宋体"/>
          <w:color w:val="auto"/>
          <w:szCs w:val="21"/>
          <w:highlight w:val="none"/>
        </w:rPr>
      </w:pPr>
    </w:p>
    <w:p w14:paraId="36A4C3BE">
      <w:pPr>
        <w:spacing w:line="300" w:lineRule="auto"/>
        <w:rPr>
          <w:rFonts w:hint="eastAsia" w:ascii="宋体" w:hAnsi="宋体"/>
          <w:color w:val="auto"/>
          <w:szCs w:val="21"/>
          <w:highlight w:val="none"/>
        </w:rPr>
      </w:pPr>
    </w:p>
    <w:p w14:paraId="2D8F9310">
      <w:pPr>
        <w:spacing w:line="300" w:lineRule="auto"/>
        <w:rPr>
          <w:rFonts w:hint="eastAsia" w:ascii="宋体" w:hAnsi="宋体"/>
          <w:color w:val="auto"/>
          <w:szCs w:val="21"/>
          <w:highlight w:val="none"/>
        </w:rPr>
      </w:pPr>
    </w:p>
    <w:p w14:paraId="2F7CBED1">
      <w:pPr>
        <w:spacing w:line="300" w:lineRule="auto"/>
        <w:rPr>
          <w:rFonts w:hint="eastAsia" w:ascii="宋体" w:hAnsi="宋体"/>
          <w:color w:val="auto"/>
          <w:szCs w:val="21"/>
          <w:highlight w:val="none"/>
        </w:rPr>
      </w:pPr>
    </w:p>
    <w:p w14:paraId="3C0F30B5">
      <w:pPr>
        <w:spacing w:line="300" w:lineRule="auto"/>
        <w:rPr>
          <w:rFonts w:hint="eastAsia" w:ascii="宋体" w:hAnsi="宋体"/>
          <w:color w:val="auto"/>
          <w:szCs w:val="21"/>
          <w:highlight w:val="none"/>
        </w:rPr>
      </w:pPr>
    </w:p>
    <w:p w14:paraId="0487B330">
      <w:pPr>
        <w:spacing w:line="300" w:lineRule="auto"/>
        <w:rPr>
          <w:rFonts w:hint="eastAsia" w:ascii="宋体" w:hAnsi="宋体"/>
          <w:color w:val="auto"/>
          <w:szCs w:val="21"/>
          <w:highlight w:val="none"/>
        </w:rPr>
      </w:pPr>
    </w:p>
    <w:p w14:paraId="4788EA22">
      <w:pPr>
        <w:spacing w:line="300" w:lineRule="auto"/>
        <w:rPr>
          <w:rFonts w:hint="eastAsia" w:ascii="宋体" w:hAnsi="宋体"/>
          <w:color w:val="auto"/>
          <w:szCs w:val="21"/>
          <w:highlight w:val="none"/>
        </w:rPr>
      </w:pPr>
    </w:p>
    <w:p w14:paraId="0602FC68">
      <w:pPr>
        <w:spacing w:line="300" w:lineRule="auto"/>
        <w:rPr>
          <w:rFonts w:hint="eastAsia" w:ascii="宋体" w:hAnsi="宋体"/>
          <w:color w:val="auto"/>
          <w:szCs w:val="21"/>
          <w:highlight w:val="none"/>
        </w:rPr>
      </w:pPr>
    </w:p>
    <w:p w14:paraId="7C671722">
      <w:pPr>
        <w:spacing w:line="300" w:lineRule="auto"/>
        <w:rPr>
          <w:rFonts w:hint="eastAsia" w:ascii="宋体" w:hAnsi="宋体"/>
          <w:color w:val="auto"/>
          <w:szCs w:val="21"/>
          <w:highlight w:val="none"/>
        </w:rPr>
      </w:pPr>
    </w:p>
    <w:p w14:paraId="28935B61">
      <w:pPr>
        <w:spacing w:line="300" w:lineRule="auto"/>
        <w:rPr>
          <w:rFonts w:hint="eastAsia" w:ascii="宋体" w:hAnsi="宋体"/>
          <w:color w:val="auto"/>
          <w:szCs w:val="21"/>
          <w:highlight w:val="none"/>
        </w:rPr>
      </w:pPr>
    </w:p>
    <w:p w14:paraId="7C3B35B4">
      <w:pPr>
        <w:spacing w:line="300" w:lineRule="auto"/>
        <w:rPr>
          <w:rFonts w:hint="eastAsia" w:ascii="宋体" w:hAnsi="宋体"/>
          <w:color w:val="auto"/>
          <w:szCs w:val="21"/>
          <w:highlight w:val="none"/>
        </w:rPr>
      </w:pPr>
    </w:p>
    <w:p w14:paraId="2052D646">
      <w:pPr>
        <w:spacing w:line="300" w:lineRule="auto"/>
        <w:rPr>
          <w:rFonts w:hint="eastAsia" w:ascii="宋体" w:hAnsi="宋体"/>
          <w:color w:val="auto"/>
          <w:szCs w:val="21"/>
          <w:highlight w:val="none"/>
        </w:rPr>
      </w:pPr>
    </w:p>
    <w:p w14:paraId="637FA25A">
      <w:pPr>
        <w:spacing w:line="300" w:lineRule="auto"/>
        <w:rPr>
          <w:rFonts w:hint="eastAsia" w:ascii="宋体" w:hAnsi="宋体"/>
          <w:color w:val="auto"/>
          <w:szCs w:val="21"/>
          <w:highlight w:val="none"/>
        </w:rPr>
      </w:pPr>
    </w:p>
    <w:p w14:paraId="2F677B2D">
      <w:pPr>
        <w:spacing w:line="300" w:lineRule="auto"/>
        <w:rPr>
          <w:rFonts w:hint="eastAsia" w:ascii="宋体" w:hAnsi="宋体"/>
          <w:color w:val="auto"/>
          <w:szCs w:val="21"/>
          <w:highlight w:val="none"/>
        </w:rPr>
      </w:pPr>
    </w:p>
    <w:p w14:paraId="15DD2ED7">
      <w:pPr>
        <w:spacing w:line="300" w:lineRule="auto"/>
        <w:rPr>
          <w:rFonts w:hint="eastAsia" w:ascii="宋体" w:hAnsi="宋体"/>
          <w:color w:val="auto"/>
          <w:szCs w:val="21"/>
          <w:highlight w:val="none"/>
        </w:rPr>
      </w:pPr>
    </w:p>
    <w:p w14:paraId="631633A5">
      <w:pPr>
        <w:spacing w:line="320" w:lineRule="exact"/>
        <w:jc w:val="left"/>
        <w:rPr>
          <w:rFonts w:hint="eastAsia" w:ascii="宋体" w:hAnsi="宋体"/>
          <w:color w:val="auto"/>
          <w:szCs w:val="21"/>
          <w:highlight w:val="none"/>
        </w:rPr>
      </w:pPr>
      <w:r>
        <w:rPr>
          <w:rFonts w:ascii="宋体" w:hAnsi="宋体"/>
          <w:color w:val="auto"/>
          <w:szCs w:val="21"/>
          <w:highlight w:val="none"/>
        </w:rPr>
        <w:br w:type="page"/>
      </w:r>
      <w:r>
        <w:rPr>
          <w:rFonts w:hint="eastAsia" w:ascii="宋体" w:hAnsi="宋体"/>
          <w:color w:val="auto"/>
          <w:szCs w:val="21"/>
          <w:highlight w:val="none"/>
        </w:rPr>
        <w:t xml:space="preserve"> </w:t>
      </w:r>
    </w:p>
    <w:p w14:paraId="257DD5EC">
      <w:pPr>
        <w:snapToGrid w:val="0"/>
        <w:spacing w:before="120" w:beforeLines="50" w:after="50"/>
        <w:jc w:val="left"/>
        <w:outlineLvl w:val="1"/>
        <w:rPr>
          <w:rFonts w:ascii="宋体" w:hAnsi="宋体"/>
          <w:b/>
          <w:color w:val="auto"/>
          <w:sz w:val="24"/>
          <w:highlight w:val="none"/>
        </w:rPr>
      </w:pPr>
      <w:bookmarkStart w:id="126" w:name="_Toc23968"/>
      <w:r>
        <w:rPr>
          <w:rFonts w:hint="eastAsia" w:ascii="宋体" w:hAnsi="宋体"/>
          <w:b/>
          <w:color w:val="auto"/>
          <w:sz w:val="24"/>
          <w:highlight w:val="none"/>
        </w:rPr>
        <w:t>3.</w:t>
      </w:r>
      <w:r>
        <w:rPr>
          <w:rFonts w:hint="eastAsia" w:ascii="宋体" w:hAnsi="宋体"/>
          <w:b/>
          <w:color w:val="auto"/>
          <w:sz w:val="28"/>
          <w:szCs w:val="28"/>
          <w:highlight w:val="none"/>
        </w:rPr>
        <w:t>供应商直接控股股东信息表</w:t>
      </w:r>
      <w:bookmarkEnd w:id="126"/>
    </w:p>
    <w:p w14:paraId="63F43E86">
      <w:pPr>
        <w:snapToGrid w:val="0"/>
        <w:spacing w:before="50" w:after="120" w:afterLines="50"/>
        <w:jc w:val="center"/>
        <w:rPr>
          <w:rFonts w:hint="eastAsia" w:ascii="宋体" w:hAnsi="宋体"/>
          <w:b/>
          <w:color w:val="auto"/>
          <w:sz w:val="28"/>
          <w:szCs w:val="28"/>
          <w:highlight w:val="none"/>
        </w:rPr>
      </w:pPr>
    </w:p>
    <w:p w14:paraId="50FCBA63">
      <w:pPr>
        <w:snapToGrid w:val="0"/>
        <w:spacing w:before="50" w:after="120" w:afterLines="5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tbl>
      <w:tblPr>
        <w:tblStyle w:val="29"/>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B40A4E1">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9A064B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2C4ADC7">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4ABC5FC">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1504974">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6A2940C">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1311B5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B8040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03BF97">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D8F25D">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C079BF">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715AD1">
            <w:pPr>
              <w:spacing w:line="360" w:lineRule="auto"/>
              <w:jc w:val="center"/>
              <w:rPr>
                <w:rFonts w:ascii="宋体" w:hAnsi="宋体" w:cs="宋体"/>
                <w:color w:val="auto"/>
                <w:kern w:val="0"/>
                <w:sz w:val="24"/>
                <w:highlight w:val="none"/>
              </w:rPr>
            </w:pPr>
          </w:p>
        </w:tc>
      </w:tr>
      <w:tr w14:paraId="3C6BDFC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EF526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D5B88D">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492D68">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D390AF">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CCC114">
            <w:pPr>
              <w:spacing w:line="360" w:lineRule="auto"/>
              <w:jc w:val="center"/>
              <w:rPr>
                <w:rFonts w:ascii="宋体" w:hAnsi="宋体" w:cs="宋体"/>
                <w:color w:val="auto"/>
                <w:kern w:val="0"/>
                <w:sz w:val="24"/>
                <w:highlight w:val="none"/>
              </w:rPr>
            </w:pPr>
          </w:p>
        </w:tc>
      </w:tr>
      <w:tr w14:paraId="74F6B76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5408B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3AEF67">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C6987C">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1073C7">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D324BD">
            <w:pPr>
              <w:spacing w:line="360" w:lineRule="auto"/>
              <w:jc w:val="center"/>
              <w:rPr>
                <w:rFonts w:ascii="宋体" w:hAnsi="宋体" w:cs="宋体"/>
                <w:color w:val="auto"/>
                <w:kern w:val="0"/>
                <w:sz w:val="24"/>
                <w:highlight w:val="none"/>
              </w:rPr>
            </w:pPr>
          </w:p>
        </w:tc>
      </w:tr>
      <w:tr w14:paraId="223A767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EE2669">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1F54CE">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A2576C">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E2DB39">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FB2856">
            <w:pPr>
              <w:spacing w:line="360" w:lineRule="auto"/>
              <w:jc w:val="center"/>
              <w:rPr>
                <w:rFonts w:ascii="宋体" w:hAnsi="宋体" w:cs="宋体"/>
                <w:color w:val="auto"/>
                <w:kern w:val="0"/>
                <w:sz w:val="24"/>
                <w:highlight w:val="none"/>
              </w:rPr>
            </w:pPr>
          </w:p>
        </w:tc>
      </w:tr>
    </w:tbl>
    <w:p w14:paraId="21E320D4">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65F2E64C">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7960C46">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06AB734D">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086FDFFE">
      <w:pPr>
        <w:snapToGrid w:val="0"/>
        <w:spacing w:line="360" w:lineRule="auto"/>
        <w:jc w:val="left"/>
        <w:rPr>
          <w:rFonts w:hint="eastAsia" w:ascii="宋体" w:hAnsi="宋体"/>
          <w:color w:val="auto"/>
          <w:sz w:val="24"/>
          <w:highlight w:val="none"/>
        </w:rPr>
      </w:pPr>
    </w:p>
    <w:p w14:paraId="34A8B3EB">
      <w:pPr>
        <w:snapToGrid w:val="0"/>
        <w:spacing w:line="360" w:lineRule="auto"/>
        <w:jc w:val="left"/>
        <w:rPr>
          <w:rFonts w:hint="eastAsia" w:ascii="宋体" w:hAnsi="宋体"/>
          <w:color w:val="auto"/>
          <w:sz w:val="24"/>
          <w:highlight w:val="none"/>
        </w:rPr>
      </w:pPr>
    </w:p>
    <w:p w14:paraId="2FA5371A">
      <w:pPr>
        <w:snapToGrid w:val="0"/>
        <w:spacing w:line="360" w:lineRule="auto"/>
        <w:jc w:val="left"/>
        <w:rPr>
          <w:rFonts w:hint="eastAsia" w:ascii="宋体" w:hAnsi="宋体"/>
          <w:color w:val="auto"/>
          <w:sz w:val="24"/>
          <w:highlight w:val="none"/>
        </w:rPr>
      </w:pPr>
    </w:p>
    <w:p w14:paraId="5691E1F0">
      <w:pPr>
        <w:snapToGrid w:val="0"/>
        <w:spacing w:line="360" w:lineRule="auto"/>
        <w:ind w:left="-2" w:leftChars="-1" w:right="-817" w:rightChars="-389"/>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63505537">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 xml:space="preserve">                                    供应商名称（电子签章）：</w:t>
      </w:r>
    </w:p>
    <w:p w14:paraId="1BA650F9">
      <w:pPr>
        <w:snapToGrid w:val="0"/>
        <w:spacing w:line="360" w:lineRule="auto"/>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5F60F7E1">
      <w:pPr>
        <w:snapToGrid w:val="0"/>
        <w:jc w:val="center"/>
        <w:rPr>
          <w:rFonts w:hint="eastAsia" w:ascii="宋体" w:hAnsi="宋体"/>
          <w:b/>
          <w:color w:val="auto"/>
          <w:sz w:val="28"/>
          <w:szCs w:val="28"/>
          <w:highlight w:val="none"/>
        </w:rPr>
      </w:pPr>
    </w:p>
    <w:p w14:paraId="0CA6A31D">
      <w:pPr>
        <w:snapToGrid w:val="0"/>
        <w:spacing w:line="360" w:lineRule="auto"/>
        <w:jc w:val="left"/>
        <w:outlineLvl w:val="1"/>
        <w:rPr>
          <w:rFonts w:hint="eastAsia" w:ascii="宋体" w:hAnsi="宋体"/>
          <w:b/>
          <w:color w:val="auto"/>
          <w:sz w:val="32"/>
          <w:szCs w:val="32"/>
          <w:highlight w:val="none"/>
        </w:rPr>
      </w:pPr>
      <w:r>
        <w:rPr>
          <w:rFonts w:hint="eastAsia" w:ascii="宋体" w:hAnsi="宋体"/>
          <w:b/>
          <w:color w:val="auto"/>
          <w:sz w:val="32"/>
          <w:szCs w:val="32"/>
          <w:highlight w:val="none"/>
        </w:rPr>
        <w:br w:type="page"/>
      </w:r>
      <w:bookmarkStart w:id="127" w:name="_Toc10600"/>
      <w:r>
        <w:rPr>
          <w:rFonts w:hint="eastAsia" w:ascii="宋体" w:hAnsi="宋体"/>
          <w:b/>
          <w:color w:val="auto"/>
          <w:sz w:val="24"/>
          <w:highlight w:val="none"/>
        </w:rPr>
        <w:t>4.</w:t>
      </w:r>
      <w:r>
        <w:rPr>
          <w:color w:val="auto"/>
          <w:highlight w:val="none"/>
        </w:rPr>
        <w:t xml:space="preserve"> </w:t>
      </w:r>
      <w:r>
        <w:rPr>
          <w:rFonts w:hint="eastAsia" w:ascii="宋体" w:hAnsi="宋体"/>
          <w:b/>
          <w:color w:val="auto"/>
          <w:sz w:val="28"/>
          <w:szCs w:val="28"/>
          <w:highlight w:val="none"/>
        </w:rPr>
        <w:t>供应商直接管理关系信息表</w:t>
      </w:r>
      <w:bookmarkEnd w:id="127"/>
    </w:p>
    <w:p w14:paraId="693DF5F3">
      <w:pPr>
        <w:snapToGrid w:val="0"/>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rPr>
        <w:t>供应商直接管理关系信息表</w:t>
      </w:r>
    </w:p>
    <w:tbl>
      <w:tblPr>
        <w:tblStyle w:val="29"/>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B73FEB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9A8781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A91F1D5">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01B265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4D6D3E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78F5B6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392E6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78BA10">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5C996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C93642">
            <w:pPr>
              <w:spacing w:line="360" w:lineRule="auto"/>
              <w:jc w:val="center"/>
              <w:rPr>
                <w:rFonts w:ascii="宋体" w:hAnsi="宋体" w:cs="宋体"/>
                <w:color w:val="auto"/>
                <w:kern w:val="0"/>
                <w:sz w:val="24"/>
                <w:highlight w:val="none"/>
              </w:rPr>
            </w:pPr>
          </w:p>
        </w:tc>
      </w:tr>
      <w:tr w14:paraId="4D5122F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522E60">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3D39BF">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7E2FCB">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119979">
            <w:pPr>
              <w:spacing w:line="360" w:lineRule="auto"/>
              <w:jc w:val="center"/>
              <w:rPr>
                <w:rFonts w:ascii="宋体" w:hAnsi="宋体" w:cs="宋体"/>
                <w:color w:val="auto"/>
                <w:kern w:val="0"/>
                <w:sz w:val="24"/>
                <w:highlight w:val="none"/>
              </w:rPr>
            </w:pPr>
          </w:p>
        </w:tc>
      </w:tr>
      <w:tr w14:paraId="0BA78E8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27C29A">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125220">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3F17E8">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CBF12D">
            <w:pPr>
              <w:spacing w:line="360" w:lineRule="auto"/>
              <w:jc w:val="center"/>
              <w:rPr>
                <w:rFonts w:ascii="宋体" w:hAnsi="宋体" w:cs="宋体"/>
                <w:color w:val="auto"/>
                <w:kern w:val="0"/>
                <w:sz w:val="24"/>
                <w:highlight w:val="none"/>
              </w:rPr>
            </w:pPr>
          </w:p>
        </w:tc>
      </w:tr>
      <w:tr w14:paraId="5F78F94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4B40BA">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D0273D">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04A413">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11EC95">
            <w:pPr>
              <w:spacing w:line="360" w:lineRule="auto"/>
              <w:jc w:val="center"/>
              <w:rPr>
                <w:rFonts w:ascii="宋体" w:hAnsi="宋体" w:cs="宋体"/>
                <w:color w:val="auto"/>
                <w:kern w:val="0"/>
                <w:sz w:val="24"/>
                <w:highlight w:val="none"/>
              </w:rPr>
            </w:pPr>
          </w:p>
        </w:tc>
      </w:tr>
    </w:tbl>
    <w:p w14:paraId="08AE7AB9">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49B687DD">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BA789A5">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209CE5E0">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461100F7">
      <w:pPr>
        <w:snapToGrid w:val="0"/>
        <w:spacing w:line="360" w:lineRule="auto"/>
        <w:jc w:val="left"/>
        <w:rPr>
          <w:rFonts w:hint="eastAsia" w:ascii="宋体" w:hAnsi="宋体"/>
          <w:color w:val="auto"/>
          <w:sz w:val="24"/>
          <w:highlight w:val="none"/>
        </w:rPr>
      </w:pPr>
    </w:p>
    <w:p w14:paraId="35C201A7">
      <w:pPr>
        <w:snapToGrid w:val="0"/>
        <w:spacing w:line="360" w:lineRule="auto"/>
        <w:jc w:val="left"/>
        <w:rPr>
          <w:rFonts w:hint="eastAsia" w:ascii="宋体" w:hAnsi="宋体"/>
          <w:color w:val="auto"/>
          <w:sz w:val="24"/>
          <w:highlight w:val="none"/>
        </w:rPr>
      </w:pPr>
    </w:p>
    <w:p w14:paraId="6C2140A6">
      <w:pPr>
        <w:snapToGrid w:val="0"/>
        <w:spacing w:line="360" w:lineRule="auto"/>
        <w:jc w:val="left"/>
        <w:rPr>
          <w:rFonts w:hint="eastAsia" w:ascii="宋体" w:hAnsi="宋体"/>
          <w:color w:val="auto"/>
          <w:sz w:val="24"/>
          <w:highlight w:val="none"/>
        </w:rPr>
      </w:pPr>
    </w:p>
    <w:p w14:paraId="086A34B6">
      <w:pPr>
        <w:snapToGrid w:val="0"/>
        <w:spacing w:line="360" w:lineRule="auto"/>
        <w:jc w:val="left"/>
        <w:rPr>
          <w:rFonts w:hint="eastAsia"/>
          <w:color w:val="auto"/>
          <w:sz w:val="24"/>
          <w:highlight w:val="none"/>
        </w:rPr>
      </w:pPr>
    </w:p>
    <w:p w14:paraId="6D0657A1">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6A7B0055">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 xml:space="preserve">                                  供应商名称（电子签章）：</w:t>
      </w:r>
    </w:p>
    <w:p w14:paraId="14702481">
      <w:pPr>
        <w:snapToGrid w:val="0"/>
        <w:spacing w:line="360" w:lineRule="auto"/>
        <w:ind w:right="480" w:firstLine="240" w:firstLineChars="100"/>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5281BA86">
      <w:pPr>
        <w:snapToGrid w:val="0"/>
        <w:spacing w:before="120" w:beforeLines="50" w:after="50"/>
        <w:jc w:val="left"/>
        <w:rPr>
          <w:rFonts w:hint="eastAsia" w:ascii="宋体" w:hAnsi="宋体"/>
          <w:color w:val="auto"/>
          <w:sz w:val="24"/>
          <w:highlight w:val="none"/>
        </w:rPr>
      </w:pPr>
    </w:p>
    <w:p w14:paraId="6408392E">
      <w:pPr>
        <w:snapToGrid w:val="0"/>
        <w:spacing w:before="50" w:after="120" w:afterLines="50"/>
        <w:jc w:val="left"/>
        <w:rPr>
          <w:rFonts w:hint="eastAsia" w:ascii="宋体" w:hAnsi="宋体"/>
          <w:color w:val="auto"/>
          <w:szCs w:val="21"/>
          <w:highlight w:val="none"/>
        </w:rPr>
      </w:pPr>
    </w:p>
    <w:p w14:paraId="22D509C1">
      <w:pPr>
        <w:snapToGrid w:val="0"/>
        <w:spacing w:before="120" w:beforeLines="50" w:after="50"/>
        <w:jc w:val="left"/>
        <w:rPr>
          <w:rFonts w:hint="eastAsia" w:ascii="宋体" w:hAnsi="宋体"/>
          <w:b/>
          <w:color w:val="auto"/>
          <w:sz w:val="24"/>
          <w:szCs w:val="20"/>
          <w:highlight w:val="none"/>
        </w:rPr>
      </w:pPr>
    </w:p>
    <w:p w14:paraId="2423E29C">
      <w:pPr>
        <w:snapToGrid w:val="0"/>
        <w:spacing w:before="120" w:beforeLines="50" w:after="50"/>
        <w:ind w:left="142"/>
        <w:jc w:val="left"/>
        <w:rPr>
          <w:rFonts w:hint="eastAsia" w:ascii="宋体" w:hAnsi="宋体"/>
          <w:b/>
          <w:color w:val="auto"/>
          <w:sz w:val="24"/>
          <w:highlight w:val="none"/>
        </w:rPr>
      </w:pPr>
    </w:p>
    <w:p w14:paraId="102A5C2F">
      <w:pPr>
        <w:snapToGrid w:val="0"/>
        <w:spacing w:before="120" w:beforeLines="50" w:after="50"/>
        <w:ind w:left="142"/>
        <w:jc w:val="left"/>
        <w:rPr>
          <w:rFonts w:hint="eastAsia" w:ascii="宋体" w:hAnsi="宋体"/>
          <w:b/>
          <w:color w:val="auto"/>
          <w:sz w:val="24"/>
          <w:highlight w:val="none"/>
        </w:rPr>
      </w:pPr>
    </w:p>
    <w:p w14:paraId="68EDB2EB">
      <w:pPr>
        <w:snapToGrid w:val="0"/>
        <w:spacing w:before="120" w:beforeLines="50" w:after="50"/>
        <w:ind w:left="142"/>
        <w:jc w:val="left"/>
        <w:rPr>
          <w:rFonts w:hint="eastAsia" w:ascii="宋体" w:hAnsi="宋体"/>
          <w:b/>
          <w:color w:val="auto"/>
          <w:sz w:val="24"/>
          <w:highlight w:val="none"/>
        </w:rPr>
      </w:pPr>
    </w:p>
    <w:p w14:paraId="3BBCF2C8">
      <w:pPr>
        <w:snapToGrid w:val="0"/>
        <w:spacing w:before="120" w:beforeLines="50" w:after="50"/>
        <w:ind w:left="142"/>
        <w:jc w:val="left"/>
        <w:rPr>
          <w:rFonts w:hint="eastAsia" w:ascii="宋体" w:hAnsi="宋体"/>
          <w:b/>
          <w:color w:val="auto"/>
          <w:sz w:val="24"/>
          <w:highlight w:val="none"/>
        </w:rPr>
      </w:pPr>
    </w:p>
    <w:p w14:paraId="2036DFA9">
      <w:pPr>
        <w:snapToGrid w:val="0"/>
        <w:spacing w:before="120" w:beforeLines="50" w:after="50"/>
        <w:ind w:left="142"/>
        <w:jc w:val="left"/>
        <w:rPr>
          <w:rFonts w:hint="eastAsia" w:ascii="宋体" w:hAnsi="宋体"/>
          <w:b/>
          <w:color w:val="auto"/>
          <w:sz w:val="24"/>
          <w:highlight w:val="none"/>
        </w:rPr>
      </w:pPr>
    </w:p>
    <w:p w14:paraId="5D8BAD23">
      <w:pPr>
        <w:spacing w:line="320" w:lineRule="exact"/>
        <w:jc w:val="center"/>
        <w:rPr>
          <w:rFonts w:hint="eastAsia" w:ascii="宋体" w:hAnsi="宋体"/>
          <w:color w:val="auto"/>
          <w:sz w:val="28"/>
          <w:szCs w:val="28"/>
          <w:highlight w:val="none"/>
        </w:rPr>
      </w:pPr>
    </w:p>
    <w:p w14:paraId="17956943">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lang w:eastAsia="zh-CN"/>
        </w:rPr>
        <w:t>竞标</w:t>
      </w:r>
      <w:r>
        <w:rPr>
          <w:rFonts w:hint="eastAsia" w:ascii="宋体" w:hAnsi="宋体"/>
          <w:b/>
          <w:color w:val="auto"/>
          <w:sz w:val="32"/>
          <w:szCs w:val="32"/>
          <w:highlight w:val="none"/>
        </w:rPr>
        <w:t>声明</w:t>
      </w:r>
    </w:p>
    <w:p w14:paraId="67BA42FC">
      <w:pPr>
        <w:spacing w:line="320" w:lineRule="exact"/>
        <w:jc w:val="center"/>
        <w:rPr>
          <w:rFonts w:hint="eastAsia" w:ascii="宋体" w:hAnsi="宋体"/>
          <w:color w:val="auto"/>
          <w:sz w:val="24"/>
          <w:szCs w:val="20"/>
          <w:highlight w:val="none"/>
        </w:rPr>
      </w:pPr>
    </w:p>
    <w:p w14:paraId="52A772B9">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158B43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CB4AB6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w:t>
      </w:r>
      <w:r>
        <w:rPr>
          <w:rFonts w:hint="eastAsia" w:ascii="宋体" w:hAnsi="宋体" w:cs="宋体"/>
          <w:color w:val="auto"/>
          <w:sz w:val="24"/>
          <w:highlight w:val="none"/>
          <w:lang w:eastAsia="zh-CN"/>
        </w:rPr>
        <w:t>竞标</w:t>
      </w:r>
      <w:r>
        <w:rPr>
          <w:rFonts w:hint="eastAsia" w:ascii="宋体" w:hAnsi="宋体" w:cs="宋体"/>
          <w:color w:val="auto"/>
          <w:sz w:val="24"/>
          <w:highlight w:val="none"/>
        </w:rPr>
        <w:t>，为便于贵方公正、择优地确定成交供应商及其</w:t>
      </w:r>
      <w:r>
        <w:rPr>
          <w:rFonts w:hint="eastAsia" w:ascii="宋体" w:hAnsi="宋体" w:cs="宋体"/>
          <w:color w:val="auto"/>
          <w:sz w:val="24"/>
          <w:highlight w:val="none"/>
          <w:lang w:eastAsia="zh-CN"/>
        </w:rPr>
        <w:t>响应</w:t>
      </w:r>
      <w:r>
        <w:rPr>
          <w:rFonts w:hint="eastAsia" w:ascii="宋体" w:hAnsi="宋体" w:cs="宋体"/>
          <w:color w:val="auto"/>
          <w:sz w:val="24"/>
          <w:highlight w:val="none"/>
        </w:rPr>
        <w:t>产品和服务，我方就本次</w:t>
      </w:r>
      <w:r>
        <w:rPr>
          <w:rFonts w:hint="eastAsia" w:ascii="宋体" w:hAnsi="宋体" w:cs="宋体"/>
          <w:color w:val="auto"/>
          <w:sz w:val="24"/>
          <w:highlight w:val="none"/>
          <w:lang w:eastAsia="zh-CN"/>
        </w:rPr>
        <w:t>竞标</w:t>
      </w:r>
      <w:r>
        <w:rPr>
          <w:rFonts w:hint="eastAsia" w:ascii="宋体" w:hAnsi="宋体" w:cs="宋体"/>
          <w:color w:val="auto"/>
          <w:sz w:val="24"/>
          <w:highlight w:val="none"/>
        </w:rPr>
        <w:t>有关事项郑重声明如下：</w:t>
      </w:r>
    </w:p>
    <w:p w14:paraId="5BA419E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28F964D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7937433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1FE33FF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3852C27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EABAA1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7C9DF61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w:t>
      </w:r>
      <w:r>
        <w:rPr>
          <w:rFonts w:hint="eastAsia" w:ascii="宋体" w:hAnsi="宋体" w:cs="宋体"/>
          <w:color w:val="auto"/>
          <w:sz w:val="24"/>
          <w:highlight w:val="none"/>
          <w:lang w:eastAsia="zh-CN"/>
        </w:rPr>
        <w:t>响应</w:t>
      </w:r>
      <w:r>
        <w:rPr>
          <w:rFonts w:hint="eastAsia" w:ascii="宋体" w:hAnsi="宋体" w:cs="宋体"/>
          <w:color w:val="auto"/>
          <w:sz w:val="24"/>
          <w:highlight w:val="none"/>
        </w:rPr>
        <w:t>有效期。</w:t>
      </w:r>
    </w:p>
    <w:p w14:paraId="043D366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3183EC1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3BD5D45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6060985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3F77EB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0DF2F1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7F3357A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065E391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902A93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EBD764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0CB512E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5AB7762">
      <w:pPr>
        <w:pStyle w:val="19"/>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36063373">
      <w:pPr>
        <w:pStyle w:val="19"/>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39B95A6E">
      <w:pPr>
        <w:pStyle w:val="17"/>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709F237C">
      <w:pPr>
        <w:pStyle w:val="17"/>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7D7AD1C">
      <w:pPr>
        <w:pStyle w:val="17"/>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37F7DB9E">
      <w:pPr>
        <w:spacing w:line="360" w:lineRule="auto"/>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w:t>
      </w:r>
      <w:r>
        <w:rPr>
          <w:rFonts w:hint="eastAsia" w:ascii="宋体" w:hAnsi="宋体"/>
          <w:b/>
          <w:color w:val="auto"/>
          <w:sz w:val="24"/>
          <w:highlight w:val="none"/>
          <w:lang w:eastAsia="zh-CN"/>
        </w:rPr>
        <w:t>竞标</w:t>
      </w:r>
      <w:r>
        <w:rPr>
          <w:rFonts w:hint="eastAsia" w:ascii="宋体" w:hAnsi="宋体"/>
          <w:b/>
          <w:color w:val="auto"/>
          <w:sz w:val="24"/>
          <w:highlight w:val="none"/>
        </w:rPr>
        <w:t>，盖章处须加盖联合体牵头人电子签章并由联合体牵头人法定代表人分别签字或者盖章或者电子签名，否则响应文件按无效处理。</w:t>
      </w:r>
    </w:p>
    <w:p w14:paraId="02510EC9">
      <w:pPr>
        <w:spacing w:line="360" w:lineRule="auto"/>
        <w:contextualSpacing/>
        <w:jc w:val="left"/>
        <w:rPr>
          <w:rFonts w:hint="eastAsia" w:ascii="宋体" w:hAnsi="宋体" w:cs="宋体"/>
          <w:color w:val="auto"/>
          <w:szCs w:val="21"/>
          <w:highlight w:val="none"/>
        </w:rPr>
      </w:pPr>
    </w:p>
    <w:p w14:paraId="576F6D7D">
      <w:pPr>
        <w:spacing w:line="360" w:lineRule="auto"/>
        <w:ind w:firstLine="1800" w:firstLineChars="750"/>
        <w:contextualSpacing/>
        <w:rPr>
          <w:rFonts w:hint="eastAsia"/>
          <w:color w:val="auto"/>
          <w:sz w:val="24"/>
          <w:szCs w:val="24"/>
          <w:highlight w:val="none"/>
        </w:rPr>
      </w:pPr>
      <w:r>
        <w:rPr>
          <w:rFonts w:hint="eastAsia"/>
          <w:color w:val="auto"/>
          <w:sz w:val="24"/>
          <w:szCs w:val="24"/>
          <w:highlight w:val="none"/>
        </w:rPr>
        <w:t>法定代表人或者委托代理人（签字或者电子签名）：</w:t>
      </w:r>
      <w:r>
        <w:rPr>
          <w:rFonts w:hint="eastAsia"/>
          <w:color w:val="auto"/>
          <w:sz w:val="24"/>
          <w:szCs w:val="24"/>
          <w:highlight w:val="none"/>
          <w:u w:val="single"/>
        </w:rPr>
        <w:t xml:space="preserve">           </w:t>
      </w:r>
      <w:r>
        <w:rPr>
          <w:rFonts w:hint="eastAsia"/>
          <w:color w:val="auto"/>
          <w:sz w:val="24"/>
          <w:szCs w:val="24"/>
          <w:highlight w:val="none"/>
        </w:rPr>
        <w:t xml:space="preserve">                                     </w:t>
      </w:r>
    </w:p>
    <w:p w14:paraId="187758D2">
      <w:pPr>
        <w:spacing w:line="360" w:lineRule="auto"/>
        <w:ind w:firstLine="4320" w:firstLineChars="1800"/>
        <w:contextualSpacing/>
        <w:rPr>
          <w:rFonts w:hint="eastAsia" w:ascii="宋体" w:hAnsi="宋体" w:cs="宋体"/>
          <w:color w:val="auto"/>
          <w:sz w:val="24"/>
          <w:szCs w:val="24"/>
          <w:highlight w:val="none"/>
          <w:u w:val="single"/>
        </w:rPr>
      </w:pPr>
      <w:r>
        <w:rPr>
          <w:rFonts w:hint="eastAsia"/>
          <w:color w:val="auto"/>
          <w:sz w:val="24"/>
          <w:szCs w:val="24"/>
          <w:highlight w:val="none"/>
        </w:rPr>
        <w:t>供应商名称（电子签章）：</w:t>
      </w:r>
      <w:r>
        <w:rPr>
          <w:rFonts w:hint="eastAsia"/>
          <w:color w:val="auto"/>
          <w:sz w:val="24"/>
          <w:szCs w:val="24"/>
          <w:highlight w:val="none"/>
          <w:u w:val="single"/>
        </w:rPr>
        <w:t xml:space="preserve">                               </w:t>
      </w:r>
      <w:r>
        <w:rPr>
          <w:rFonts w:hint="eastAsia"/>
          <w:color w:val="auto"/>
          <w:sz w:val="24"/>
          <w:szCs w:val="24"/>
          <w:highlight w:val="none"/>
        </w:rPr>
        <w:t xml:space="preserve">       </w:t>
      </w:r>
      <w:r>
        <w:rPr>
          <w:rFonts w:hint="eastAsia" w:ascii="宋体" w:hAnsi="宋体" w:cs="宋体"/>
          <w:color w:val="auto"/>
          <w:sz w:val="24"/>
          <w:szCs w:val="24"/>
          <w:highlight w:val="none"/>
        </w:rPr>
        <w:t xml:space="preserve">    </w:t>
      </w:r>
    </w:p>
    <w:p w14:paraId="50E1CD59">
      <w:pPr>
        <w:pStyle w:val="17"/>
        <w:tabs>
          <w:tab w:val="left" w:pos="939"/>
        </w:tabs>
        <w:spacing w:line="360" w:lineRule="auto"/>
        <w:ind w:left="0" w:leftChars="0" w:firstLine="480" w:firstLineChars="200"/>
        <w:rPr>
          <w:rFonts w:hint="eastAsia"/>
          <w:color w:val="auto"/>
          <w:sz w:val="24"/>
          <w:szCs w:val="24"/>
          <w:highlight w:val="none"/>
        </w:rPr>
      </w:pPr>
      <w:r>
        <w:rPr>
          <w:rFonts w:hint="eastAsia" w:ascii="宋体" w:hAnsi="宋体" w:cs="宋体"/>
          <w:color w:val="auto"/>
          <w:sz w:val="24"/>
          <w:szCs w:val="24"/>
          <w:highlight w:val="none"/>
        </w:rPr>
        <w:t xml:space="preserve">                                                        </w:t>
      </w:r>
      <w:r>
        <w:rPr>
          <w:rFonts w:hint="eastAsia"/>
          <w:color w:val="auto"/>
          <w:sz w:val="24"/>
          <w:szCs w:val="24"/>
          <w:highlight w:val="none"/>
        </w:rPr>
        <w:t xml:space="preserve"> 年    月    日</w:t>
      </w:r>
    </w:p>
    <w:p w14:paraId="41976482">
      <w:pPr>
        <w:snapToGrid w:val="0"/>
        <w:spacing w:line="360" w:lineRule="auto"/>
        <w:jc w:val="left"/>
        <w:outlineLvl w:val="1"/>
        <w:rPr>
          <w:rFonts w:ascii="宋体" w:hAnsi="宋体"/>
          <w:b/>
          <w:color w:val="auto"/>
          <w:sz w:val="32"/>
          <w:szCs w:val="32"/>
          <w:highlight w:val="none"/>
        </w:rPr>
      </w:pPr>
      <w:r>
        <w:rPr>
          <w:rFonts w:hint="eastAsia"/>
          <w:color w:val="auto"/>
          <w:sz w:val="24"/>
          <w:szCs w:val="24"/>
          <w:highlight w:val="none"/>
        </w:rPr>
        <w:br w:type="page"/>
      </w:r>
      <w:bookmarkStart w:id="128" w:name="_Toc14263"/>
      <w:r>
        <w:rPr>
          <w:rFonts w:hint="eastAsia" w:ascii="宋体" w:hAnsi="宋体"/>
          <w:b/>
          <w:bCs/>
          <w:color w:val="auto"/>
          <w:sz w:val="32"/>
          <w:szCs w:val="32"/>
          <w:highlight w:val="none"/>
        </w:rPr>
        <w:t>二、</w:t>
      </w:r>
      <w:r>
        <w:rPr>
          <w:rFonts w:hint="eastAsia" w:ascii="宋体" w:hAnsi="宋体"/>
          <w:b/>
          <w:color w:val="auto"/>
          <w:sz w:val="32"/>
          <w:szCs w:val="32"/>
          <w:highlight w:val="none"/>
        </w:rPr>
        <w:t>报价文件格式</w:t>
      </w:r>
      <w:bookmarkEnd w:id="128"/>
      <w:r>
        <w:rPr>
          <w:rFonts w:hint="eastAsia" w:ascii="宋体" w:hAnsi="宋体"/>
          <w:b/>
          <w:color w:val="auto"/>
          <w:sz w:val="32"/>
          <w:szCs w:val="32"/>
          <w:highlight w:val="none"/>
        </w:rPr>
        <w:t xml:space="preserve"> </w:t>
      </w:r>
    </w:p>
    <w:p w14:paraId="636471DA">
      <w:pPr>
        <w:snapToGrid w:val="0"/>
        <w:spacing w:line="360" w:lineRule="auto"/>
        <w:jc w:val="left"/>
        <w:outlineLvl w:val="1"/>
        <w:rPr>
          <w:rFonts w:hint="eastAsia" w:ascii="宋体" w:hAnsi="宋体"/>
          <w:b/>
          <w:color w:val="auto"/>
          <w:sz w:val="32"/>
          <w:szCs w:val="32"/>
          <w:highlight w:val="none"/>
        </w:rPr>
      </w:pPr>
      <w:bookmarkStart w:id="129" w:name="_Toc13065"/>
      <w:r>
        <w:rPr>
          <w:rFonts w:hint="eastAsia" w:ascii="宋体" w:hAnsi="宋体"/>
          <w:b/>
          <w:color w:val="auto"/>
          <w:sz w:val="32"/>
          <w:szCs w:val="32"/>
          <w:highlight w:val="none"/>
        </w:rPr>
        <w:t>1.报价文件封面格式</w:t>
      </w:r>
      <w:bookmarkEnd w:id="129"/>
    </w:p>
    <w:p w14:paraId="082C3D50">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14A27FC8">
      <w:pPr>
        <w:snapToGrid w:val="0"/>
        <w:spacing w:before="120"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34D676CD">
      <w:pPr>
        <w:snapToGrid w:val="0"/>
        <w:spacing w:before="120" w:beforeLines="50" w:after="50"/>
        <w:rPr>
          <w:rFonts w:hint="eastAsia" w:ascii="宋体" w:hAnsi="宋体"/>
          <w:color w:val="auto"/>
          <w:sz w:val="24"/>
          <w:szCs w:val="20"/>
          <w:highlight w:val="none"/>
        </w:rPr>
      </w:pPr>
    </w:p>
    <w:p w14:paraId="057BDEDB">
      <w:pPr>
        <w:snapToGrid w:val="0"/>
        <w:spacing w:before="120" w:beforeLines="50" w:after="50"/>
        <w:rPr>
          <w:rFonts w:hint="eastAsia" w:ascii="宋体" w:hAnsi="宋体"/>
          <w:color w:val="auto"/>
          <w:sz w:val="24"/>
          <w:szCs w:val="20"/>
          <w:highlight w:val="none"/>
        </w:rPr>
      </w:pPr>
    </w:p>
    <w:p w14:paraId="58F0C075">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70FDB55E">
      <w:pPr>
        <w:snapToGrid w:val="0"/>
        <w:spacing w:before="120" w:beforeLines="50" w:after="50"/>
        <w:rPr>
          <w:rFonts w:hint="eastAsia" w:ascii="宋体" w:hAnsi="宋体"/>
          <w:bCs/>
          <w:color w:val="auto"/>
          <w:sz w:val="24"/>
          <w:szCs w:val="20"/>
          <w:highlight w:val="none"/>
        </w:rPr>
      </w:pPr>
    </w:p>
    <w:p w14:paraId="4126A604">
      <w:pPr>
        <w:snapToGrid w:val="0"/>
        <w:spacing w:before="120" w:beforeLines="50" w:after="50"/>
        <w:rPr>
          <w:rFonts w:hint="eastAsia" w:ascii="宋体" w:hAnsi="宋体"/>
          <w:bCs/>
          <w:color w:val="auto"/>
          <w:sz w:val="24"/>
          <w:szCs w:val="20"/>
          <w:highlight w:val="none"/>
        </w:rPr>
      </w:pPr>
    </w:p>
    <w:p w14:paraId="5345ACA4">
      <w:pPr>
        <w:snapToGrid w:val="0"/>
        <w:spacing w:before="120" w:beforeLines="50" w:after="50"/>
        <w:rPr>
          <w:rFonts w:hint="eastAsia" w:ascii="宋体" w:hAnsi="宋体"/>
          <w:bCs/>
          <w:color w:val="auto"/>
          <w:sz w:val="24"/>
          <w:szCs w:val="20"/>
          <w:highlight w:val="none"/>
        </w:rPr>
      </w:pPr>
    </w:p>
    <w:p w14:paraId="5B2269D4">
      <w:pPr>
        <w:snapToGrid w:val="0"/>
        <w:spacing w:before="120" w:beforeLines="50" w:after="50"/>
        <w:rPr>
          <w:rFonts w:hint="eastAsia" w:ascii="宋体" w:hAnsi="宋体"/>
          <w:bCs/>
          <w:color w:val="auto"/>
          <w:sz w:val="24"/>
          <w:szCs w:val="20"/>
          <w:highlight w:val="none"/>
        </w:rPr>
      </w:pPr>
    </w:p>
    <w:p w14:paraId="741214FB">
      <w:pPr>
        <w:snapToGrid w:val="0"/>
        <w:spacing w:before="120" w:beforeLines="50" w:after="50"/>
        <w:rPr>
          <w:rFonts w:hint="eastAsia" w:ascii="宋体" w:hAnsi="宋体"/>
          <w:bCs/>
          <w:color w:val="auto"/>
          <w:sz w:val="24"/>
          <w:szCs w:val="20"/>
          <w:highlight w:val="none"/>
        </w:rPr>
      </w:pPr>
    </w:p>
    <w:p w14:paraId="760726ED">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198A284">
      <w:pPr>
        <w:snapToGrid w:val="0"/>
        <w:spacing w:before="120" w:beforeLines="50" w:after="50"/>
        <w:ind w:firstLine="720" w:firstLineChars="225"/>
        <w:rPr>
          <w:rFonts w:hint="eastAsia" w:ascii="宋体" w:hAnsi="宋体" w:cs="仿宋_GB2312"/>
          <w:bCs/>
          <w:color w:val="auto"/>
          <w:sz w:val="32"/>
          <w:szCs w:val="32"/>
          <w:highlight w:val="none"/>
        </w:rPr>
      </w:pPr>
    </w:p>
    <w:p w14:paraId="7D4D3F98">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5200D1F">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C83DA50">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D000D2E">
      <w:pPr>
        <w:snapToGrid w:val="0"/>
        <w:spacing w:before="120" w:beforeLines="50" w:after="50"/>
        <w:ind w:firstLine="720" w:firstLineChars="225"/>
        <w:rPr>
          <w:rFonts w:hint="eastAsia" w:ascii="宋体" w:hAnsi="宋体" w:cs="仿宋_GB2312"/>
          <w:bCs/>
          <w:color w:val="auto"/>
          <w:sz w:val="32"/>
          <w:szCs w:val="32"/>
          <w:highlight w:val="none"/>
        </w:rPr>
      </w:pPr>
    </w:p>
    <w:p w14:paraId="57D023D9">
      <w:pPr>
        <w:pStyle w:val="6"/>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BEEC3D7">
      <w:pPr>
        <w:pStyle w:val="6"/>
        <w:snapToGrid w:val="0"/>
        <w:spacing w:before="50" w:after="50"/>
        <w:ind w:firstLine="640" w:firstLineChars="200"/>
        <w:rPr>
          <w:rFonts w:hint="eastAsia" w:ascii="宋体" w:hAnsi="宋体" w:cs="仿宋_GB2312"/>
          <w:bCs/>
          <w:color w:val="auto"/>
          <w:sz w:val="32"/>
          <w:szCs w:val="32"/>
          <w:highlight w:val="none"/>
        </w:rPr>
      </w:pPr>
    </w:p>
    <w:p w14:paraId="0A7EF44B">
      <w:pPr>
        <w:pStyle w:val="6"/>
        <w:snapToGrid w:val="0"/>
        <w:spacing w:before="50" w:after="50"/>
        <w:ind w:firstLine="720" w:firstLineChars="225"/>
        <w:rPr>
          <w:rFonts w:hint="eastAsia" w:ascii="宋体" w:hAnsi="宋体" w:cs="仿宋_GB2312"/>
          <w:bCs/>
          <w:color w:val="auto"/>
          <w:sz w:val="32"/>
          <w:szCs w:val="32"/>
          <w:highlight w:val="none"/>
        </w:rPr>
      </w:pPr>
    </w:p>
    <w:p w14:paraId="40D58F15">
      <w:pPr>
        <w:pStyle w:val="6"/>
        <w:snapToGrid w:val="0"/>
        <w:spacing w:before="50" w:after="50"/>
        <w:ind w:firstLine="0"/>
        <w:rPr>
          <w:rFonts w:hint="eastAsia" w:ascii="宋体" w:hAnsi="宋体" w:cs="仿宋_GB2312"/>
          <w:bCs/>
          <w:color w:val="auto"/>
          <w:sz w:val="32"/>
          <w:szCs w:val="32"/>
          <w:highlight w:val="none"/>
        </w:rPr>
      </w:pPr>
    </w:p>
    <w:p w14:paraId="4786419A">
      <w:pPr>
        <w:pStyle w:val="6"/>
        <w:snapToGrid w:val="0"/>
        <w:spacing w:before="50" w:after="50"/>
        <w:ind w:firstLine="1280" w:firstLineChars="400"/>
        <w:rPr>
          <w:rFonts w:hint="eastAsia" w:ascii="宋体" w:hAnsi="宋体" w:cs="仿宋_GB2312"/>
          <w:bCs/>
          <w:color w:val="auto"/>
          <w:sz w:val="32"/>
          <w:szCs w:val="32"/>
          <w:highlight w:val="none"/>
        </w:rPr>
      </w:pPr>
    </w:p>
    <w:p w14:paraId="7FDDE51D">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9487ADC">
      <w:pPr>
        <w:snapToGrid w:val="0"/>
        <w:spacing w:line="360" w:lineRule="auto"/>
        <w:jc w:val="left"/>
        <w:outlineLvl w:val="1"/>
        <w:rPr>
          <w:rFonts w:hint="eastAsia" w:ascii="宋体" w:hAnsi="宋体"/>
          <w:b/>
          <w:bCs/>
          <w:color w:val="auto"/>
          <w:sz w:val="24"/>
          <w:highlight w:val="none"/>
        </w:rPr>
      </w:pPr>
      <w:r>
        <w:rPr>
          <w:rFonts w:hint="eastAsia" w:ascii="宋体" w:hAnsi="宋体"/>
          <w:color w:val="auto"/>
          <w:szCs w:val="21"/>
          <w:highlight w:val="none"/>
        </w:rPr>
        <w:br w:type="page"/>
      </w:r>
      <w:bookmarkStart w:id="130" w:name="_Toc7360"/>
      <w:r>
        <w:rPr>
          <w:rFonts w:hint="eastAsia" w:ascii="宋体" w:hAnsi="宋体"/>
          <w:b/>
          <w:bCs/>
          <w:color w:val="auto"/>
          <w:sz w:val="32"/>
          <w:szCs w:val="32"/>
          <w:highlight w:val="none"/>
        </w:rPr>
        <w:t>2.报价文件目录</w:t>
      </w:r>
      <w:bookmarkEnd w:id="130"/>
    </w:p>
    <w:p w14:paraId="5F229A9D">
      <w:pPr>
        <w:snapToGrid w:val="0"/>
        <w:spacing w:before="165" w:beforeLines="50" w:after="50" w:line="360" w:lineRule="auto"/>
        <w:ind w:left="142" w:firstLine="640" w:firstLineChars="200"/>
        <w:jc w:val="center"/>
        <w:rPr>
          <w:rFonts w:hint="eastAsia" w:hAnsi="宋体" w:cs="宋体"/>
          <w:b/>
          <w:bCs/>
          <w:color w:val="auto"/>
          <w:sz w:val="30"/>
          <w:szCs w:val="30"/>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r>
        <w:rPr>
          <w:rFonts w:hint="eastAsia" w:hAnsi="宋体" w:cs="宋体"/>
          <w:b/>
          <w:bCs/>
          <w:color w:val="auto"/>
          <w:sz w:val="30"/>
          <w:szCs w:val="30"/>
          <w:highlight w:val="none"/>
          <w:lang w:val="en-US" w:eastAsia="zh-CN"/>
        </w:rPr>
        <w:t>竞标函</w:t>
      </w:r>
    </w:p>
    <w:p w14:paraId="082C4E98">
      <w:pPr>
        <w:pStyle w:val="19"/>
        <w:spacing w:line="360" w:lineRule="auto"/>
        <w:rPr>
          <w:rFonts w:hint="default" w:hAnsi="宋体" w:eastAsia="宋体" w:cs="宋体"/>
          <w:color w:val="auto"/>
          <w:sz w:val="24"/>
          <w:szCs w:val="24"/>
          <w:highlight w:val="none"/>
          <w:lang w:val="en-US" w:eastAsia="zh-CN"/>
        </w:rPr>
      </w:pPr>
      <w:r>
        <w:rPr>
          <w:rFonts w:hint="eastAsia" w:hAnsi="宋体" w:cs="宋体"/>
          <w:color w:val="auto"/>
          <w:sz w:val="24"/>
          <w:szCs w:val="24"/>
          <w:highlight w:val="none"/>
        </w:rPr>
        <w:t>致：</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 xml:space="preserve">                         </w:t>
      </w:r>
    </w:p>
    <w:p w14:paraId="4CC9FE7F">
      <w:pPr>
        <w:pStyle w:val="19"/>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我方已仔细阅读了贵方组织的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项目（项目编号：</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）的竞争性磋商文件的全部内容，现正式递交下述文件参加贵方组织的本次政府采购活动： </w:t>
      </w:r>
    </w:p>
    <w:p w14:paraId="4821956D">
      <w:pPr>
        <w:pStyle w:val="19"/>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一、首次报价文件电子版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w:t>
      </w:r>
      <w:r>
        <w:rPr>
          <w:rFonts w:hint="eastAsia" w:hAnsi="宋体" w:cs="宋体"/>
          <w:color w:val="auto"/>
          <w:sz w:val="24"/>
          <w:szCs w:val="24"/>
          <w:highlight w:val="none"/>
          <w:lang w:val="en-US" w:eastAsia="zh-CN"/>
        </w:rPr>
        <w:t>二</w:t>
      </w:r>
      <w:r>
        <w:rPr>
          <w:rFonts w:hint="eastAsia" w:hAnsi="宋体" w:cs="宋体"/>
          <w:color w:val="auto"/>
          <w:sz w:val="24"/>
          <w:szCs w:val="24"/>
          <w:highlight w:val="none"/>
        </w:rPr>
        <w:t>章 供应商须知”提交的全部文件）；</w:t>
      </w:r>
    </w:p>
    <w:p w14:paraId="00BCB4AE">
      <w:pPr>
        <w:pStyle w:val="19"/>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二、商务技术文件电子版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w:t>
      </w:r>
      <w:r>
        <w:rPr>
          <w:rFonts w:hint="eastAsia" w:hAnsi="宋体" w:cs="宋体"/>
          <w:color w:val="auto"/>
          <w:sz w:val="24"/>
          <w:szCs w:val="24"/>
          <w:highlight w:val="none"/>
          <w:lang w:val="en-US" w:eastAsia="zh-CN"/>
        </w:rPr>
        <w:t>二</w:t>
      </w:r>
      <w:r>
        <w:rPr>
          <w:rFonts w:hint="eastAsia" w:hAnsi="宋体" w:cs="宋体"/>
          <w:color w:val="auto"/>
          <w:sz w:val="24"/>
          <w:szCs w:val="24"/>
          <w:highlight w:val="none"/>
        </w:rPr>
        <w:t>章 供应商须知”提交的全部文件）；</w:t>
      </w:r>
    </w:p>
    <w:p w14:paraId="2C68C4DC">
      <w:pPr>
        <w:pStyle w:val="19"/>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三、资格证明文件电子版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w:t>
      </w:r>
      <w:r>
        <w:rPr>
          <w:rFonts w:hint="eastAsia" w:hAnsi="宋体" w:cs="宋体"/>
          <w:color w:val="auto"/>
          <w:sz w:val="24"/>
          <w:szCs w:val="24"/>
          <w:highlight w:val="none"/>
          <w:lang w:val="en-US" w:eastAsia="zh-CN"/>
        </w:rPr>
        <w:t>二</w:t>
      </w:r>
      <w:r>
        <w:rPr>
          <w:rFonts w:hint="eastAsia" w:hAnsi="宋体" w:cs="宋体"/>
          <w:color w:val="auto"/>
          <w:sz w:val="24"/>
          <w:szCs w:val="24"/>
          <w:highlight w:val="none"/>
        </w:rPr>
        <w:t>章供应商须知”提交的全部文件）；</w:t>
      </w:r>
    </w:p>
    <w:p w14:paraId="37E58EF9">
      <w:pPr>
        <w:pStyle w:val="19"/>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据此函，签字人兹宣布：</w:t>
      </w:r>
    </w:p>
    <w:p w14:paraId="6D14EFAC">
      <w:pPr>
        <w:pStyle w:val="19"/>
        <w:spacing w:line="360" w:lineRule="auto"/>
        <w:ind w:firstLine="482"/>
        <w:rPr>
          <w:rFonts w:hint="eastAsia" w:hAnsi="宋体" w:cs="宋体"/>
          <w:color w:val="auto"/>
          <w:sz w:val="24"/>
          <w:szCs w:val="24"/>
          <w:highlight w:val="none"/>
        </w:rPr>
      </w:pPr>
      <w:r>
        <w:rPr>
          <w:rFonts w:hint="eastAsia" w:hAnsi="宋体" w:cs="宋体"/>
          <w:color w:val="auto"/>
          <w:sz w:val="24"/>
          <w:szCs w:val="24"/>
          <w:highlight w:val="none"/>
        </w:rPr>
        <w:t>1.我方愿意以（大写）人民币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元)的竞标总报价，合同履行期限：</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eastAsia="zh-CN"/>
        </w:rPr>
        <w:t>工期：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，提供本项目竞争性磋商文件第</w:t>
      </w:r>
      <w:r>
        <w:rPr>
          <w:rFonts w:hint="eastAsia" w:hAnsi="宋体" w:cs="宋体"/>
          <w:color w:val="auto"/>
          <w:sz w:val="24"/>
          <w:szCs w:val="24"/>
          <w:highlight w:val="none"/>
          <w:lang w:val="en-US" w:eastAsia="zh-CN"/>
        </w:rPr>
        <w:t>三</w:t>
      </w:r>
      <w:r>
        <w:rPr>
          <w:rFonts w:hint="eastAsia" w:hAnsi="宋体" w:cs="宋体"/>
          <w:color w:val="auto"/>
          <w:sz w:val="24"/>
          <w:szCs w:val="24"/>
          <w:highlight w:val="none"/>
        </w:rPr>
        <w:t>章“采购需求”中相应的采购内容。</w:t>
      </w:r>
    </w:p>
    <w:p w14:paraId="53CEA318">
      <w:pPr>
        <w:pStyle w:val="19"/>
        <w:spacing w:line="360" w:lineRule="auto"/>
        <w:ind w:firstLine="482"/>
        <w:rPr>
          <w:rFonts w:hint="eastAsia" w:hAnsi="宋体" w:cs="宋体"/>
          <w:color w:val="auto"/>
          <w:sz w:val="24"/>
          <w:szCs w:val="24"/>
          <w:highlight w:val="none"/>
        </w:rPr>
      </w:pPr>
      <w:r>
        <w:rPr>
          <w:rFonts w:hint="eastAsia" w:hAnsi="宋体" w:cs="宋体"/>
          <w:color w:val="auto"/>
          <w:sz w:val="24"/>
          <w:szCs w:val="24"/>
          <w:highlight w:val="none"/>
        </w:rPr>
        <w:t>2.我方同意自本项目竞争性磋商文件采购公告规定的递交响应文件截止时间起遵循本</w:t>
      </w:r>
      <w:r>
        <w:rPr>
          <w:rFonts w:hint="eastAsia" w:hAnsi="宋体" w:cs="宋体"/>
          <w:color w:val="auto"/>
          <w:sz w:val="24"/>
          <w:szCs w:val="24"/>
          <w:highlight w:val="none"/>
          <w:lang w:val="en-US" w:eastAsia="zh-CN"/>
        </w:rPr>
        <w:t>竞标</w:t>
      </w:r>
      <w:r>
        <w:rPr>
          <w:rFonts w:hint="eastAsia" w:hAnsi="宋体" w:cs="宋体"/>
          <w:color w:val="auto"/>
          <w:sz w:val="24"/>
          <w:szCs w:val="24"/>
          <w:highlight w:val="none"/>
        </w:rPr>
        <w:t>函，并承诺在“第</w:t>
      </w:r>
      <w:r>
        <w:rPr>
          <w:rFonts w:hint="eastAsia" w:hAnsi="宋体" w:cs="宋体"/>
          <w:color w:val="auto"/>
          <w:sz w:val="24"/>
          <w:szCs w:val="24"/>
          <w:highlight w:val="none"/>
          <w:lang w:val="en-US" w:eastAsia="zh-CN"/>
        </w:rPr>
        <w:t>二</w:t>
      </w:r>
      <w:r>
        <w:rPr>
          <w:rFonts w:hint="eastAsia" w:hAnsi="宋体" w:cs="宋体"/>
          <w:color w:val="auto"/>
          <w:sz w:val="24"/>
          <w:szCs w:val="24"/>
          <w:highlight w:val="none"/>
        </w:rPr>
        <w:t>章 供应商须知”规定的竞标有效期内不修改、撤销响应文件。</w:t>
      </w:r>
    </w:p>
    <w:p w14:paraId="07AE4797">
      <w:pPr>
        <w:pStyle w:val="19"/>
        <w:spacing w:line="360" w:lineRule="auto"/>
        <w:ind w:firstLine="482"/>
        <w:rPr>
          <w:rFonts w:hint="eastAsia" w:hAnsi="宋体" w:cs="宋体"/>
          <w:color w:val="auto"/>
          <w:sz w:val="24"/>
          <w:szCs w:val="24"/>
          <w:highlight w:val="none"/>
        </w:rPr>
      </w:pPr>
      <w:r>
        <w:rPr>
          <w:rFonts w:hint="eastAsia" w:hAnsi="宋体" w:cs="宋体"/>
          <w:color w:val="auto"/>
          <w:sz w:val="24"/>
          <w:szCs w:val="24"/>
          <w:highlight w:val="none"/>
        </w:rPr>
        <w:t>3.我方在此声明，所递交的响应文件及有关资料内容完整、真实和准确。</w:t>
      </w:r>
    </w:p>
    <w:p w14:paraId="2EEDF2AF">
      <w:pPr>
        <w:pStyle w:val="19"/>
        <w:spacing w:line="360" w:lineRule="auto"/>
        <w:ind w:firstLine="482"/>
        <w:rPr>
          <w:rFonts w:hint="eastAsia" w:hAnsi="宋体" w:cs="宋体"/>
          <w:color w:val="auto"/>
          <w:sz w:val="24"/>
          <w:szCs w:val="24"/>
          <w:highlight w:val="none"/>
        </w:rPr>
      </w:pPr>
      <w:r>
        <w:rPr>
          <w:rFonts w:hint="eastAsia" w:hAnsi="宋体" w:cs="宋体"/>
          <w:color w:val="auto"/>
          <w:sz w:val="24"/>
          <w:szCs w:val="24"/>
          <w:highlight w:val="none"/>
        </w:rPr>
        <w:t>4.如本项目采购内容涉及须符合国家强制规定的，我方承诺我方本次竞标均符合国家有关强制规定。</w:t>
      </w:r>
    </w:p>
    <w:p w14:paraId="567F9248">
      <w:pPr>
        <w:pStyle w:val="19"/>
        <w:spacing w:line="360" w:lineRule="auto"/>
        <w:ind w:firstLine="482"/>
        <w:rPr>
          <w:rFonts w:hint="eastAsia" w:hAnsi="宋体" w:cs="宋体"/>
          <w:color w:val="auto"/>
          <w:sz w:val="24"/>
          <w:szCs w:val="24"/>
          <w:highlight w:val="none"/>
        </w:rPr>
      </w:pPr>
      <w:r>
        <w:rPr>
          <w:rFonts w:hint="eastAsia" w:hAnsi="宋体" w:cs="宋体"/>
          <w:color w:val="auto"/>
          <w:sz w:val="24"/>
          <w:szCs w:val="24"/>
          <w:highlight w:val="none"/>
        </w:rPr>
        <w:t>5.如我方成交，我方承诺在收到成交通知书后，在成交通知书规定的期限内，根据竞争性磋商文件、我方的响应文件及有关澄清承诺书的要求按第六章“合同文本”与采购人订立书面合同，并按照合同约定承担完成合同的责任和义务。</w:t>
      </w:r>
    </w:p>
    <w:p w14:paraId="4747C643">
      <w:pPr>
        <w:pStyle w:val="19"/>
        <w:spacing w:line="360" w:lineRule="auto"/>
        <w:ind w:firstLine="482"/>
        <w:rPr>
          <w:rFonts w:hint="eastAsia" w:hAnsi="宋体" w:cs="宋体"/>
          <w:color w:val="auto"/>
          <w:sz w:val="24"/>
          <w:szCs w:val="24"/>
          <w:highlight w:val="none"/>
        </w:rPr>
      </w:pPr>
      <w:r>
        <w:rPr>
          <w:rFonts w:hint="eastAsia" w:hAnsi="宋体" w:cs="宋体"/>
          <w:color w:val="auto"/>
          <w:sz w:val="24"/>
          <w:szCs w:val="24"/>
          <w:highlight w:val="none"/>
        </w:rPr>
        <w:t>6.我方已详细审核竞争性磋商文件，我方知道必须放弃提出含糊不清或误解问题的权利。</w:t>
      </w:r>
    </w:p>
    <w:p w14:paraId="747CB8CD">
      <w:pPr>
        <w:pStyle w:val="19"/>
        <w:spacing w:line="360" w:lineRule="auto"/>
        <w:ind w:firstLine="482"/>
        <w:rPr>
          <w:rFonts w:hint="eastAsia" w:hAnsi="宋体" w:cs="宋体"/>
          <w:color w:val="auto"/>
          <w:sz w:val="24"/>
          <w:szCs w:val="24"/>
          <w:highlight w:val="none"/>
        </w:rPr>
      </w:pPr>
      <w:r>
        <w:rPr>
          <w:rFonts w:hint="eastAsia" w:hAnsi="宋体" w:cs="宋体"/>
          <w:color w:val="auto"/>
          <w:sz w:val="24"/>
          <w:szCs w:val="24"/>
          <w:highlight w:val="none"/>
        </w:rPr>
        <w:t>7.我方承诺满足竞争性磋商文件第六章“合同文本”的条款，承担完成合同的责任和义务。</w:t>
      </w:r>
    </w:p>
    <w:p w14:paraId="372FA00E">
      <w:pPr>
        <w:pStyle w:val="19"/>
        <w:spacing w:line="360" w:lineRule="auto"/>
        <w:ind w:firstLine="482"/>
        <w:rPr>
          <w:rFonts w:hint="eastAsia" w:hAnsi="宋体" w:cs="宋体"/>
          <w:color w:val="auto"/>
          <w:sz w:val="24"/>
          <w:szCs w:val="24"/>
          <w:highlight w:val="none"/>
        </w:rPr>
      </w:pPr>
      <w:r>
        <w:rPr>
          <w:rFonts w:hint="eastAsia" w:hAnsi="宋体" w:cs="宋体"/>
          <w:color w:val="auto"/>
          <w:sz w:val="24"/>
          <w:szCs w:val="24"/>
          <w:highlight w:val="none"/>
        </w:rPr>
        <w:t>8.我方同意应贵方要求提供与本竞标有关的任何数据或资料。若贵方需要，我方愿意提供我方作出的一切承诺的证明材料。</w:t>
      </w:r>
    </w:p>
    <w:p w14:paraId="604C6F37">
      <w:pPr>
        <w:pStyle w:val="19"/>
        <w:spacing w:line="360" w:lineRule="auto"/>
        <w:ind w:firstLine="482"/>
        <w:rPr>
          <w:rFonts w:hint="eastAsia" w:hAnsi="宋体" w:cs="宋体"/>
          <w:color w:val="auto"/>
          <w:sz w:val="24"/>
          <w:szCs w:val="24"/>
          <w:highlight w:val="none"/>
        </w:rPr>
      </w:pPr>
      <w:r>
        <w:rPr>
          <w:rFonts w:hint="eastAsia" w:hAnsi="宋体" w:cs="宋体"/>
          <w:color w:val="auto"/>
          <w:sz w:val="24"/>
          <w:szCs w:val="24"/>
          <w:highlight w:val="none"/>
        </w:rPr>
        <w:t>9.我方完全理解贵方不一定接受响应报价最低的竞标人为成交供应商的行为。</w:t>
      </w:r>
    </w:p>
    <w:p w14:paraId="1C2A616D">
      <w:pPr>
        <w:pStyle w:val="19"/>
        <w:spacing w:line="360" w:lineRule="auto"/>
        <w:ind w:firstLine="482"/>
        <w:rPr>
          <w:rFonts w:hint="eastAsia" w:hAnsi="宋体" w:cs="宋体"/>
          <w:color w:val="auto"/>
          <w:sz w:val="24"/>
          <w:szCs w:val="24"/>
          <w:highlight w:val="none"/>
        </w:rPr>
      </w:pPr>
      <w:r>
        <w:rPr>
          <w:rFonts w:hint="eastAsia" w:hAnsi="宋体" w:cs="宋体"/>
          <w:color w:val="auto"/>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FD13B2D">
      <w:pPr>
        <w:pStyle w:val="19"/>
        <w:numPr>
          <w:ilvl w:val="0"/>
          <w:numId w:val="2"/>
        </w:numPr>
        <w:tabs>
          <w:tab w:val="left" w:pos="945"/>
          <w:tab w:val="left" w:pos="1134"/>
          <w:tab w:val="left" w:pos="1140"/>
        </w:tabs>
        <w:spacing w:line="360" w:lineRule="auto"/>
        <w:rPr>
          <w:rFonts w:hint="eastAsia" w:hAnsi="宋体" w:cs="宋体"/>
          <w:color w:val="auto"/>
          <w:sz w:val="24"/>
          <w:szCs w:val="24"/>
          <w:highlight w:val="none"/>
        </w:rPr>
      </w:pPr>
      <w:r>
        <w:rPr>
          <w:rFonts w:hint="eastAsia" w:hAnsi="宋体" w:cs="宋体"/>
          <w:color w:val="auto"/>
          <w:sz w:val="24"/>
          <w:szCs w:val="24"/>
          <w:highlight w:val="none"/>
        </w:rPr>
        <w:t>提供虚假材料谋取中标、成交的；</w:t>
      </w:r>
    </w:p>
    <w:p w14:paraId="0BB31D2C">
      <w:pPr>
        <w:pStyle w:val="19"/>
        <w:numPr>
          <w:ilvl w:val="0"/>
          <w:numId w:val="2"/>
        </w:numPr>
        <w:tabs>
          <w:tab w:val="left" w:pos="945"/>
          <w:tab w:val="left" w:pos="1134"/>
          <w:tab w:val="left" w:pos="1140"/>
        </w:tabs>
        <w:spacing w:line="360" w:lineRule="auto"/>
        <w:rPr>
          <w:rFonts w:hint="eastAsia" w:hAnsi="宋体" w:cs="宋体"/>
          <w:color w:val="auto"/>
          <w:sz w:val="24"/>
          <w:szCs w:val="24"/>
          <w:highlight w:val="none"/>
        </w:rPr>
      </w:pPr>
      <w:r>
        <w:rPr>
          <w:rFonts w:hint="eastAsia" w:hAnsi="宋体" w:cs="宋体"/>
          <w:color w:val="auto"/>
          <w:sz w:val="24"/>
          <w:szCs w:val="24"/>
          <w:highlight w:val="none"/>
        </w:rPr>
        <w:t>采取不正当手段诋毁、排挤其他供应商的；</w:t>
      </w:r>
    </w:p>
    <w:p w14:paraId="331C9C35">
      <w:pPr>
        <w:pStyle w:val="19"/>
        <w:numPr>
          <w:ilvl w:val="0"/>
          <w:numId w:val="2"/>
        </w:numPr>
        <w:tabs>
          <w:tab w:val="left" w:pos="945"/>
          <w:tab w:val="left" w:pos="1134"/>
          <w:tab w:val="left" w:pos="1140"/>
        </w:tabs>
        <w:spacing w:line="360" w:lineRule="auto"/>
        <w:rPr>
          <w:rFonts w:hint="eastAsia" w:hAnsi="宋体" w:cs="宋体"/>
          <w:color w:val="auto"/>
          <w:sz w:val="24"/>
          <w:szCs w:val="24"/>
          <w:highlight w:val="none"/>
        </w:rPr>
      </w:pPr>
      <w:r>
        <w:rPr>
          <w:rFonts w:hint="eastAsia" w:hAnsi="宋体" w:cs="宋体"/>
          <w:color w:val="auto"/>
          <w:sz w:val="24"/>
          <w:szCs w:val="24"/>
          <w:highlight w:val="none"/>
        </w:rPr>
        <w:t>与采购人、其他供应商或者采购代理机构恶意串通的；</w:t>
      </w:r>
    </w:p>
    <w:p w14:paraId="13A0C74A">
      <w:pPr>
        <w:pStyle w:val="19"/>
        <w:numPr>
          <w:ilvl w:val="0"/>
          <w:numId w:val="2"/>
        </w:numPr>
        <w:tabs>
          <w:tab w:val="left" w:pos="945"/>
          <w:tab w:val="left" w:pos="1134"/>
          <w:tab w:val="left" w:pos="1140"/>
        </w:tabs>
        <w:spacing w:line="360" w:lineRule="auto"/>
        <w:rPr>
          <w:rFonts w:hint="eastAsia" w:hAnsi="宋体" w:cs="宋体"/>
          <w:color w:val="auto"/>
          <w:sz w:val="24"/>
          <w:szCs w:val="24"/>
          <w:highlight w:val="none"/>
        </w:rPr>
      </w:pPr>
      <w:r>
        <w:rPr>
          <w:rFonts w:hint="eastAsia" w:hAnsi="宋体" w:cs="宋体"/>
          <w:color w:val="auto"/>
          <w:sz w:val="24"/>
          <w:szCs w:val="24"/>
          <w:highlight w:val="none"/>
        </w:rPr>
        <w:t>向采购人、采购代理机构行贿或者提供其他不正当利益的；</w:t>
      </w:r>
    </w:p>
    <w:p w14:paraId="0B542927">
      <w:pPr>
        <w:pStyle w:val="19"/>
        <w:numPr>
          <w:ilvl w:val="0"/>
          <w:numId w:val="2"/>
        </w:numPr>
        <w:tabs>
          <w:tab w:val="left" w:pos="945"/>
          <w:tab w:val="left" w:pos="1134"/>
          <w:tab w:val="left" w:pos="1140"/>
        </w:tabs>
        <w:spacing w:line="360" w:lineRule="auto"/>
        <w:rPr>
          <w:rFonts w:hint="eastAsia" w:hAnsi="宋体" w:cs="宋体"/>
          <w:color w:val="auto"/>
          <w:sz w:val="24"/>
          <w:szCs w:val="24"/>
          <w:highlight w:val="none"/>
        </w:rPr>
      </w:pPr>
      <w:r>
        <w:rPr>
          <w:rFonts w:hint="eastAsia" w:hAnsi="宋体" w:cs="宋体"/>
          <w:color w:val="auto"/>
          <w:sz w:val="24"/>
          <w:szCs w:val="24"/>
          <w:highlight w:val="none"/>
        </w:rPr>
        <w:t>在采购过程中与采购人进行协商谈判的；</w:t>
      </w:r>
    </w:p>
    <w:p w14:paraId="3710285E">
      <w:pPr>
        <w:pStyle w:val="19"/>
        <w:numPr>
          <w:ilvl w:val="0"/>
          <w:numId w:val="2"/>
        </w:numPr>
        <w:tabs>
          <w:tab w:val="left" w:pos="945"/>
          <w:tab w:val="left" w:pos="1134"/>
          <w:tab w:val="left" w:pos="1140"/>
        </w:tabs>
        <w:spacing w:line="360" w:lineRule="auto"/>
        <w:rPr>
          <w:rFonts w:hint="eastAsia" w:hAnsi="宋体" w:cs="宋体"/>
          <w:color w:val="auto"/>
          <w:sz w:val="24"/>
          <w:szCs w:val="24"/>
          <w:highlight w:val="none"/>
        </w:rPr>
      </w:pPr>
      <w:r>
        <w:rPr>
          <w:rFonts w:hint="eastAsia" w:hAnsi="宋体" w:cs="宋体"/>
          <w:color w:val="auto"/>
          <w:sz w:val="24"/>
          <w:szCs w:val="24"/>
          <w:highlight w:val="none"/>
        </w:rPr>
        <w:t>拒绝有关部门监督检查或提供虚假情况的。</w:t>
      </w:r>
    </w:p>
    <w:p w14:paraId="69E08755">
      <w:pPr>
        <w:pStyle w:val="19"/>
        <w:spacing w:line="360" w:lineRule="auto"/>
        <w:ind w:firstLine="420"/>
        <w:rPr>
          <w:rFonts w:hint="eastAsia" w:hAnsi="宋体" w:cs="宋体"/>
          <w:color w:val="auto"/>
          <w:sz w:val="24"/>
          <w:szCs w:val="24"/>
          <w:highlight w:val="none"/>
        </w:rPr>
      </w:pPr>
      <w:r>
        <w:rPr>
          <w:rFonts w:hint="eastAsia" w:hAnsi="宋体" w:cs="宋体"/>
          <w:color w:val="auto"/>
          <w:sz w:val="24"/>
          <w:szCs w:val="24"/>
          <w:highlight w:val="none"/>
        </w:rPr>
        <w:t>11.与本磋商有关的一切正式往来信函请寄：</w:t>
      </w:r>
      <w:r>
        <w:rPr>
          <w:rFonts w:hint="eastAsia" w:hAnsi="宋体" w:cs="宋体"/>
          <w:color w:val="auto"/>
          <w:sz w:val="24"/>
          <w:szCs w:val="24"/>
          <w:highlight w:val="none"/>
          <w:u w:val="single"/>
        </w:rPr>
        <w:t xml:space="preserve">                </w:t>
      </w:r>
    </w:p>
    <w:p w14:paraId="75445D1E">
      <w:pPr>
        <w:pStyle w:val="19"/>
        <w:spacing w:line="360" w:lineRule="auto"/>
        <w:ind w:firstLine="420"/>
        <w:rPr>
          <w:rFonts w:hint="eastAsia" w:hAnsi="宋体" w:cs="宋体"/>
          <w:color w:val="auto"/>
          <w:sz w:val="24"/>
          <w:szCs w:val="24"/>
          <w:highlight w:val="none"/>
        </w:rPr>
      </w:pPr>
      <w:r>
        <w:rPr>
          <w:rFonts w:hint="eastAsia" w:hAnsi="宋体" w:cs="宋体"/>
          <w:color w:val="auto"/>
          <w:sz w:val="24"/>
          <w:szCs w:val="24"/>
          <w:highlight w:val="none"/>
        </w:rPr>
        <w:t>地址：</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2F3DC3B">
      <w:pPr>
        <w:pStyle w:val="19"/>
        <w:spacing w:line="360" w:lineRule="auto"/>
        <w:ind w:firstLine="420"/>
        <w:rPr>
          <w:rFonts w:hint="eastAsia" w:hAnsi="宋体" w:cs="宋体"/>
          <w:color w:val="auto"/>
          <w:sz w:val="24"/>
          <w:szCs w:val="24"/>
          <w:highlight w:val="none"/>
          <w:u w:val="single"/>
        </w:rPr>
      </w:pPr>
      <w:r>
        <w:rPr>
          <w:rFonts w:hint="eastAsia" w:hAnsi="宋体" w:cs="宋体"/>
          <w:color w:val="auto"/>
          <w:sz w:val="24"/>
          <w:szCs w:val="24"/>
          <w:highlight w:val="none"/>
        </w:rPr>
        <w:t>电话：</w:t>
      </w:r>
      <w:r>
        <w:rPr>
          <w:rFonts w:hint="eastAsia" w:hAnsi="宋体" w:cs="宋体"/>
          <w:color w:val="auto"/>
          <w:sz w:val="24"/>
          <w:szCs w:val="24"/>
          <w:highlight w:val="none"/>
          <w:u w:val="single"/>
        </w:rPr>
        <w:t xml:space="preserve">                                      　　　　　　　　　</w:t>
      </w:r>
    </w:p>
    <w:p w14:paraId="7DF16994">
      <w:pPr>
        <w:pStyle w:val="19"/>
        <w:spacing w:line="360" w:lineRule="auto"/>
        <w:ind w:firstLine="420"/>
        <w:rPr>
          <w:rFonts w:hint="eastAsia" w:hAnsi="宋体" w:cs="宋体"/>
          <w:color w:val="auto"/>
          <w:sz w:val="24"/>
          <w:szCs w:val="24"/>
          <w:highlight w:val="none"/>
        </w:rPr>
      </w:pPr>
      <w:r>
        <w:rPr>
          <w:rFonts w:hint="eastAsia" w:hAnsi="宋体" w:cs="宋体"/>
          <w:color w:val="auto"/>
          <w:sz w:val="24"/>
          <w:szCs w:val="24"/>
          <w:highlight w:val="none"/>
        </w:rPr>
        <w:t>传真：</w:t>
      </w:r>
      <w:r>
        <w:rPr>
          <w:rFonts w:hint="eastAsia" w:hAnsi="宋体" w:cs="宋体"/>
          <w:color w:val="auto"/>
          <w:sz w:val="24"/>
          <w:szCs w:val="24"/>
          <w:highlight w:val="none"/>
          <w:u w:val="single"/>
        </w:rPr>
        <w:t>　　　　　　　　　　　　　　　　　　　　　　　　　　　　</w:t>
      </w:r>
    </w:p>
    <w:p w14:paraId="50D28EAE">
      <w:pPr>
        <w:pStyle w:val="19"/>
        <w:spacing w:line="360" w:lineRule="auto"/>
        <w:ind w:firstLine="420"/>
        <w:rPr>
          <w:rFonts w:hint="eastAsia" w:hAnsi="宋体" w:cs="宋体"/>
          <w:color w:val="auto"/>
          <w:sz w:val="24"/>
          <w:szCs w:val="24"/>
          <w:highlight w:val="none"/>
          <w:u w:val="single"/>
        </w:rPr>
      </w:pP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6E149C9A">
      <w:pPr>
        <w:pStyle w:val="19"/>
        <w:spacing w:line="360" w:lineRule="auto"/>
        <w:ind w:firstLine="420"/>
        <w:rPr>
          <w:rFonts w:hint="eastAsia" w:hAnsi="宋体" w:cs="宋体"/>
          <w:color w:val="auto"/>
          <w:sz w:val="24"/>
          <w:szCs w:val="24"/>
          <w:highlight w:val="none"/>
          <w:u w:val="single"/>
        </w:rPr>
      </w:pPr>
      <w:r>
        <w:rPr>
          <w:rFonts w:hint="eastAsia" w:hAnsi="宋体" w:cs="宋体"/>
          <w:color w:val="auto"/>
          <w:sz w:val="24"/>
          <w:szCs w:val="24"/>
          <w:highlight w:val="none"/>
        </w:rPr>
        <w:t>开户名称：</w:t>
      </w:r>
      <w:r>
        <w:rPr>
          <w:rFonts w:hint="eastAsia" w:hAnsi="宋体" w:cs="宋体"/>
          <w:color w:val="auto"/>
          <w:sz w:val="24"/>
          <w:szCs w:val="24"/>
          <w:highlight w:val="none"/>
          <w:u w:val="single"/>
        </w:rPr>
        <w:t xml:space="preserve">                                                    </w:t>
      </w:r>
    </w:p>
    <w:p w14:paraId="39984034">
      <w:pPr>
        <w:pStyle w:val="19"/>
        <w:spacing w:line="360" w:lineRule="auto"/>
        <w:ind w:firstLine="420"/>
        <w:rPr>
          <w:rFonts w:hint="eastAsia" w:hAnsi="宋体" w:cs="宋体"/>
          <w:color w:val="auto"/>
          <w:sz w:val="24"/>
          <w:szCs w:val="24"/>
          <w:highlight w:val="none"/>
          <w:u w:val="single"/>
        </w:rPr>
      </w:pPr>
      <w:r>
        <w:rPr>
          <w:rFonts w:hint="eastAsia" w:hAnsi="宋体" w:cs="宋体"/>
          <w:color w:val="auto"/>
          <w:sz w:val="24"/>
          <w:szCs w:val="24"/>
          <w:highlight w:val="none"/>
        </w:rPr>
        <w:t>开户银行：</w:t>
      </w:r>
      <w:r>
        <w:rPr>
          <w:rFonts w:hint="eastAsia" w:hAnsi="宋体" w:cs="宋体"/>
          <w:color w:val="auto"/>
          <w:sz w:val="24"/>
          <w:szCs w:val="24"/>
          <w:highlight w:val="none"/>
          <w:u w:val="single"/>
        </w:rPr>
        <w:t xml:space="preserve">                                                    </w:t>
      </w:r>
    </w:p>
    <w:p w14:paraId="4440BBB2">
      <w:pPr>
        <w:pStyle w:val="19"/>
        <w:spacing w:line="360" w:lineRule="auto"/>
        <w:ind w:firstLine="420"/>
        <w:rPr>
          <w:rFonts w:hint="eastAsia" w:hAnsi="宋体" w:cs="宋体"/>
          <w:color w:val="auto"/>
          <w:sz w:val="24"/>
          <w:szCs w:val="24"/>
          <w:highlight w:val="none"/>
          <w:u w:val="single"/>
        </w:rPr>
      </w:pPr>
      <w:r>
        <w:rPr>
          <w:rFonts w:hint="eastAsia" w:hAnsi="宋体" w:cs="宋体"/>
          <w:color w:val="auto"/>
          <w:sz w:val="24"/>
          <w:szCs w:val="24"/>
          <w:highlight w:val="none"/>
        </w:rPr>
        <w:t>银行账号：</w:t>
      </w:r>
      <w:r>
        <w:rPr>
          <w:rFonts w:hint="eastAsia" w:hAnsi="宋体" w:cs="宋体"/>
          <w:color w:val="auto"/>
          <w:sz w:val="24"/>
          <w:szCs w:val="24"/>
          <w:highlight w:val="none"/>
          <w:u w:val="single"/>
        </w:rPr>
        <w:t xml:space="preserve">                                                    </w:t>
      </w:r>
    </w:p>
    <w:p w14:paraId="22B8E366">
      <w:pPr>
        <w:pStyle w:val="17"/>
        <w:tabs>
          <w:tab w:val="left" w:pos="939"/>
        </w:tabs>
        <w:spacing w:line="360" w:lineRule="auto"/>
        <w:ind w:left="900" w:hanging="480"/>
        <w:rPr>
          <w:rFonts w:hint="eastAsia" w:ascii="宋体" w:hAnsi="宋体" w:cs="宋体"/>
          <w:color w:val="auto"/>
          <w:sz w:val="24"/>
          <w:highlight w:val="none"/>
        </w:rPr>
      </w:pPr>
      <w:r>
        <w:rPr>
          <w:rFonts w:hint="eastAsia" w:ascii="宋体" w:hAnsi="宋体" w:cs="宋体"/>
          <w:color w:val="auto"/>
          <w:sz w:val="24"/>
          <w:highlight w:val="none"/>
        </w:rPr>
        <w:t>特此承诺。</w:t>
      </w:r>
    </w:p>
    <w:p w14:paraId="724F5D65">
      <w:pPr>
        <w:spacing w:line="360" w:lineRule="auto"/>
        <w:contextualSpacing/>
        <w:jc w:val="left"/>
        <w:rPr>
          <w:rFonts w:hint="eastAsia" w:ascii="宋体" w:hAnsi="宋体" w:cs="宋体"/>
          <w:color w:val="auto"/>
          <w:sz w:val="24"/>
          <w:highlight w:val="none"/>
        </w:rPr>
      </w:pPr>
    </w:p>
    <w:p w14:paraId="46893E1F">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20168BD">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303DB432">
      <w:pPr>
        <w:spacing w:line="520" w:lineRule="exact"/>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日期：  年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   日</w:t>
      </w:r>
    </w:p>
    <w:p w14:paraId="18FE2459">
      <w:pPr>
        <w:spacing w:line="520" w:lineRule="exact"/>
        <w:jc w:val="center"/>
        <w:rPr>
          <w:rFonts w:hint="eastAsia" w:ascii="方正小标宋简体" w:hAnsi="方正小标宋简体" w:eastAsia="方正小标宋简体" w:cs="方正小标宋简体"/>
          <w:bCs/>
          <w:color w:val="auto"/>
          <w:sz w:val="32"/>
          <w:szCs w:val="32"/>
          <w:highlight w:val="none"/>
        </w:rPr>
      </w:pPr>
      <w:r>
        <w:rPr>
          <w:rFonts w:hint="eastAsia" w:ascii="宋体" w:hAnsi="宋体" w:cs="宋体"/>
          <w:color w:val="auto"/>
          <w:kern w:val="0"/>
          <w:sz w:val="24"/>
          <w:highlight w:val="none"/>
          <w:lang w:val="zh-CN"/>
        </w:rPr>
        <w:br w:type="page"/>
      </w:r>
      <w:r>
        <w:rPr>
          <w:rFonts w:hint="eastAsia" w:ascii="方正小标宋简体" w:hAnsi="方正小标宋简体" w:eastAsia="方正小标宋简体" w:cs="方正小标宋简体"/>
          <w:bCs/>
          <w:color w:val="auto"/>
          <w:sz w:val="44"/>
          <w:szCs w:val="44"/>
          <w:highlight w:val="none"/>
        </w:rPr>
        <w:t xml:space="preserve">竞  </w:t>
      </w:r>
      <w:r>
        <w:rPr>
          <w:rFonts w:hint="eastAsia" w:ascii="方正小标宋简体" w:hAnsi="方正小标宋简体" w:eastAsia="方正小标宋简体" w:cs="方正小标宋简体"/>
          <w:bCs/>
          <w:color w:val="auto"/>
          <w:sz w:val="44"/>
          <w:szCs w:val="44"/>
          <w:highlight w:val="none"/>
          <w:lang w:val="en-US" w:eastAsia="zh-CN"/>
        </w:rPr>
        <w:t>标</w:t>
      </w:r>
      <w:r>
        <w:rPr>
          <w:rFonts w:hint="eastAsia" w:ascii="方正小标宋简体" w:hAnsi="方正小标宋简体" w:eastAsia="方正小标宋简体" w:cs="方正小标宋简体"/>
          <w:bCs/>
          <w:color w:val="auto"/>
          <w:sz w:val="44"/>
          <w:szCs w:val="44"/>
          <w:highlight w:val="none"/>
        </w:rPr>
        <w:t xml:space="preserve">  报  价  表</w:t>
      </w:r>
    </w:p>
    <w:p w14:paraId="16299693">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39418E99">
      <w:pPr>
        <w:keepNext w:val="0"/>
        <w:keepLines w:val="0"/>
        <w:pageBreakBefore w:val="0"/>
        <w:widowControl w:val="0"/>
        <w:kinsoku/>
        <w:wordWrap/>
        <w:overflowPunct/>
        <w:topLinePunct w:val="0"/>
        <w:autoSpaceDE/>
        <w:autoSpaceDN/>
        <w:bidi w:val="0"/>
        <w:adjustRightInd/>
        <w:snapToGrid w:val="0"/>
        <w:spacing w:before="50" w:after="50" w:line="360" w:lineRule="auto"/>
        <w:textAlignment w:val="auto"/>
        <w:rPr>
          <w:rFonts w:ascii="宋体" w:hAnsi="宋体"/>
          <w:color w:val="auto"/>
          <w:sz w:val="24"/>
          <w:szCs w:val="24"/>
          <w:highlight w:val="none"/>
        </w:rPr>
      </w:pPr>
      <w:r>
        <w:rPr>
          <w:rFonts w:hint="eastAsia" w:ascii="宋体" w:hAnsi="宋体"/>
          <w:color w:val="auto"/>
          <w:sz w:val="24"/>
          <w:szCs w:val="24"/>
          <w:highlight w:val="none"/>
        </w:rPr>
        <w:t>项目名称：</w:t>
      </w:r>
      <w:r>
        <w:rPr>
          <w:rFonts w:ascii="宋体" w:hAnsi="宋体"/>
          <w:color w:val="auto"/>
          <w:sz w:val="24"/>
          <w:szCs w:val="24"/>
          <w:highlight w:val="none"/>
          <w:u w:val="single"/>
        </w:rPr>
        <w:t xml:space="preserve">[项目采购-项目名称_]  </w:t>
      </w:r>
      <w:r>
        <w:rPr>
          <w:rFonts w:hint="eastAsia" w:ascii="宋体" w:hAnsi="宋体"/>
          <w:color w:val="auto"/>
          <w:sz w:val="24"/>
          <w:szCs w:val="24"/>
          <w:highlight w:val="none"/>
        </w:rPr>
        <w:t>项目编号：</w:t>
      </w:r>
      <w:r>
        <w:rPr>
          <w:rFonts w:ascii="宋体" w:hAnsi="宋体"/>
          <w:color w:val="auto"/>
          <w:sz w:val="24"/>
          <w:szCs w:val="24"/>
          <w:highlight w:val="none"/>
          <w:u w:val="single"/>
        </w:rPr>
        <w:t>[项目采购-项目编号_]</w:t>
      </w:r>
    </w:p>
    <w:p w14:paraId="363E5AC3">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olor w:val="auto"/>
          <w:sz w:val="24"/>
          <w:szCs w:val="24"/>
          <w:highlight w:val="none"/>
        </w:rPr>
      </w:pPr>
      <w:r>
        <w:rPr>
          <w:rFonts w:hint="eastAsia" w:ascii="宋体" w:hAnsi="宋体"/>
          <w:color w:val="auto"/>
          <w:sz w:val="24"/>
          <w:szCs w:val="24"/>
          <w:highlight w:val="none"/>
          <w:lang w:eastAsia="zh-CN"/>
        </w:rPr>
        <w:t>竞标</w:t>
      </w:r>
      <w:r>
        <w:rPr>
          <w:rFonts w:hint="eastAsia" w:ascii="宋体" w:hAnsi="宋体"/>
          <w:color w:val="auto"/>
          <w:sz w:val="24"/>
          <w:szCs w:val="24"/>
          <w:highlight w:val="none"/>
        </w:rPr>
        <w:t>人名称：</w:t>
      </w:r>
    </w:p>
    <w:p w14:paraId="7AFC5027">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仿宋_GB2312"/>
          <w:color w:val="auto"/>
          <w:sz w:val="24"/>
          <w:szCs w:val="24"/>
          <w:highlight w:val="none"/>
        </w:rPr>
      </w:pPr>
      <w:r>
        <w:rPr>
          <w:rFonts w:hint="eastAsia" w:ascii="宋体" w:hAnsi="宋体"/>
          <w:color w:val="auto"/>
          <w:sz w:val="24"/>
          <w:szCs w:val="24"/>
          <w:highlight w:val="none"/>
          <w:u w:val="single"/>
        </w:rPr>
        <w:t>　　</w:t>
      </w:r>
      <w:r>
        <w:rPr>
          <w:rFonts w:hint="eastAsia" w:ascii="宋体" w:hAnsi="宋体"/>
          <w:color w:val="auto"/>
          <w:sz w:val="24"/>
          <w:szCs w:val="24"/>
          <w:highlight w:val="none"/>
        </w:rPr>
        <w:t>分标（此处有分标时填写具体分标号，无分标时填写“无”）</w:t>
      </w:r>
      <w:r>
        <w:rPr>
          <w:rFonts w:hint="eastAsia" w:ascii="宋体" w:hAnsi="宋体" w:cs="仿宋_GB2312"/>
          <w:color w:val="auto"/>
          <w:sz w:val="24"/>
          <w:szCs w:val="24"/>
          <w:highlight w:val="none"/>
        </w:rPr>
        <w:t xml:space="preserve">                                        </w:t>
      </w:r>
    </w:p>
    <w:tbl>
      <w:tblPr>
        <w:tblStyle w:val="29"/>
        <w:tblW w:w="9747"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2804"/>
        <w:gridCol w:w="1440"/>
        <w:gridCol w:w="1890"/>
        <w:gridCol w:w="1902"/>
        <w:gridCol w:w="992"/>
      </w:tblGrid>
      <w:tr w14:paraId="0301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1E28ABDD">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r>
              <w:rPr>
                <w:rFonts w:hint="eastAsia" w:ascii="宋体" w:hAnsi="宋体"/>
                <w:color w:val="auto"/>
                <w:sz w:val="24"/>
                <w:szCs w:val="24"/>
                <w:highlight w:val="none"/>
              </w:rPr>
              <w:t>序号</w:t>
            </w:r>
          </w:p>
        </w:tc>
        <w:tc>
          <w:tcPr>
            <w:tcW w:w="2804" w:type="dxa"/>
            <w:tcBorders>
              <w:top w:val="single" w:color="auto" w:sz="4" w:space="0"/>
              <w:left w:val="single" w:color="auto" w:sz="4" w:space="0"/>
              <w:bottom w:val="single" w:color="auto" w:sz="4" w:space="0"/>
              <w:right w:val="single" w:color="auto" w:sz="4" w:space="0"/>
            </w:tcBorders>
            <w:noWrap w:val="0"/>
            <w:vAlign w:val="center"/>
          </w:tcPr>
          <w:p w14:paraId="58DCE35E">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r>
              <w:rPr>
                <w:rFonts w:hint="eastAsia" w:ascii="宋体" w:hAnsi="宋体"/>
                <w:color w:val="auto"/>
                <w:sz w:val="24"/>
                <w:szCs w:val="24"/>
                <w:highlight w:val="none"/>
              </w:rPr>
              <w:t>服务名称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9D00035">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r>
              <w:rPr>
                <w:rFonts w:hint="eastAsia" w:ascii="宋体" w:hAnsi="宋体"/>
                <w:color w:val="auto"/>
                <w:sz w:val="24"/>
                <w:szCs w:val="24"/>
                <w:highlight w:val="none"/>
              </w:rPr>
              <w:t>数量①</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1082D17A">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r>
              <w:rPr>
                <w:rFonts w:hint="eastAsia" w:ascii="宋体" w:hAnsi="宋体"/>
                <w:color w:val="auto"/>
                <w:sz w:val="24"/>
                <w:szCs w:val="24"/>
                <w:highlight w:val="none"/>
              </w:rPr>
              <w:t>单价(元)②</w:t>
            </w:r>
          </w:p>
        </w:tc>
        <w:tc>
          <w:tcPr>
            <w:tcW w:w="1902" w:type="dxa"/>
            <w:tcBorders>
              <w:top w:val="single" w:color="auto" w:sz="4" w:space="0"/>
              <w:left w:val="single" w:color="auto" w:sz="4" w:space="0"/>
              <w:bottom w:val="single" w:color="auto" w:sz="4" w:space="0"/>
              <w:right w:val="single" w:color="auto" w:sz="4" w:space="0"/>
            </w:tcBorders>
            <w:noWrap w:val="0"/>
            <w:vAlign w:val="center"/>
          </w:tcPr>
          <w:p w14:paraId="23D0DC7E">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r>
              <w:rPr>
                <w:rFonts w:hint="eastAsia" w:ascii="宋体" w:hAnsi="宋体"/>
                <w:color w:val="auto"/>
                <w:sz w:val="24"/>
                <w:szCs w:val="24"/>
                <w:highlight w:val="none"/>
              </w:rPr>
              <w:t>单项合价（元）</w:t>
            </w:r>
          </w:p>
          <w:p w14:paraId="25B4B81F">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r>
              <w:rPr>
                <w:rFonts w:hint="eastAsia" w:ascii="宋体" w:hAnsi="宋体"/>
                <w:color w:val="auto"/>
                <w:sz w:val="24"/>
                <w:szCs w:val="24"/>
                <w:highlight w:val="none"/>
              </w:rPr>
              <w:t>③＝①×②</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2E4A933F">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r>
              <w:rPr>
                <w:rFonts w:hint="eastAsia" w:ascii="宋体" w:hAnsi="宋体"/>
                <w:color w:val="auto"/>
                <w:sz w:val="24"/>
                <w:szCs w:val="24"/>
                <w:highlight w:val="none"/>
              </w:rPr>
              <w:t>备注</w:t>
            </w:r>
          </w:p>
        </w:tc>
      </w:tr>
      <w:tr w14:paraId="48DC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B27044A">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r>
              <w:rPr>
                <w:rFonts w:hint="eastAsia" w:ascii="宋体" w:hAnsi="宋体"/>
                <w:color w:val="auto"/>
                <w:sz w:val="24"/>
                <w:szCs w:val="24"/>
                <w:highlight w:val="none"/>
              </w:rPr>
              <w:t>1</w:t>
            </w:r>
          </w:p>
        </w:tc>
        <w:tc>
          <w:tcPr>
            <w:tcW w:w="2804" w:type="dxa"/>
            <w:tcBorders>
              <w:top w:val="single" w:color="auto" w:sz="4" w:space="0"/>
              <w:left w:val="single" w:color="auto" w:sz="4" w:space="0"/>
              <w:bottom w:val="single" w:color="auto" w:sz="4" w:space="0"/>
              <w:right w:val="single" w:color="auto" w:sz="4" w:space="0"/>
            </w:tcBorders>
            <w:noWrap w:val="0"/>
            <w:vAlign w:val="center"/>
          </w:tcPr>
          <w:p w14:paraId="03948518">
            <w:pPr>
              <w:keepNext w:val="0"/>
              <w:keepLines w:val="0"/>
              <w:pageBreakBefore w:val="0"/>
              <w:widowControl w:val="0"/>
              <w:kinsoku/>
              <w:wordWrap/>
              <w:overflowPunct/>
              <w:topLinePunct w:val="0"/>
              <w:autoSpaceDE/>
              <w:autoSpaceDN/>
              <w:bidi w:val="0"/>
              <w:adjustRightInd/>
              <w:snapToGrid w:val="0"/>
              <w:spacing w:before="50" w:after="50" w:line="360" w:lineRule="auto"/>
              <w:jc w:val="center"/>
              <w:textAlignment w:val="auto"/>
              <w:rPr>
                <w:rFonts w:ascii="宋体" w:hAnsi="宋体"/>
                <w:color w:val="auto"/>
                <w:sz w:val="24"/>
                <w:szCs w:val="24"/>
                <w:highlight w:val="none"/>
              </w:rPr>
            </w:pPr>
            <w:r>
              <w:rPr>
                <w:rFonts w:hint="eastAsia" w:ascii="宋体" w:hAnsi="宋体"/>
                <w:color w:val="auto"/>
                <w:sz w:val="24"/>
                <w:szCs w:val="24"/>
                <w:highlight w:val="none"/>
                <w:lang w:eastAsia="zh-CN"/>
              </w:rPr>
              <w:t>广西物流职业技术学院灾后装饰装修修缮项目</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3D2C2AA">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r>
              <w:rPr>
                <w:rFonts w:hint="eastAsia" w:ascii="宋体" w:hAnsi="宋体"/>
                <w:color w:val="auto"/>
                <w:sz w:val="24"/>
                <w:szCs w:val="24"/>
                <w:highlight w:val="none"/>
              </w:rPr>
              <w:t>1项</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0AB87CCC">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p>
        </w:tc>
        <w:tc>
          <w:tcPr>
            <w:tcW w:w="1902" w:type="dxa"/>
            <w:tcBorders>
              <w:top w:val="single" w:color="auto" w:sz="4" w:space="0"/>
              <w:left w:val="single" w:color="auto" w:sz="4" w:space="0"/>
              <w:bottom w:val="single" w:color="auto" w:sz="4" w:space="0"/>
              <w:right w:val="single" w:color="auto" w:sz="4" w:space="0"/>
            </w:tcBorders>
            <w:noWrap w:val="0"/>
            <w:vAlign w:val="center"/>
          </w:tcPr>
          <w:p w14:paraId="111E5279">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6D954F85">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olor w:val="auto"/>
                <w:sz w:val="24"/>
                <w:szCs w:val="24"/>
                <w:highlight w:val="none"/>
              </w:rPr>
            </w:pPr>
          </w:p>
        </w:tc>
      </w:tr>
      <w:tr w14:paraId="2A88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747" w:type="dxa"/>
            <w:gridSpan w:val="6"/>
            <w:tcBorders>
              <w:top w:val="single" w:color="auto" w:sz="4" w:space="0"/>
              <w:left w:val="single" w:color="auto" w:sz="4" w:space="0"/>
              <w:bottom w:val="single" w:color="auto" w:sz="4" w:space="0"/>
              <w:right w:val="single" w:color="auto" w:sz="4" w:space="0"/>
            </w:tcBorders>
            <w:noWrap w:val="0"/>
            <w:vAlign w:val="top"/>
          </w:tcPr>
          <w:p w14:paraId="11EC73BA">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olor w:val="auto"/>
                <w:sz w:val="24"/>
                <w:szCs w:val="24"/>
                <w:highlight w:val="none"/>
              </w:rPr>
            </w:pPr>
            <w:r>
              <w:rPr>
                <w:rFonts w:hint="eastAsia" w:ascii="宋体" w:hAnsi="宋体"/>
                <w:color w:val="auto"/>
                <w:sz w:val="24"/>
                <w:szCs w:val="24"/>
                <w:highlight w:val="none"/>
              </w:rPr>
              <w:t>报价合计（包含税费等所有费用）：</w:t>
            </w:r>
          </w:p>
          <w:p w14:paraId="6A47AD31">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olor w:val="auto"/>
                <w:sz w:val="24"/>
                <w:szCs w:val="24"/>
                <w:highlight w:val="none"/>
                <w:u w:val="single"/>
              </w:rPr>
            </w:pPr>
            <w:r>
              <w:rPr>
                <w:rFonts w:hint="eastAsia" w:ascii="宋体" w:hAnsi="宋体"/>
                <w:color w:val="auto"/>
                <w:sz w:val="24"/>
                <w:szCs w:val="24"/>
                <w:highlight w:val="none"/>
                <w:u w:val="single"/>
              </w:rPr>
              <w:t>（大写）人民币           （￥          元）</w:t>
            </w:r>
          </w:p>
        </w:tc>
      </w:tr>
    </w:tbl>
    <w:p w14:paraId="61DCCEEE">
      <w:pPr>
        <w:keepNext w:val="0"/>
        <w:keepLines w:val="0"/>
        <w:pageBreakBefore w:val="0"/>
        <w:widowControl w:val="0"/>
        <w:kinsoku/>
        <w:wordWrap/>
        <w:overflowPunct/>
        <w:topLinePunct w:val="0"/>
        <w:autoSpaceDE/>
        <w:autoSpaceDN/>
        <w:bidi w:val="0"/>
        <w:adjustRightInd/>
        <w:snapToGrid w:val="0"/>
        <w:spacing w:before="50" w:after="50" w:line="360" w:lineRule="auto"/>
        <w:jc w:val="left"/>
        <w:textAlignment w:val="auto"/>
        <w:rPr>
          <w:rFonts w:hint="eastAsia" w:ascii="宋体" w:hAnsi="宋体" w:eastAsia="宋体" w:cs="宋体"/>
          <w:color w:val="auto"/>
          <w:sz w:val="24"/>
          <w:szCs w:val="24"/>
          <w:highlight w:val="none"/>
        </w:rPr>
      </w:pPr>
      <w:r>
        <w:rPr>
          <w:rFonts w:hAnsi="宋体"/>
          <w:color w:val="auto"/>
          <w:sz w:val="24"/>
          <w:szCs w:val="24"/>
          <w:highlight w:val="none"/>
        </w:rPr>
        <w:t>注</w:t>
      </w:r>
      <w:r>
        <w:rPr>
          <w:rFonts w:hint="eastAsia" w:ascii="宋体" w:hAnsi="宋体" w:eastAsia="宋体" w:cs="宋体"/>
          <w:color w:val="auto"/>
          <w:sz w:val="24"/>
          <w:szCs w:val="24"/>
          <w:highlight w:val="none"/>
        </w:rPr>
        <w:t xml:space="preserve">: </w:t>
      </w:r>
    </w:p>
    <w:p w14:paraId="4847E506">
      <w:pPr>
        <w:keepNext w:val="0"/>
        <w:keepLines w:val="0"/>
        <w:pageBreakBefore w:val="0"/>
        <w:widowControl w:val="0"/>
        <w:kinsoku/>
        <w:wordWrap/>
        <w:overflowPunct/>
        <w:topLinePunct w:val="0"/>
        <w:autoSpaceDE/>
        <w:autoSpaceDN/>
        <w:bidi w:val="0"/>
        <w:adjustRightInd/>
        <w:snapToGrid w:val="0"/>
        <w:spacing w:before="50" w:after="50" w:line="360" w:lineRule="auto"/>
        <w:ind w:firstLine="480" w:firstLineChars="200"/>
        <w:jc w:val="left"/>
        <w:textAlignment w:val="auto"/>
        <w:rPr>
          <w:rFonts w:ascii="宋体" w:hAnsi="宋体"/>
          <w:color w:val="auto"/>
          <w:kern w:val="0"/>
          <w:sz w:val="24"/>
          <w:szCs w:val="24"/>
          <w:highlight w:val="none"/>
          <w:lang w:val="zh-CN"/>
        </w:rPr>
      </w:pPr>
      <w:r>
        <w:rPr>
          <w:rFonts w:hint="eastAsia" w:ascii="宋体" w:hAnsi="宋体"/>
          <w:color w:val="auto"/>
          <w:kern w:val="0"/>
          <w:sz w:val="24"/>
          <w:szCs w:val="24"/>
          <w:highlight w:val="none"/>
          <w:lang w:val="zh-CN"/>
        </w:rPr>
        <w:t>1、竞标人需按本表格式填写，不得自行更改，也不得留空, 如有多分标，按分标分别提供开标一览表，必须加盖竞标人有效电子公章，</w:t>
      </w:r>
      <w:r>
        <w:rPr>
          <w:rFonts w:hint="eastAsia" w:ascii="宋体" w:hAnsi="宋体"/>
          <w:b/>
          <w:color w:val="auto"/>
          <w:kern w:val="0"/>
          <w:sz w:val="24"/>
          <w:szCs w:val="24"/>
          <w:highlight w:val="none"/>
          <w:lang w:val="zh-CN"/>
        </w:rPr>
        <w:t>否则其竞标作无效标处理。</w:t>
      </w:r>
    </w:p>
    <w:p w14:paraId="79EE6174">
      <w:pPr>
        <w:keepNext w:val="0"/>
        <w:keepLines w:val="0"/>
        <w:pageBreakBefore w:val="0"/>
        <w:widowControl w:val="0"/>
        <w:kinsoku/>
        <w:wordWrap/>
        <w:overflowPunct/>
        <w:topLinePunct w:val="0"/>
        <w:autoSpaceDE/>
        <w:autoSpaceDN/>
        <w:bidi w:val="0"/>
        <w:adjustRightInd/>
        <w:snapToGrid w:val="0"/>
        <w:spacing w:before="50" w:after="50" w:line="360" w:lineRule="auto"/>
        <w:ind w:firstLine="480" w:firstLineChars="200"/>
        <w:jc w:val="left"/>
        <w:textAlignment w:val="auto"/>
        <w:rPr>
          <w:rFonts w:ascii="宋体" w:hAnsi="宋体"/>
          <w:color w:val="auto"/>
          <w:kern w:val="0"/>
          <w:sz w:val="24"/>
          <w:szCs w:val="24"/>
          <w:highlight w:val="none"/>
          <w:lang w:val="zh-CN"/>
        </w:rPr>
      </w:pPr>
      <w:r>
        <w:rPr>
          <w:rFonts w:hint="eastAsia" w:ascii="宋体" w:hAnsi="宋体"/>
          <w:color w:val="auto"/>
          <w:kern w:val="0"/>
          <w:sz w:val="24"/>
          <w:szCs w:val="24"/>
          <w:highlight w:val="none"/>
          <w:lang w:val="zh-CN"/>
        </w:rPr>
        <w:t>2、本表内容均不能涂改，</w:t>
      </w:r>
      <w:r>
        <w:rPr>
          <w:rFonts w:hint="eastAsia" w:ascii="宋体" w:hAnsi="宋体"/>
          <w:b/>
          <w:color w:val="auto"/>
          <w:kern w:val="0"/>
          <w:sz w:val="24"/>
          <w:szCs w:val="24"/>
          <w:highlight w:val="none"/>
          <w:lang w:val="zh-CN"/>
        </w:rPr>
        <w:t>否则其竞标作无效标处理。</w:t>
      </w:r>
    </w:p>
    <w:p w14:paraId="1538F2C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宋体" w:hAnsi="宋体"/>
          <w:color w:val="auto"/>
          <w:kern w:val="0"/>
          <w:sz w:val="24"/>
          <w:szCs w:val="24"/>
          <w:highlight w:val="none"/>
          <w:lang w:val="zh-CN"/>
        </w:rPr>
      </w:pPr>
      <w:r>
        <w:rPr>
          <w:rFonts w:hint="eastAsia" w:ascii="宋体" w:hAnsi="宋体"/>
          <w:color w:val="auto"/>
          <w:kern w:val="0"/>
          <w:sz w:val="24"/>
          <w:szCs w:val="24"/>
          <w:highlight w:val="none"/>
          <w:lang w:val="en-US" w:eastAsia="zh-CN"/>
        </w:rPr>
        <w:t>3</w:t>
      </w:r>
      <w:r>
        <w:rPr>
          <w:rFonts w:hint="eastAsia" w:ascii="宋体" w:hAnsi="宋体"/>
          <w:color w:val="auto"/>
          <w:kern w:val="0"/>
          <w:sz w:val="24"/>
          <w:szCs w:val="24"/>
          <w:highlight w:val="none"/>
          <w:lang w:val="zh-CN"/>
        </w:rPr>
        <w:t>、特别提示：采购机构将对项目名称和项目编号，中标人名称、地址和中标金额，主要中标标的的名称、服务范围、服务要求、服务时间、服务标准等予以公示。</w:t>
      </w:r>
    </w:p>
    <w:p w14:paraId="4B8F3DE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宋体" w:hAnsi="宋体"/>
          <w:color w:val="auto"/>
          <w:kern w:val="0"/>
          <w:sz w:val="24"/>
          <w:szCs w:val="24"/>
          <w:highlight w:val="none"/>
          <w:lang w:val="zh-CN"/>
        </w:rPr>
      </w:pPr>
      <w:r>
        <w:rPr>
          <w:rFonts w:hint="eastAsia" w:ascii="宋体" w:hAnsi="宋体"/>
          <w:color w:val="auto"/>
          <w:kern w:val="0"/>
          <w:sz w:val="24"/>
          <w:szCs w:val="24"/>
          <w:highlight w:val="none"/>
          <w:lang w:val="en-US" w:eastAsia="zh-CN"/>
        </w:rPr>
        <w:t>4</w:t>
      </w:r>
      <w:r>
        <w:rPr>
          <w:rFonts w:hint="eastAsia" w:ascii="宋体" w:hAnsi="宋体"/>
          <w:color w:val="auto"/>
          <w:kern w:val="0"/>
          <w:sz w:val="24"/>
          <w:szCs w:val="24"/>
          <w:highlight w:val="none"/>
          <w:lang w:val="zh-CN"/>
        </w:rPr>
        <w:t>、符合磋商文件中列明的可享受中小企业扶持政策的竞标人，请填写中小企业声明函。注：竞标人</w:t>
      </w:r>
      <w:r>
        <w:rPr>
          <w:rFonts w:ascii="宋体" w:hAnsi="宋体"/>
          <w:color w:val="auto"/>
          <w:kern w:val="0"/>
          <w:sz w:val="24"/>
          <w:szCs w:val="24"/>
          <w:highlight w:val="none"/>
          <w:lang w:val="zh-CN"/>
        </w:rPr>
        <w:t>提供</w:t>
      </w:r>
      <w:r>
        <w:rPr>
          <w:rFonts w:hint="eastAsia" w:ascii="宋体" w:hAnsi="宋体"/>
          <w:color w:val="auto"/>
          <w:kern w:val="0"/>
          <w:sz w:val="24"/>
          <w:szCs w:val="24"/>
          <w:highlight w:val="none"/>
          <w:lang w:val="zh-CN"/>
        </w:rPr>
        <w:t>的中小企业</w:t>
      </w:r>
      <w:r>
        <w:rPr>
          <w:rFonts w:ascii="宋体" w:hAnsi="宋体"/>
          <w:color w:val="auto"/>
          <w:kern w:val="0"/>
          <w:sz w:val="24"/>
          <w:szCs w:val="24"/>
          <w:highlight w:val="none"/>
          <w:lang w:val="zh-CN"/>
        </w:rPr>
        <w:t>声明函内容不实的，属于提供虚假材料谋取中标、成交，依照《中华人民共和国政府采购法》等国家有关规定追究相应责任。</w:t>
      </w:r>
    </w:p>
    <w:p w14:paraId="4DA478B4">
      <w:pPr>
        <w:pStyle w:val="19"/>
        <w:keepNext w:val="0"/>
        <w:keepLines w:val="0"/>
        <w:pageBreakBefore w:val="0"/>
        <w:widowControl w:val="0"/>
        <w:kinsoku/>
        <w:wordWrap/>
        <w:overflowPunct/>
        <w:topLinePunct w:val="0"/>
        <w:autoSpaceDE/>
        <w:autoSpaceDN/>
        <w:bidi w:val="0"/>
        <w:adjustRightInd/>
        <w:snapToGrid w:val="0"/>
        <w:spacing w:before="295" w:after="295" w:line="360" w:lineRule="auto"/>
        <w:ind w:firstLine="480" w:firstLineChars="200"/>
        <w:jc w:val="both"/>
        <w:textAlignment w:val="auto"/>
        <w:rPr>
          <w:rFonts w:hAnsi="宋体"/>
          <w:color w:val="auto"/>
          <w:sz w:val="24"/>
          <w:szCs w:val="24"/>
          <w:highlight w:val="none"/>
          <w:u w:val="single"/>
        </w:rPr>
      </w:pPr>
      <w:r>
        <w:rPr>
          <w:rFonts w:hAnsi="宋体"/>
          <w:color w:val="auto"/>
          <w:sz w:val="24"/>
          <w:szCs w:val="24"/>
          <w:highlight w:val="none"/>
        </w:rPr>
        <w:t xml:space="preserve"> </w:t>
      </w:r>
      <w:r>
        <w:rPr>
          <w:rFonts w:hint="eastAsia" w:hAnsi="宋体"/>
          <w:color w:val="auto"/>
          <w:sz w:val="24"/>
          <w:szCs w:val="24"/>
          <w:highlight w:val="none"/>
          <w:lang w:eastAsia="zh-CN"/>
        </w:rPr>
        <w:t>竞标</w:t>
      </w:r>
      <w:r>
        <w:rPr>
          <w:rFonts w:hint="eastAsia" w:hAnsi="宋体"/>
          <w:color w:val="auto"/>
          <w:sz w:val="24"/>
          <w:szCs w:val="24"/>
          <w:highlight w:val="none"/>
        </w:rPr>
        <w:t>人名称（电子签章）：</w:t>
      </w:r>
      <w:r>
        <w:rPr>
          <w:rFonts w:hint="eastAsia" w:hAnsi="宋体"/>
          <w:color w:val="auto"/>
          <w:sz w:val="24"/>
          <w:szCs w:val="24"/>
          <w:highlight w:val="none"/>
          <w:u w:val="single"/>
        </w:rPr>
        <w:t xml:space="preserve">  </w:t>
      </w:r>
      <w:r>
        <w:rPr>
          <w:rFonts w:hint="eastAsia" w:hAnsi="宋体"/>
          <w:color w:val="auto"/>
          <w:sz w:val="24"/>
          <w:szCs w:val="24"/>
          <w:highlight w:val="none"/>
          <w:u w:val="single"/>
          <w:lang w:val="en-US" w:eastAsia="zh-CN"/>
        </w:rPr>
        <w:t xml:space="preserve">     </w:t>
      </w:r>
      <w:r>
        <w:rPr>
          <w:rFonts w:hint="eastAsia" w:hAnsi="宋体"/>
          <w:color w:val="auto"/>
          <w:sz w:val="24"/>
          <w:szCs w:val="24"/>
          <w:highlight w:val="none"/>
          <w:u w:val="single"/>
        </w:rPr>
        <w:t xml:space="preserve">    </w:t>
      </w:r>
    </w:p>
    <w:p w14:paraId="20B6EFEC">
      <w:pPr>
        <w:keepNext w:val="0"/>
        <w:keepLines w:val="0"/>
        <w:pageBreakBefore w:val="0"/>
        <w:widowControl w:val="0"/>
        <w:kinsoku/>
        <w:wordWrap/>
        <w:overflowPunct/>
        <w:topLinePunct w:val="0"/>
        <w:autoSpaceDE/>
        <w:autoSpaceDN/>
        <w:bidi w:val="0"/>
        <w:adjustRightInd/>
        <w:snapToGrid w:val="0"/>
        <w:spacing w:before="50" w:after="50" w:line="360" w:lineRule="auto"/>
        <w:ind w:left="-3" w:leftChars="-15" w:right="-817" w:rightChars="-389" w:hanging="28" w:hangingChars="1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A8515B1">
      <w:pPr>
        <w:spacing w:line="360" w:lineRule="auto"/>
        <w:ind w:right="420"/>
        <w:contextualSpacing/>
        <w:jc w:val="center"/>
        <w:rPr>
          <w:rFonts w:hint="eastAsia" w:ascii="宋体" w:hAnsi="宋体" w:cs="宋体"/>
          <w:b/>
          <w:bCs/>
          <w:color w:val="auto"/>
          <w:sz w:val="40"/>
          <w:szCs w:val="40"/>
          <w:highlight w:val="none"/>
        </w:rPr>
      </w:pPr>
      <w:r>
        <w:rPr>
          <w:rFonts w:hint="eastAsia" w:ascii="宋体" w:hAnsi="宋体" w:eastAsia="宋体" w:cs="宋体"/>
          <w:color w:val="auto"/>
          <w:sz w:val="24"/>
          <w:szCs w:val="24"/>
          <w:highlight w:val="none"/>
        </w:rPr>
        <w:br w:type="page"/>
      </w:r>
      <w:r>
        <w:rPr>
          <w:rFonts w:hint="eastAsia" w:ascii="宋体" w:hAnsi="宋体" w:cs="宋体"/>
          <w:b/>
          <w:bCs/>
          <w:color w:val="auto"/>
          <w:sz w:val="40"/>
          <w:szCs w:val="40"/>
          <w:highlight w:val="none"/>
        </w:rPr>
        <w:t>已标价工程量清单</w:t>
      </w:r>
    </w:p>
    <w:p w14:paraId="716C711B">
      <w:pPr>
        <w:spacing w:line="360" w:lineRule="auto"/>
        <w:ind w:right="420"/>
        <w:contextualSpacing/>
        <w:jc w:val="left"/>
        <w:rPr>
          <w:rFonts w:hint="eastAsia" w:ascii="宋体" w:hAnsi="宋体" w:cs="宋体"/>
          <w:b/>
          <w:bCs/>
          <w:color w:val="auto"/>
          <w:sz w:val="32"/>
          <w:szCs w:val="32"/>
          <w:highlight w:val="none"/>
        </w:rPr>
      </w:pPr>
    </w:p>
    <w:p w14:paraId="6FB7952B">
      <w:pPr>
        <w:spacing w:line="360" w:lineRule="auto"/>
        <w:ind w:right="420"/>
        <w:contextualSpacing/>
        <w:jc w:val="left"/>
        <w:rPr>
          <w:rFonts w:hint="eastAsia" w:ascii="宋体" w:hAnsi="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1.</w:t>
      </w:r>
      <w:r>
        <w:rPr>
          <w:rFonts w:hint="eastAsia" w:ascii="宋体" w:hAnsi="宋体" w:cs="宋体"/>
          <w:b w:val="0"/>
          <w:bCs w:val="0"/>
          <w:color w:val="auto"/>
          <w:sz w:val="28"/>
          <w:szCs w:val="28"/>
          <w:highlight w:val="none"/>
          <w:lang w:val="en-US" w:eastAsia="zh-CN"/>
        </w:rPr>
        <w:t>竞标</w:t>
      </w:r>
      <w:r>
        <w:rPr>
          <w:rFonts w:hint="eastAsia" w:ascii="宋体" w:hAnsi="宋体" w:cs="宋体"/>
          <w:b w:val="0"/>
          <w:bCs w:val="0"/>
          <w:color w:val="auto"/>
          <w:sz w:val="28"/>
          <w:szCs w:val="28"/>
          <w:highlight w:val="none"/>
          <w:lang w:eastAsia="zh-CN"/>
        </w:rPr>
        <w:t>报价及最后报价中的各项综合单价不得高于招标控制价中对应项的综合单价。</w:t>
      </w:r>
    </w:p>
    <w:p w14:paraId="1C451571">
      <w:pPr>
        <w:keepNext w:val="0"/>
        <w:keepLines w:val="0"/>
        <w:pageBreakBefore w:val="0"/>
        <w:widowControl w:val="0"/>
        <w:kinsoku/>
        <w:wordWrap/>
        <w:overflowPunct/>
        <w:topLinePunct w:val="0"/>
        <w:autoSpaceDE/>
        <w:autoSpaceDN/>
        <w:bidi w:val="0"/>
        <w:adjustRightInd/>
        <w:snapToGrid w:val="0"/>
        <w:spacing w:before="50" w:after="50" w:line="360" w:lineRule="auto"/>
        <w:ind w:left="2" w:leftChars="-15" w:right="-817" w:rightChars="-389" w:hanging="33" w:hangingChars="12"/>
        <w:textAlignment w:val="auto"/>
        <w:outlineLvl w:val="1"/>
        <w:rPr>
          <w:rFonts w:hint="eastAsia" w:ascii="宋体" w:hAnsi="宋体"/>
          <w:b/>
          <w:color w:val="auto"/>
          <w:sz w:val="32"/>
          <w:szCs w:val="32"/>
          <w:highlight w:val="none"/>
        </w:rPr>
      </w:pPr>
      <w:bookmarkStart w:id="131" w:name="_Toc8516"/>
      <w:r>
        <w:rPr>
          <w:rFonts w:hint="eastAsia" w:ascii="宋体" w:hAnsi="宋体" w:cs="宋体"/>
          <w:b w:val="0"/>
          <w:bCs w:val="0"/>
          <w:color w:val="auto"/>
          <w:sz w:val="28"/>
          <w:szCs w:val="28"/>
          <w:highlight w:val="none"/>
          <w:lang w:eastAsia="zh-CN"/>
        </w:rPr>
        <w:t>2.如</w:t>
      </w:r>
      <w:r>
        <w:rPr>
          <w:rFonts w:hint="eastAsia" w:ascii="宋体" w:hAnsi="宋体" w:cs="宋体"/>
          <w:b w:val="0"/>
          <w:bCs w:val="0"/>
          <w:color w:val="auto"/>
          <w:sz w:val="28"/>
          <w:szCs w:val="28"/>
          <w:highlight w:val="none"/>
          <w:lang w:val="en-US" w:eastAsia="zh-CN"/>
        </w:rPr>
        <w:t>供应商</w:t>
      </w:r>
      <w:r>
        <w:rPr>
          <w:rFonts w:hint="eastAsia" w:ascii="宋体" w:hAnsi="宋体" w:cs="宋体"/>
          <w:b w:val="0"/>
          <w:bCs w:val="0"/>
          <w:color w:val="auto"/>
          <w:sz w:val="28"/>
          <w:szCs w:val="28"/>
          <w:highlight w:val="none"/>
          <w:lang w:eastAsia="zh-CN"/>
        </w:rPr>
        <w:t>所提供产品品牌不在招标清单所列参考品牌范围之内，需经</w:t>
      </w:r>
      <w:r>
        <w:rPr>
          <w:rFonts w:hint="eastAsia" w:ascii="宋体" w:hAnsi="宋体" w:cs="宋体"/>
          <w:b w:val="0"/>
          <w:bCs w:val="0"/>
          <w:color w:val="auto"/>
          <w:sz w:val="28"/>
          <w:szCs w:val="28"/>
          <w:highlight w:val="none"/>
          <w:lang w:val="en-US" w:eastAsia="zh-CN"/>
        </w:rPr>
        <w:t>采购</w:t>
      </w:r>
      <w:r>
        <w:rPr>
          <w:rFonts w:hint="eastAsia" w:ascii="宋体" w:hAnsi="宋体" w:cs="宋体"/>
          <w:b w:val="0"/>
          <w:bCs w:val="0"/>
          <w:color w:val="auto"/>
          <w:sz w:val="28"/>
          <w:szCs w:val="28"/>
          <w:highlight w:val="none"/>
          <w:lang w:eastAsia="zh-CN"/>
        </w:rPr>
        <w:t>人确认其是否属于同档次品牌。如经</w:t>
      </w:r>
      <w:r>
        <w:rPr>
          <w:rFonts w:hint="eastAsia" w:ascii="宋体" w:hAnsi="宋体" w:cs="宋体"/>
          <w:b w:val="0"/>
          <w:bCs w:val="0"/>
          <w:color w:val="auto"/>
          <w:sz w:val="28"/>
          <w:szCs w:val="28"/>
          <w:highlight w:val="none"/>
          <w:lang w:val="en-US" w:eastAsia="zh-CN"/>
        </w:rPr>
        <w:t>采购人</w:t>
      </w:r>
      <w:r>
        <w:rPr>
          <w:rFonts w:hint="eastAsia" w:ascii="宋体" w:hAnsi="宋体" w:cs="宋体"/>
          <w:b w:val="0"/>
          <w:bCs w:val="0"/>
          <w:color w:val="auto"/>
          <w:sz w:val="28"/>
          <w:szCs w:val="28"/>
          <w:highlight w:val="none"/>
          <w:lang w:eastAsia="zh-CN"/>
        </w:rPr>
        <w:t>确认其单价低于参考品牌的，</w:t>
      </w:r>
      <w:r>
        <w:rPr>
          <w:rFonts w:hint="eastAsia" w:ascii="宋体" w:hAnsi="宋体" w:cs="宋体"/>
          <w:b w:val="0"/>
          <w:bCs w:val="0"/>
          <w:color w:val="auto"/>
          <w:sz w:val="28"/>
          <w:szCs w:val="28"/>
          <w:highlight w:val="none"/>
          <w:lang w:val="en-US" w:eastAsia="zh-CN"/>
        </w:rPr>
        <w:t>采购人</w:t>
      </w:r>
      <w:r>
        <w:rPr>
          <w:rFonts w:hint="eastAsia" w:ascii="宋体" w:hAnsi="宋体" w:cs="宋体"/>
          <w:b w:val="0"/>
          <w:bCs w:val="0"/>
          <w:color w:val="auto"/>
          <w:sz w:val="28"/>
          <w:szCs w:val="28"/>
          <w:highlight w:val="none"/>
          <w:lang w:eastAsia="zh-CN"/>
        </w:rPr>
        <w:t>有权要求</w:t>
      </w:r>
      <w:r>
        <w:rPr>
          <w:rFonts w:hint="eastAsia" w:ascii="宋体" w:hAnsi="宋体" w:cs="宋体"/>
          <w:b w:val="0"/>
          <w:bCs w:val="0"/>
          <w:color w:val="auto"/>
          <w:sz w:val="28"/>
          <w:szCs w:val="28"/>
          <w:highlight w:val="none"/>
          <w:lang w:val="en-US" w:eastAsia="zh-CN"/>
        </w:rPr>
        <w:t>供应商</w:t>
      </w:r>
      <w:r>
        <w:rPr>
          <w:rFonts w:hint="eastAsia" w:ascii="宋体" w:hAnsi="宋体" w:cs="宋体"/>
          <w:b w:val="0"/>
          <w:bCs w:val="0"/>
          <w:color w:val="auto"/>
          <w:sz w:val="28"/>
          <w:szCs w:val="28"/>
          <w:highlight w:val="none"/>
          <w:lang w:eastAsia="zh-CN"/>
        </w:rPr>
        <w:t>按清单要求提供。</w:t>
      </w:r>
      <w:r>
        <w:rPr>
          <w:rFonts w:hint="eastAsia" w:ascii="宋体" w:hAnsi="宋体" w:cs="宋体"/>
          <w:b w:val="0"/>
          <w:bCs w:val="0"/>
          <w:color w:val="auto"/>
          <w:sz w:val="28"/>
          <w:szCs w:val="28"/>
          <w:highlight w:val="none"/>
          <w:lang w:val="en-US" w:eastAsia="zh-CN"/>
        </w:rPr>
        <w:t>供应商</w:t>
      </w:r>
      <w:r>
        <w:rPr>
          <w:rFonts w:hint="eastAsia" w:ascii="宋体" w:hAnsi="宋体" w:cs="宋体"/>
          <w:b w:val="0"/>
          <w:bCs w:val="0"/>
          <w:color w:val="auto"/>
          <w:sz w:val="28"/>
          <w:szCs w:val="28"/>
          <w:highlight w:val="none"/>
          <w:lang w:eastAsia="zh-CN"/>
        </w:rPr>
        <w:t>无法提供的，</w:t>
      </w:r>
      <w:r>
        <w:rPr>
          <w:rFonts w:hint="eastAsia" w:ascii="宋体" w:hAnsi="宋体" w:cs="宋体"/>
          <w:b w:val="0"/>
          <w:bCs w:val="0"/>
          <w:color w:val="auto"/>
          <w:sz w:val="28"/>
          <w:szCs w:val="28"/>
          <w:highlight w:val="none"/>
          <w:lang w:val="en-US" w:eastAsia="zh-CN"/>
        </w:rPr>
        <w:t>采购人</w:t>
      </w:r>
      <w:r>
        <w:rPr>
          <w:rFonts w:hint="eastAsia" w:ascii="宋体" w:hAnsi="宋体" w:cs="宋体"/>
          <w:b w:val="0"/>
          <w:bCs w:val="0"/>
          <w:color w:val="auto"/>
          <w:sz w:val="28"/>
          <w:szCs w:val="28"/>
          <w:highlight w:val="none"/>
          <w:lang w:eastAsia="zh-CN"/>
        </w:rPr>
        <w:t>有权根据</w:t>
      </w:r>
      <w:r>
        <w:rPr>
          <w:rFonts w:hint="eastAsia" w:ascii="宋体" w:hAnsi="宋体" w:cs="宋体"/>
          <w:b w:val="0"/>
          <w:bCs w:val="0"/>
          <w:color w:val="auto"/>
          <w:sz w:val="28"/>
          <w:szCs w:val="28"/>
          <w:highlight w:val="none"/>
          <w:lang w:val="en-US" w:eastAsia="zh-CN"/>
        </w:rPr>
        <w:t>供应商</w:t>
      </w:r>
      <w:r>
        <w:rPr>
          <w:rFonts w:hint="eastAsia" w:ascii="宋体" w:hAnsi="宋体" w:cs="宋体"/>
          <w:b w:val="0"/>
          <w:bCs w:val="0"/>
          <w:color w:val="auto"/>
          <w:sz w:val="28"/>
          <w:szCs w:val="28"/>
          <w:highlight w:val="none"/>
          <w:lang w:eastAsia="zh-CN"/>
        </w:rPr>
        <w:t>提供的品牌自行市场询价并按询价结果进行结算。）</w:t>
      </w:r>
      <w:r>
        <w:rPr>
          <w:rFonts w:hint="eastAsia" w:ascii="宋体" w:hAnsi="宋体" w:cs="宋体"/>
          <w:b/>
          <w:bCs/>
          <w:color w:val="auto"/>
          <w:sz w:val="32"/>
          <w:szCs w:val="32"/>
          <w:highlight w:val="none"/>
        </w:rPr>
        <w:br w:type="page"/>
      </w: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bookmarkEnd w:id="131"/>
      <w:r>
        <w:rPr>
          <w:rFonts w:hint="eastAsia" w:ascii="宋体" w:hAnsi="宋体"/>
          <w:b/>
          <w:color w:val="auto"/>
          <w:sz w:val="32"/>
          <w:szCs w:val="32"/>
          <w:highlight w:val="none"/>
        </w:rPr>
        <w:t xml:space="preserve"> </w:t>
      </w:r>
    </w:p>
    <w:p w14:paraId="024FEC73">
      <w:pPr>
        <w:snapToGrid w:val="0"/>
        <w:spacing w:before="120" w:beforeLines="50" w:after="50" w:line="360" w:lineRule="auto"/>
        <w:jc w:val="left"/>
        <w:outlineLvl w:val="1"/>
        <w:rPr>
          <w:rFonts w:ascii="宋体" w:hAnsi="宋体"/>
          <w:b/>
          <w:color w:val="auto"/>
          <w:sz w:val="32"/>
          <w:szCs w:val="32"/>
          <w:highlight w:val="none"/>
        </w:rPr>
      </w:pPr>
      <w:bookmarkStart w:id="132" w:name="_Toc4272"/>
      <w:r>
        <w:rPr>
          <w:rFonts w:hint="eastAsia" w:ascii="宋体" w:hAnsi="宋体"/>
          <w:b/>
          <w:color w:val="auto"/>
          <w:sz w:val="32"/>
          <w:szCs w:val="32"/>
          <w:highlight w:val="none"/>
        </w:rPr>
        <w:t>1.商务技术文件封面格式</w:t>
      </w:r>
      <w:bookmarkEnd w:id="132"/>
    </w:p>
    <w:p w14:paraId="35B009A6">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23972DDD">
      <w:pPr>
        <w:snapToGrid w:val="0"/>
        <w:spacing w:before="120"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7FBAB12F">
      <w:pPr>
        <w:snapToGrid w:val="0"/>
        <w:spacing w:before="120" w:beforeLines="50" w:after="50"/>
        <w:rPr>
          <w:rFonts w:hint="eastAsia" w:ascii="宋体" w:hAnsi="宋体"/>
          <w:color w:val="auto"/>
          <w:sz w:val="24"/>
          <w:szCs w:val="20"/>
          <w:highlight w:val="none"/>
        </w:rPr>
      </w:pPr>
    </w:p>
    <w:p w14:paraId="703B4283">
      <w:pPr>
        <w:snapToGrid w:val="0"/>
        <w:spacing w:before="120" w:beforeLines="50" w:after="50"/>
        <w:rPr>
          <w:rFonts w:hint="eastAsia" w:ascii="宋体" w:hAnsi="宋体"/>
          <w:color w:val="auto"/>
          <w:sz w:val="24"/>
          <w:szCs w:val="20"/>
          <w:highlight w:val="none"/>
        </w:rPr>
      </w:pPr>
    </w:p>
    <w:p w14:paraId="08BA0107">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637DDE7A">
      <w:pPr>
        <w:snapToGrid w:val="0"/>
        <w:spacing w:before="120" w:beforeLines="50" w:after="50"/>
        <w:rPr>
          <w:rFonts w:hint="eastAsia" w:ascii="宋体" w:hAnsi="宋体"/>
          <w:bCs/>
          <w:color w:val="auto"/>
          <w:sz w:val="24"/>
          <w:szCs w:val="20"/>
          <w:highlight w:val="none"/>
        </w:rPr>
      </w:pPr>
    </w:p>
    <w:p w14:paraId="6A4EF8F4">
      <w:pPr>
        <w:snapToGrid w:val="0"/>
        <w:spacing w:before="120" w:beforeLines="50" w:after="50"/>
        <w:rPr>
          <w:rFonts w:hint="eastAsia" w:ascii="宋体" w:hAnsi="宋体"/>
          <w:bCs/>
          <w:color w:val="auto"/>
          <w:sz w:val="24"/>
          <w:szCs w:val="20"/>
          <w:highlight w:val="none"/>
        </w:rPr>
      </w:pPr>
    </w:p>
    <w:p w14:paraId="2DE6C28B">
      <w:pPr>
        <w:snapToGrid w:val="0"/>
        <w:spacing w:before="120" w:beforeLines="50" w:after="50"/>
        <w:rPr>
          <w:rFonts w:hint="eastAsia" w:ascii="宋体" w:hAnsi="宋体"/>
          <w:bCs/>
          <w:color w:val="auto"/>
          <w:sz w:val="24"/>
          <w:szCs w:val="20"/>
          <w:highlight w:val="none"/>
        </w:rPr>
      </w:pPr>
    </w:p>
    <w:p w14:paraId="7E7903EA">
      <w:pPr>
        <w:snapToGrid w:val="0"/>
        <w:spacing w:before="120" w:beforeLines="50" w:after="50"/>
        <w:rPr>
          <w:rFonts w:hint="eastAsia" w:ascii="宋体" w:hAnsi="宋体"/>
          <w:bCs/>
          <w:color w:val="auto"/>
          <w:sz w:val="24"/>
          <w:szCs w:val="20"/>
          <w:highlight w:val="none"/>
        </w:rPr>
      </w:pPr>
    </w:p>
    <w:p w14:paraId="67E51709">
      <w:pPr>
        <w:snapToGrid w:val="0"/>
        <w:spacing w:before="120" w:beforeLines="50" w:after="50"/>
        <w:rPr>
          <w:rFonts w:hint="eastAsia" w:ascii="宋体" w:hAnsi="宋体"/>
          <w:bCs/>
          <w:color w:val="auto"/>
          <w:sz w:val="24"/>
          <w:szCs w:val="20"/>
          <w:highlight w:val="none"/>
        </w:rPr>
      </w:pPr>
    </w:p>
    <w:p w14:paraId="23B3C972">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D73FA05">
      <w:pPr>
        <w:snapToGrid w:val="0"/>
        <w:spacing w:before="120" w:beforeLines="50" w:after="50"/>
        <w:ind w:firstLine="720" w:firstLineChars="225"/>
        <w:rPr>
          <w:rFonts w:hint="eastAsia" w:ascii="宋体" w:hAnsi="宋体" w:cs="仿宋_GB2312"/>
          <w:bCs/>
          <w:color w:val="auto"/>
          <w:sz w:val="32"/>
          <w:szCs w:val="32"/>
          <w:highlight w:val="none"/>
        </w:rPr>
      </w:pPr>
    </w:p>
    <w:p w14:paraId="2E862E53">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69C95499">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3ACEB17">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61C1F63C">
      <w:pPr>
        <w:snapToGrid w:val="0"/>
        <w:spacing w:before="120" w:beforeLines="50" w:after="50"/>
        <w:ind w:firstLine="720" w:firstLineChars="225"/>
        <w:rPr>
          <w:rFonts w:hint="eastAsia" w:ascii="宋体" w:hAnsi="宋体" w:cs="仿宋_GB2312"/>
          <w:bCs/>
          <w:color w:val="auto"/>
          <w:sz w:val="32"/>
          <w:szCs w:val="32"/>
          <w:highlight w:val="none"/>
        </w:rPr>
      </w:pPr>
    </w:p>
    <w:p w14:paraId="6F41F653">
      <w:pPr>
        <w:pStyle w:val="6"/>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2A022F9">
      <w:pPr>
        <w:pStyle w:val="6"/>
        <w:snapToGrid w:val="0"/>
        <w:spacing w:before="50" w:after="50"/>
        <w:ind w:firstLine="640" w:firstLineChars="200"/>
        <w:rPr>
          <w:rFonts w:hint="eastAsia" w:ascii="宋体" w:hAnsi="宋体" w:cs="仿宋_GB2312"/>
          <w:bCs/>
          <w:color w:val="auto"/>
          <w:sz w:val="32"/>
          <w:szCs w:val="32"/>
          <w:highlight w:val="none"/>
        </w:rPr>
      </w:pPr>
    </w:p>
    <w:p w14:paraId="4371986D">
      <w:pPr>
        <w:pStyle w:val="6"/>
        <w:snapToGrid w:val="0"/>
        <w:spacing w:before="50" w:after="50"/>
        <w:ind w:firstLine="720" w:firstLineChars="225"/>
        <w:rPr>
          <w:rFonts w:hint="eastAsia" w:ascii="宋体" w:hAnsi="宋体" w:cs="仿宋_GB2312"/>
          <w:bCs/>
          <w:color w:val="auto"/>
          <w:sz w:val="32"/>
          <w:szCs w:val="32"/>
          <w:highlight w:val="none"/>
        </w:rPr>
      </w:pPr>
    </w:p>
    <w:p w14:paraId="097744A9">
      <w:pPr>
        <w:pStyle w:val="6"/>
        <w:snapToGrid w:val="0"/>
        <w:spacing w:before="50" w:after="50"/>
        <w:ind w:firstLine="0"/>
        <w:rPr>
          <w:rFonts w:hint="eastAsia" w:ascii="宋体" w:hAnsi="宋体" w:cs="仿宋_GB2312"/>
          <w:bCs/>
          <w:color w:val="auto"/>
          <w:sz w:val="32"/>
          <w:szCs w:val="32"/>
          <w:highlight w:val="none"/>
        </w:rPr>
      </w:pPr>
    </w:p>
    <w:p w14:paraId="1B21F8DE">
      <w:pPr>
        <w:pStyle w:val="6"/>
        <w:snapToGrid w:val="0"/>
        <w:spacing w:before="50" w:after="50"/>
        <w:ind w:firstLine="1280" w:firstLineChars="400"/>
        <w:rPr>
          <w:rFonts w:hint="eastAsia" w:ascii="宋体" w:hAnsi="宋体" w:cs="仿宋_GB2312"/>
          <w:bCs/>
          <w:color w:val="auto"/>
          <w:sz w:val="32"/>
          <w:szCs w:val="32"/>
          <w:highlight w:val="none"/>
        </w:rPr>
      </w:pPr>
    </w:p>
    <w:p w14:paraId="24CB7E45">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78D454E7">
      <w:pPr>
        <w:snapToGrid w:val="0"/>
        <w:spacing w:before="120"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57E26E08">
      <w:pPr>
        <w:snapToGrid w:val="0"/>
        <w:spacing w:before="120"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69612A39">
      <w:pPr>
        <w:spacing w:line="400" w:lineRule="exact"/>
        <w:rPr>
          <w:rFonts w:hint="eastAsia" w:ascii="仿宋_GB2312" w:hAnsi="仿宋_GB2312" w:eastAsia="仿宋_GB2312" w:cs="仿宋_GB2312"/>
          <w:color w:val="auto"/>
          <w:sz w:val="32"/>
          <w:szCs w:val="32"/>
          <w:highlight w:val="none"/>
        </w:rPr>
      </w:pPr>
    </w:p>
    <w:p w14:paraId="23DA5F45">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无串通</w:t>
      </w:r>
      <w:r>
        <w:rPr>
          <w:rFonts w:hint="eastAsia" w:ascii="方正小标宋简体" w:hAnsi="方正小标宋简体" w:eastAsia="方正小标宋简体" w:cs="方正小标宋简体"/>
          <w:color w:val="auto"/>
          <w:sz w:val="44"/>
          <w:szCs w:val="44"/>
          <w:highlight w:val="none"/>
          <w:lang w:eastAsia="zh-CN"/>
        </w:rPr>
        <w:t>响应</w:t>
      </w:r>
      <w:r>
        <w:rPr>
          <w:rFonts w:hint="eastAsia" w:ascii="方正小标宋简体" w:hAnsi="方正小标宋简体" w:eastAsia="方正小标宋简体" w:cs="方正小标宋简体"/>
          <w:color w:val="auto"/>
          <w:sz w:val="44"/>
          <w:szCs w:val="44"/>
          <w:highlight w:val="none"/>
        </w:rPr>
        <w:t>行为的承诺函</w:t>
      </w:r>
    </w:p>
    <w:p w14:paraId="4BDBA6A2">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4DD5FC5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cs="仿宋_GB2312"/>
          <w:b/>
          <w:bCs/>
          <w:color w:val="auto"/>
          <w:sz w:val="24"/>
          <w:szCs w:val="24"/>
          <w:highlight w:val="none"/>
        </w:rPr>
      </w:pPr>
      <w:r>
        <w:rPr>
          <w:rFonts w:hint="eastAsia" w:ascii="宋体" w:hAnsi="宋体" w:cs="仿宋_GB2312"/>
          <w:b/>
          <w:bCs/>
          <w:color w:val="auto"/>
          <w:sz w:val="24"/>
          <w:szCs w:val="24"/>
          <w:highlight w:val="none"/>
        </w:rPr>
        <w:t>一、我方承诺无下列相互串通</w:t>
      </w:r>
      <w:r>
        <w:rPr>
          <w:rFonts w:hint="eastAsia" w:ascii="宋体" w:hAnsi="宋体" w:cs="仿宋_GB2312"/>
          <w:b/>
          <w:bCs/>
          <w:color w:val="auto"/>
          <w:sz w:val="24"/>
          <w:szCs w:val="24"/>
          <w:highlight w:val="none"/>
          <w:lang w:eastAsia="zh-CN"/>
        </w:rPr>
        <w:t>响应</w:t>
      </w:r>
      <w:r>
        <w:rPr>
          <w:rFonts w:hint="eastAsia" w:ascii="宋体" w:hAnsi="宋体" w:cs="仿宋_GB2312"/>
          <w:b/>
          <w:bCs/>
          <w:color w:val="auto"/>
          <w:sz w:val="24"/>
          <w:szCs w:val="24"/>
          <w:highlight w:val="none"/>
        </w:rPr>
        <w:t>的情形：</w:t>
      </w:r>
    </w:p>
    <w:p w14:paraId="5FBAF42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 xml:space="preserve">1.不同供应商的响应文件由同一单位或者个人编制或者不同供应商报名的IP地址一致的；或者编制响应文件硬件设备CPU编号、硬盘编号、网卡地址一致的情况； </w:t>
      </w:r>
    </w:p>
    <w:p w14:paraId="74E3E68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2.不同供应商委托同一单位或者个人办理</w:t>
      </w:r>
      <w:r>
        <w:rPr>
          <w:rFonts w:hint="eastAsia" w:ascii="宋体" w:hAnsi="宋体" w:cs="仿宋_GB2312"/>
          <w:color w:val="auto"/>
          <w:sz w:val="24"/>
          <w:szCs w:val="24"/>
          <w:highlight w:val="none"/>
          <w:lang w:eastAsia="zh-CN"/>
        </w:rPr>
        <w:t>响应</w:t>
      </w:r>
      <w:r>
        <w:rPr>
          <w:rFonts w:hint="eastAsia" w:ascii="宋体" w:hAnsi="宋体" w:cs="仿宋_GB2312"/>
          <w:color w:val="auto"/>
          <w:sz w:val="24"/>
          <w:szCs w:val="24"/>
          <w:highlight w:val="none"/>
        </w:rPr>
        <w:t>事宜；</w:t>
      </w:r>
    </w:p>
    <w:p w14:paraId="44C401A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3.不同供应商的响应文件载明的项目管理员为同一个人；</w:t>
      </w:r>
    </w:p>
    <w:p w14:paraId="0B19C81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4.不</w:t>
      </w:r>
      <w:r>
        <w:rPr>
          <w:rFonts w:hint="eastAsia" w:ascii="宋体" w:hAnsi="宋体" w:cs="仿宋_GB2312"/>
          <w:color w:val="auto"/>
          <w:spacing w:val="-6"/>
          <w:sz w:val="24"/>
          <w:szCs w:val="24"/>
          <w:highlight w:val="none"/>
        </w:rPr>
        <w:t>同供应商的响应文件异常一致或者</w:t>
      </w:r>
      <w:r>
        <w:rPr>
          <w:rFonts w:hint="eastAsia" w:ascii="宋体" w:hAnsi="宋体" w:cs="仿宋_GB2312"/>
          <w:color w:val="auto"/>
          <w:spacing w:val="-6"/>
          <w:sz w:val="24"/>
          <w:szCs w:val="24"/>
          <w:highlight w:val="none"/>
          <w:lang w:eastAsia="zh-CN"/>
        </w:rPr>
        <w:t>响应</w:t>
      </w:r>
      <w:r>
        <w:rPr>
          <w:rFonts w:hint="eastAsia" w:ascii="宋体" w:hAnsi="宋体" w:cs="仿宋_GB2312"/>
          <w:color w:val="auto"/>
          <w:spacing w:val="-6"/>
          <w:sz w:val="24"/>
          <w:szCs w:val="24"/>
          <w:highlight w:val="none"/>
        </w:rPr>
        <w:t>报价呈规律性差异；</w:t>
      </w:r>
    </w:p>
    <w:p w14:paraId="4B2D39E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5.不同供应商的响应文件相互混装；</w:t>
      </w:r>
    </w:p>
    <w:p w14:paraId="2223BAA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6.不同供应商的磋商保证金从同一单位或者个人账户转出。</w:t>
      </w:r>
    </w:p>
    <w:p w14:paraId="0BFDB1B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cs="仿宋_GB2312"/>
          <w:b/>
          <w:bCs/>
          <w:color w:val="auto"/>
          <w:sz w:val="24"/>
          <w:szCs w:val="24"/>
          <w:highlight w:val="none"/>
        </w:rPr>
      </w:pPr>
      <w:r>
        <w:rPr>
          <w:rFonts w:hint="eastAsia" w:ascii="宋体" w:hAnsi="宋体" w:cs="仿宋_GB2312"/>
          <w:b/>
          <w:bCs/>
          <w:color w:val="auto"/>
          <w:sz w:val="24"/>
          <w:szCs w:val="24"/>
          <w:highlight w:val="none"/>
        </w:rPr>
        <w:t>二、我方承诺无下列恶意串通的情形：</w:t>
      </w:r>
    </w:p>
    <w:p w14:paraId="4ACC555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1.供应商直接或者间接从采购人或者采购代理机构处获得其他供应商的相关信息并修改其响应文件；</w:t>
      </w:r>
    </w:p>
    <w:p w14:paraId="244AE2F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2.供应商按照采购人或者采购代理机构的授意撤换、修改响应文件；</w:t>
      </w:r>
    </w:p>
    <w:p w14:paraId="581DAF9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3.供</w:t>
      </w:r>
      <w:r>
        <w:rPr>
          <w:rFonts w:hint="eastAsia" w:ascii="宋体" w:hAnsi="宋体" w:cs="仿宋_GB2312"/>
          <w:color w:val="auto"/>
          <w:spacing w:val="-6"/>
          <w:sz w:val="24"/>
          <w:szCs w:val="24"/>
          <w:highlight w:val="none"/>
        </w:rPr>
        <w:t>应商之间协商报价、技术方案等响应文件的实质性内容；</w:t>
      </w:r>
    </w:p>
    <w:p w14:paraId="3A09F75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4.属于同一集团、协会、商会等组织成员的供应商按照该组织要求协同参加政府采购活动；</w:t>
      </w:r>
    </w:p>
    <w:p w14:paraId="3120C8B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5.供应商之间事先约定一致抬高或者压低</w:t>
      </w:r>
      <w:r>
        <w:rPr>
          <w:rFonts w:hint="eastAsia" w:ascii="宋体" w:hAnsi="宋体" w:cs="仿宋_GB2312"/>
          <w:color w:val="auto"/>
          <w:sz w:val="24"/>
          <w:szCs w:val="24"/>
          <w:highlight w:val="none"/>
          <w:lang w:eastAsia="zh-CN"/>
        </w:rPr>
        <w:t>响应</w:t>
      </w:r>
      <w:r>
        <w:rPr>
          <w:rFonts w:hint="eastAsia" w:ascii="宋体" w:hAnsi="宋体" w:cs="仿宋_GB2312"/>
          <w:color w:val="auto"/>
          <w:sz w:val="24"/>
          <w:szCs w:val="24"/>
          <w:highlight w:val="none"/>
        </w:rPr>
        <w:t>报价，或者在竞争性磋商项目中事先约定轮流以高价位或者低价位成交，或者事先约定由某一特定供应商成交，然后再参加</w:t>
      </w:r>
      <w:r>
        <w:rPr>
          <w:rFonts w:hint="eastAsia" w:ascii="宋体" w:hAnsi="宋体" w:cs="仿宋_GB2312"/>
          <w:color w:val="auto"/>
          <w:sz w:val="24"/>
          <w:szCs w:val="24"/>
          <w:highlight w:val="none"/>
          <w:lang w:eastAsia="zh-CN"/>
        </w:rPr>
        <w:t>响应</w:t>
      </w:r>
      <w:r>
        <w:rPr>
          <w:rFonts w:hint="eastAsia" w:ascii="宋体" w:hAnsi="宋体" w:cs="仿宋_GB2312"/>
          <w:color w:val="auto"/>
          <w:sz w:val="24"/>
          <w:szCs w:val="24"/>
          <w:highlight w:val="none"/>
        </w:rPr>
        <w:t>；</w:t>
      </w:r>
    </w:p>
    <w:p w14:paraId="0C2EF6A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6.供应商之间商定部分供应商放弃参加政府采购活动或者放弃成交；</w:t>
      </w:r>
    </w:p>
    <w:p w14:paraId="75238CC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7.供应商与采购人或者采购代理机构之间、供应商相互之间，为</w:t>
      </w:r>
      <w:r>
        <w:rPr>
          <w:rFonts w:hint="eastAsia" w:ascii="宋体" w:hAnsi="宋体" w:cs="仿宋_GB2312"/>
          <w:color w:val="auto"/>
          <w:spacing w:val="-6"/>
          <w:sz w:val="24"/>
          <w:szCs w:val="24"/>
          <w:highlight w:val="none"/>
        </w:rPr>
        <w:t>谋求特定供应商成交或者排斥其他供应商的其他串通行为。</w:t>
      </w:r>
    </w:p>
    <w:p w14:paraId="7996B6B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color w:val="auto"/>
          <w:sz w:val="24"/>
          <w:szCs w:val="24"/>
          <w:highlight w:val="none"/>
        </w:rPr>
      </w:pPr>
    </w:p>
    <w:p w14:paraId="4C816158">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cs="仿宋_GB2312"/>
          <w:b/>
          <w:bCs/>
          <w:color w:val="auto"/>
          <w:sz w:val="24"/>
          <w:szCs w:val="24"/>
          <w:highlight w:val="none"/>
        </w:rPr>
      </w:pPr>
      <w:r>
        <w:rPr>
          <w:rFonts w:hint="eastAsia" w:ascii="宋体" w:hAnsi="宋体" w:cs="仿宋_GB2312"/>
          <w:b/>
          <w:bCs/>
          <w:color w:val="auto"/>
          <w:sz w:val="24"/>
          <w:szCs w:val="24"/>
          <w:highlight w:val="none"/>
        </w:rPr>
        <w:t>以上情形一经核查属实，我方愿意承担一切后果，并不再寻求任何旨在减轻或者免除法律责任的辩解。</w:t>
      </w:r>
    </w:p>
    <w:p w14:paraId="1F77A6E6">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szCs w:val="24"/>
          <w:highlight w:val="none"/>
        </w:rPr>
      </w:pPr>
    </w:p>
    <w:p w14:paraId="412AED2E">
      <w:pPr>
        <w:keepNext w:val="0"/>
        <w:keepLines w:val="0"/>
        <w:pageBreakBefore w:val="0"/>
        <w:widowControl w:val="0"/>
        <w:kinsoku/>
        <w:wordWrap/>
        <w:overflowPunct/>
        <w:topLinePunct w:val="0"/>
        <w:autoSpaceDE/>
        <w:autoSpaceDN/>
        <w:bidi w:val="0"/>
        <w:adjustRightInd/>
        <w:snapToGrid/>
        <w:spacing w:line="360" w:lineRule="auto"/>
        <w:ind w:firstLine="3600" w:firstLineChars="15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供应商名称（电子签章）：</w:t>
      </w:r>
    </w:p>
    <w:p w14:paraId="781A9E4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center"/>
        <w:textAlignment w:val="auto"/>
        <w:rPr>
          <w:rFonts w:hint="eastAsia" w:ascii="仿宋_GB2312" w:hAnsi="仿宋_GB2312" w:eastAsia="仿宋_GB2312" w:cs="仿宋_GB2312"/>
          <w:color w:val="auto"/>
          <w:sz w:val="24"/>
          <w:szCs w:val="24"/>
          <w:highlight w:val="none"/>
        </w:rPr>
      </w:pPr>
      <w:r>
        <w:rPr>
          <w:rFonts w:hint="eastAsia" w:ascii="宋体" w:hAnsi="宋体" w:cs="仿宋_GB2312"/>
          <w:color w:val="auto"/>
          <w:sz w:val="24"/>
          <w:szCs w:val="24"/>
          <w:highlight w:val="none"/>
        </w:rPr>
        <w:t xml:space="preserve">                               年   月   日</w:t>
      </w:r>
    </w:p>
    <w:p w14:paraId="0D919DCF">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7ED77442">
      <w:pPr>
        <w:spacing w:line="360" w:lineRule="auto"/>
        <w:ind w:left="540"/>
        <w:contextualSpacing/>
        <w:rPr>
          <w:rFonts w:hint="eastAsia" w:ascii="仿宋_GB2312" w:hAnsi="仿宋_GB2312" w:eastAsia="仿宋_GB2312" w:cs="仿宋_GB2312"/>
          <w:color w:val="auto"/>
          <w:sz w:val="32"/>
          <w:szCs w:val="32"/>
          <w:highlight w:val="none"/>
        </w:rPr>
      </w:pPr>
    </w:p>
    <w:p w14:paraId="3150427B">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p>
    <w:p w14:paraId="26AB345A">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地    址：</w:t>
      </w:r>
      <w:r>
        <w:rPr>
          <w:rFonts w:hint="eastAsia" w:ascii="宋体" w:hAnsi="宋体" w:cs="仿宋_GB2312"/>
          <w:color w:val="auto"/>
          <w:sz w:val="24"/>
          <w:szCs w:val="24"/>
          <w:highlight w:val="none"/>
          <w:u w:val="single"/>
        </w:rPr>
        <w:t xml:space="preserve">                                                        </w:t>
      </w:r>
    </w:p>
    <w:p w14:paraId="7A6861D7">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姓    名：</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性     别：</w:t>
      </w:r>
      <w:r>
        <w:rPr>
          <w:rFonts w:hint="eastAsia" w:ascii="宋体" w:hAnsi="宋体" w:cs="仿宋_GB2312"/>
          <w:color w:val="auto"/>
          <w:sz w:val="24"/>
          <w:szCs w:val="24"/>
          <w:highlight w:val="none"/>
          <w:u w:val="single"/>
        </w:rPr>
        <w:t xml:space="preserve">                </w:t>
      </w:r>
    </w:p>
    <w:p w14:paraId="03BDC7C6">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u w:val="single"/>
        </w:rPr>
      </w:pPr>
      <w:r>
        <w:rPr>
          <w:rFonts w:hint="eastAsia" w:ascii="宋体" w:hAnsi="宋体" w:cs="仿宋_GB2312"/>
          <w:color w:val="auto"/>
          <w:sz w:val="24"/>
          <w:szCs w:val="24"/>
          <w:highlight w:val="none"/>
        </w:rPr>
        <w:t>年    龄：</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职     务：</w:t>
      </w:r>
      <w:r>
        <w:rPr>
          <w:rFonts w:hint="eastAsia" w:ascii="宋体" w:hAnsi="宋体" w:cs="仿宋_GB2312"/>
          <w:color w:val="auto"/>
          <w:sz w:val="24"/>
          <w:szCs w:val="24"/>
          <w:highlight w:val="none"/>
          <w:u w:val="single"/>
        </w:rPr>
        <w:t xml:space="preserve">                </w:t>
      </w:r>
    </w:p>
    <w:p w14:paraId="5BBCCBDD">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身份证号码：</w:t>
      </w:r>
      <w:r>
        <w:rPr>
          <w:rFonts w:hint="eastAsia" w:ascii="宋体" w:hAnsi="宋体" w:cs="仿宋_GB2312"/>
          <w:color w:val="auto"/>
          <w:sz w:val="24"/>
          <w:szCs w:val="24"/>
          <w:highlight w:val="none"/>
          <w:u w:val="single"/>
        </w:rPr>
        <w:t xml:space="preserve">                                        </w:t>
      </w:r>
    </w:p>
    <w:p w14:paraId="025FAACE">
      <w:pPr>
        <w:keepNext w:val="0"/>
        <w:keepLines w:val="0"/>
        <w:pageBreakBefore w:val="0"/>
        <w:widowControl w:val="0"/>
        <w:kinsoku/>
        <w:wordWrap/>
        <w:overflowPunct/>
        <w:topLinePunct w:val="0"/>
        <w:autoSpaceDE/>
        <w:autoSpaceDN/>
        <w:bidi w:val="0"/>
        <w:spacing w:line="360" w:lineRule="auto"/>
        <w:ind w:firstLine="480" w:firstLineChars="2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系</w:t>
      </w:r>
      <w:r>
        <w:rPr>
          <w:rFonts w:hint="eastAsia" w:ascii="宋体" w:hAnsi="宋体" w:cs="仿宋_GB2312"/>
          <w:color w:val="auto"/>
          <w:sz w:val="24"/>
          <w:szCs w:val="24"/>
          <w:highlight w:val="none"/>
          <w:u w:val="single"/>
        </w:rPr>
        <w:t>（供应商名称）</w:t>
      </w:r>
      <w:r>
        <w:rPr>
          <w:rFonts w:hint="eastAsia" w:ascii="宋体" w:hAnsi="宋体" w:cs="仿宋_GB2312"/>
          <w:color w:val="auto"/>
          <w:sz w:val="24"/>
          <w:szCs w:val="24"/>
          <w:highlight w:val="none"/>
        </w:rPr>
        <w:t>的法定代表人。</w:t>
      </w:r>
    </w:p>
    <w:p w14:paraId="343394E3">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63286D55">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rPr>
      </w:pPr>
    </w:p>
    <w:p w14:paraId="01EA9076">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rPr>
      </w:pPr>
    </w:p>
    <w:p w14:paraId="00449D27">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rPr>
      </w:pPr>
    </w:p>
    <w:p w14:paraId="04FA6C02">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附件：法定代表人有效身份证正反面复印件</w:t>
      </w:r>
    </w:p>
    <w:p w14:paraId="46E243CF">
      <w:pPr>
        <w:keepNext w:val="0"/>
        <w:keepLines w:val="0"/>
        <w:pageBreakBefore w:val="0"/>
        <w:widowControl w:val="0"/>
        <w:kinsoku/>
        <w:wordWrap/>
        <w:overflowPunct/>
        <w:topLinePunct w:val="0"/>
        <w:autoSpaceDE/>
        <w:autoSpaceDN/>
        <w:bidi w:val="0"/>
        <w:spacing w:line="360" w:lineRule="auto"/>
        <w:ind w:left="540"/>
        <w:contextualSpacing/>
        <w:textAlignment w:val="auto"/>
        <w:rPr>
          <w:rFonts w:hint="eastAsia" w:ascii="宋体" w:hAnsi="宋体" w:cs="仿宋_GB2312"/>
          <w:color w:val="auto"/>
          <w:sz w:val="24"/>
          <w:szCs w:val="24"/>
          <w:highlight w:val="none"/>
        </w:rPr>
      </w:pPr>
    </w:p>
    <w:p w14:paraId="17E6180B">
      <w:pPr>
        <w:keepNext w:val="0"/>
        <w:keepLines w:val="0"/>
        <w:pageBreakBefore w:val="0"/>
        <w:widowControl w:val="0"/>
        <w:kinsoku/>
        <w:wordWrap/>
        <w:overflowPunct/>
        <w:topLinePunct w:val="0"/>
        <w:autoSpaceDE/>
        <w:autoSpaceDN/>
        <w:bidi w:val="0"/>
        <w:spacing w:line="360" w:lineRule="auto"/>
        <w:ind w:left="540" w:leftChars="257" w:right="480" w:firstLine="2280" w:firstLineChars="95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供应商名称（电子签章）：</w:t>
      </w:r>
      <w:r>
        <w:rPr>
          <w:rFonts w:hint="eastAsia" w:ascii="宋体" w:hAnsi="宋体" w:cs="仿宋_GB2312"/>
          <w:color w:val="auto"/>
          <w:sz w:val="24"/>
          <w:szCs w:val="24"/>
          <w:highlight w:val="none"/>
          <w:u w:val="single"/>
        </w:rPr>
        <w:t xml:space="preserve">               </w:t>
      </w:r>
    </w:p>
    <w:p w14:paraId="2A47336F">
      <w:pPr>
        <w:keepNext w:val="0"/>
        <w:keepLines w:val="0"/>
        <w:pageBreakBefore w:val="0"/>
        <w:widowControl w:val="0"/>
        <w:kinsoku/>
        <w:wordWrap/>
        <w:overflowPunct/>
        <w:topLinePunct w:val="0"/>
        <w:autoSpaceDE/>
        <w:autoSpaceDN/>
        <w:bidi w:val="0"/>
        <w:spacing w:line="360" w:lineRule="auto"/>
        <w:ind w:firstLine="5040" w:firstLineChars="2100"/>
        <w:contextualSpacing/>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年</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月</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日</w:t>
      </w:r>
    </w:p>
    <w:p w14:paraId="6236E1A1">
      <w:pPr>
        <w:keepNext w:val="0"/>
        <w:keepLines w:val="0"/>
        <w:pageBreakBefore w:val="0"/>
        <w:widowControl w:val="0"/>
        <w:kinsoku/>
        <w:wordWrap/>
        <w:overflowPunct/>
        <w:topLinePunct w:val="0"/>
        <w:autoSpaceDE/>
        <w:autoSpaceDN/>
        <w:bidi w:val="0"/>
        <w:spacing w:line="360" w:lineRule="auto"/>
        <w:contextualSpacing/>
        <w:jc w:val="center"/>
        <w:textAlignment w:val="auto"/>
        <w:rPr>
          <w:rFonts w:hint="eastAsia" w:ascii="宋体" w:hAnsi="宋体" w:cs="仿宋_GB2312"/>
          <w:b/>
          <w:color w:val="auto"/>
          <w:sz w:val="24"/>
          <w:szCs w:val="24"/>
          <w:highlight w:val="none"/>
        </w:rPr>
      </w:pPr>
    </w:p>
    <w:p w14:paraId="6777F13F">
      <w:pPr>
        <w:keepNext w:val="0"/>
        <w:keepLines w:val="0"/>
        <w:pageBreakBefore w:val="0"/>
        <w:widowControl w:val="0"/>
        <w:kinsoku/>
        <w:wordWrap/>
        <w:overflowPunct/>
        <w:topLinePunct w:val="0"/>
        <w:autoSpaceDE/>
        <w:autoSpaceDN/>
        <w:bidi w:val="0"/>
        <w:spacing w:line="360" w:lineRule="auto"/>
        <w:contextualSpacing/>
        <w:jc w:val="left"/>
        <w:textAlignment w:val="auto"/>
        <w:rPr>
          <w:rFonts w:hint="eastAsia" w:ascii="宋体" w:hAnsi="宋体" w:cs="仿宋_GB2312"/>
          <w:color w:val="auto"/>
          <w:sz w:val="24"/>
          <w:szCs w:val="24"/>
          <w:highlight w:val="none"/>
        </w:rPr>
      </w:pPr>
    </w:p>
    <w:p w14:paraId="522E4F7B">
      <w:pPr>
        <w:keepNext w:val="0"/>
        <w:keepLines w:val="0"/>
        <w:pageBreakBefore w:val="0"/>
        <w:widowControl w:val="0"/>
        <w:kinsoku/>
        <w:wordWrap/>
        <w:overflowPunct/>
        <w:topLinePunct w:val="0"/>
        <w:autoSpaceDE/>
        <w:autoSpaceDN/>
        <w:bidi w:val="0"/>
        <w:spacing w:line="360" w:lineRule="auto"/>
        <w:contextualSpacing/>
        <w:jc w:val="left"/>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注：自然人</w:t>
      </w:r>
      <w:r>
        <w:rPr>
          <w:rFonts w:hint="eastAsia" w:ascii="宋体" w:hAnsi="宋体" w:cs="仿宋_GB2312"/>
          <w:color w:val="auto"/>
          <w:sz w:val="24"/>
          <w:szCs w:val="24"/>
          <w:highlight w:val="none"/>
          <w:lang w:eastAsia="zh-CN"/>
        </w:rPr>
        <w:t>响应</w:t>
      </w:r>
      <w:r>
        <w:rPr>
          <w:rFonts w:hint="eastAsia" w:ascii="宋体" w:hAnsi="宋体" w:cs="仿宋_GB2312"/>
          <w:color w:val="auto"/>
          <w:sz w:val="24"/>
          <w:szCs w:val="24"/>
          <w:highlight w:val="none"/>
        </w:rPr>
        <w:t>的无需提供，联合体</w:t>
      </w:r>
      <w:r>
        <w:rPr>
          <w:rFonts w:hint="eastAsia" w:ascii="宋体" w:hAnsi="宋体" w:cs="仿宋_GB2312"/>
          <w:color w:val="auto"/>
          <w:sz w:val="24"/>
          <w:szCs w:val="24"/>
          <w:highlight w:val="none"/>
          <w:lang w:eastAsia="zh-CN"/>
        </w:rPr>
        <w:t>响应</w:t>
      </w:r>
      <w:r>
        <w:rPr>
          <w:rFonts w:hint="eastAsia" w:ascii="宋体" w:hAnsi="宋体" w:cs="仿宋_GB2312"/>
          <w:color w:val="auto"/>
          <w:sz w:val="24"/>
          <w:szCs w:val="24"/>
          <w:highlight w:val="none"/>
        </w:rPr>
        <w:t>的只需牵头人出具。</w:t>
      </w:r>
    </w:p>
    <w:p w14:paraId="4F46A51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b/>
          <w:color w:val="auto"/>
          <w:sz w:val="24"/>
          <w:szCs w:val="24"/>
          <w:highlight w:val="none"/>
        </w:rPr>
      </w:pPr>
    </w:p>
    <w:p w14:paraId="6D461B2D">
      <w:pPr>
        <w:keepNext w:val="0"/>
        <w:keepLines w:val="0"/>
        <w:pageBreakBefore w:val="0"/>
        <w:widowControl w:val="0"/>
        <w:kinsoku/>
        <w:wordWrap/>
        <w:overflowPunct/>
        <w:topLinePunct w:val="0"/>
        <w:autoSpaceDE/>
        <w:autoSpaceDN/>
        <w:bidi w:val="0"/>
        <w:spacing w:line="360" w:lineRule="auto"/>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24"/>
          <w:szCs w:val="24"/>
          <w:highlight w:val="none"/>
        </w:rPr>
        <w:br w:type="page"/>
      </w:r>
    </w:p>
    <w:p w14:paraId="6154C1AC">
      <w:pPr>
        <w:spacing w:line="520" w:lineRule="exact"/>
        <w:jc w:val="center"/>
        <w:rPr>
          <w:rFonts w:hint="eastAsia" w:ascii="方正小标宋简体" w:hAnsi="方正小标宋简体" w:eastAsia="方正小标宋简体" w:cs="方正小标宋简体"/>
          <w:color w:val="auto"/>
          <w:sz w:val="44"/>
          <w:szCs w:val="44"/>
          <w:highlight w:val="none"/>
        </w:rPr>
      </w:pPr>
      <w:bookmarkStart w:id="133" w:name="_Hlk65853643"/>
      <w:r>
        <w:rPr>
          <w:rFonts w:hint="eastAsia" w:ascii="方正小标宋简体" w:hAnsi="方正小标宋简体" w:eastAsia="方正小标宋简体" w:cs="方正小标宋简体"/>
          <w:color w:val="auto"/>
          <w:sz w:val="44"/>
          <w:szCs w:val="44"/>
          <w:highlight w:val="none"/>
        </w:rPr>
        <w:t>授权委托书</w:t>
      </w:r>
    </w:p>
    <w:p w14:paraId="791B4D61">
      <w:pPr>
        <w:spacing w:line="520" w:lineRule="exact"/>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（非联合体</w:t>
      </w:r>
      <w:r>
        <w:rPr>
          <w:rFonts w:hint="eastAsia" w:ascii="方正小标宋简体" w:hAnsi="方正小标宋简体" w:eastAsia="方正小标宋简体" w:cs="方正小标宋简体"/>
          <w:color w:val="auto"/>
          <w:sz w:val="32"/>
          <w:szCs w:val="32"/>
          <w:highlight w:val="none"/>
          <w:lang w:eastAsia="zh-CN"/>
        </w:rPr>
        <w:t>响应</w:t>
      </w:r>
      <w:r>
        <w:rPr>
          <w:rFonts w:hint="eastAsia" w:ascii="方正小标宋简体" w:hAnsi="方正小标宋简体" w:eastAsia="方正小标宋简体" w:cs="方正小标宋简体"/>
          <w:color w:val="auto"/>
          <w:sz w:val="32"/>
          <w:szCs w:val="32"/>
          <w:highlight w:val="none"/>
        </w:rPr>
        <w:t>格式）</w:t>
      </w:r>
    </w:p>
    <w:p w14:paraId="0E53158A">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27748A58">
      <w:pPr>
        <w:spacing w:line="520" w:lineRule="exact"/>
        <w:rPr>
          <w:rFonts w:hint="eastAsia" w:ascii="仿宋_GB2312" w:hAnsi="仿宋_GB2312" w:eastAsia="仿宋_GB2312" w:cs="仿宋_GB2312"/>
          <w:color w:val="auto"/>
          <w:sz w:val="32"/>
          <w:szCs w:val="32"/>
          <w:highlight w:val="none"/>
        </w:rPr>
      </w:pPr>
    </w:p>
    <w:p w14:paraId="4832A672">
      <w:pPr>
        <w:spacing w:line="360" w:lineRule="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致：</w:t>
      </w:r>
      <w:r>
        <w:rPr>
          <w:rFonts w:hint="eastAsia" w:ascii="宋体" w:hAnsi="宋体" w:cs="仿宋_GB2312"/>
          <w:color w:val="auto"/>
          <w:sz w:val="24"/>
          <w:szCs w:val="24"/>
          <w:highlight w:val="none"/>
          <w:u w:val="single"/>
        </w:rPr>
        <w:t>（采购人名称）</w:t>
      </w:r>
      <w:r>
        <w:rPr>
          <w:rFonts w:hint="eastAsia" w:ascii="宋体" w:hAnsi="宋体" w:cs="仿宋_GB2312"/>
          <w:color w:val="auto"/>
          <w:sz w:val="24"/>
          <w:szCs w:val="24"/>
          <w:highlight w:val="none"/>
        </w:rPr>
        <w:t>：</w:t>
      </w:r>
    </w:p>
    <w:p w14:paraId="7CC67C29">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我</w:t>
      </w:r>
      <w:r>
        <w:rPr>
          <w:rFonts w:hint="eastAsia" w:ascii="宋体" w:hAnsi="宋体" w:cs="仿宋_GB2312"/>
          <w:color w:val="auto"/>
          <w:sz w:val="24"/>
          <w:szCs w:val="24"/>
          <w:highlight w:val="none"/>
          <w:u w:val="single"/>
        </w:rPr>
        <w:t xml:space="preserve">  （姓名）  </w:t>
      </w:r>
      <w:r>
        <w:rPr>
          <w:rFonts w:hint="eastAsia" w:ascii="宋体" w:hAnsi="宋体" w:cs="仿宋_GB2312"/>
          <w:color w:val="auto"/>
          <w:sz w:val="24"/>
          <w:szCs w:val="24"/>
          <w:highlight w:val="none"/>
        </w:rPr>
        <w:t>系</w:t>
      </w:r>
      <w:r>
        <w:rPr>
          <w:rFonts w:hint="eastAsia" w:ascii="宋体" w:hAnsi="宋体" w:cs="仿宋_GB2312"/>
          <w:color w:val="auto"/>
          <w:sz w:val="24"/>
          <w:szCs w:val="24"/>
          <w:highlight w:val="none"/>
          <w:u w:val="single"/>
        </w:rPr>
        <w:t xml:space="preserve">  （供应商名称）  </w:t>
      </w:r>
      <w:r>
        <w:rPr>
          <w:rFonts w:hint="eastAsia" w:ascii="宋体" w:hAnsi="宋体" w:cs="仿宋_GB2312"/>
          <w:color w:val="auto"/>
          <w:sz w:val="24"/>
          <w:szCs w:val="24"/>
          <w:highlight w:val="none"/>
        </w:rPr>
        <w:t>的（</w:t>
      </w:r>
      <w:r>
        <w:rPr>
          <w:rFonts w:hint="eastAsia" w:ascii="宋体" w:hAnsi="宋体" w:cs="仿宋_GB2312"/>
          <w:color w:val="auto"/>
          <w:sz w:val="24"/>
          <w:szCs w:val="24"/>
          <w:highlight w:val="none"/>
          <w:u w:val="single"/>
        </w:rPr>
        <w:sym w:font="Wingdings 2" w:char="00A3"/>
      </w:r>
      <w:r>
        <w:rPr>
          <w:rFonts w:hint="eastAsia" w:ascii="宋体" w:hAnsi="宋体" w:cs="仿宋_GB2312"/>
          <w:color w:val="auto"/>
          <w:sz w:val="24"/>
          <w:szCs w:val="24"/>
          <w:highlight w:val="none"/>
          <w:u w:val="single"/>
        </w:rPr>
        <w:t>法定代表人/□负责人/□自然人本人</w:t>
      </w:r>
      <w:r>
        <w:rPr>
          <w:rFonts w:hint="eastAsia" w:ascii="宋体" w:hAnsi="宋体" w:cs="仿宋_GB2312"/>
          <w:color w:val="auto"/>
          <w:sz w:val="24"/>
          <w:szCs w:val="24"/>
          <w:highlight w:val="none"/>
        </w:rPr>
        <w:t>），现授权</w:t>
      </w:r>
      <w:r>
        <w:rPr>
          <w:rFonts w:hint="eastAsia" w:ascii="宋体" w:hAnsi="宋体" w:cs="仿宋_GB2312"/>
          <w:color w:val="auto"/>
          <w:sz w:val="24"/>
          <w:szCs w:val="24"/>
          <w:highlight w:val="none"/>
          <w:u w:val="single"/>
        </w:rPr>
        <w:t xml:space="preserve"> （姓名） </w:t>
      </w:r>
      <w:r>
        <w:rPr>
          <w:rFonts w:hint="eastAsia" w:ascii="宋体" w:hAnsi="宋体" w:cs="仿宋_GB2312"/>
          <w:color w:val="auto"/>
          <w:sz w:val="24"/>
          <w:szCs w:val="24"/>
          <w:highlight w:val="none"/>
        </w:rPr>
        <w:t>以我方的名义参加</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项目的</w:t>
      </w:r>
      <w:r>
        <w:rPr>
          <w:rFonts w:hint="eastAsia" w:ascii="宋体" w:hAnsi="宋体" w:cs="仿宋_GB2312"/>
          <w:color w:val="auto"/>
          <w:sz w:val="24"/>
          <w:szCs w:val="24"/>
          <w:highlight w:val="none"/>
          <w:lang w:eastAsia="zh-CN"/>
        </w:rPr>
        <w:t>响应</w:t>
      </w:r>
      <w:r>
        <w:rPr>
          <w:rFonts w:hint="eastAsia" w:ascii="宋体" w:hAnsi="宋体" w:cs="仿宋_GB2312"/>
          <w:color w:val="auto"/>
          <w:sz w:val="24"/>
          <w:szCs w:val="24"/>
          <w:highlight w:val="none"/>
        </w:rPr>
        <w:t>活动，并代表我方全权办理针对上述项目的所有采购程序和环节的具体事务和签署相关文件。</w:t>
      </w:r>
    </w:p>
    <w:p w14:paraId="0746272B">
      <w:pPr>
        <w:spacing w:line="360" w:lineRule="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 xml:space="preserve">    我方对委托代理人的签字</w:t>
      </w:r>
      <w:r>
        <w:rPr>
          <w:rFonts w:hint="eastAsia" w:ascii="宋体" w:hAnsi="宋体"/>
          <w:color w:val="auto"/>
          <w:sz w:val="24"/>
          <w:szCs w:val="24"/>
          <w:highlight w:val="none"/>
        </w:rPr>
        <w:t>或者电子签名</w:t>
      </w:r>
      <w:r>
        <w:rPr>
          <w:rFonts w:hint="eastAsia" w:ascii="宋体" w:hAnsi="宋体" w:cs="仿宋_GB2312"/>
          <w:color w:val="auto"/>
          <w:sz w:val="24"/>
          <w:szCs w:val="24"/>
          <w:highlight w:val="none"/>
        </w:rPr>
        <w:t>事项负全部责任。</w:t>
      </w:r>
    </w:p>
    <w:p w14:paraId="41B49955">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本授权书自签署之日起生效，在撤销授权的书面通知以前，本授权书一直有效。委托代理人在授权书有效期内签署的所有文件不因授权的撤销而失效。</w:t>
      </w:r>
    </w:p>
    <w:p w14:paraId="113E4CC8">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委托代理人无转委托权，特此委托。</w:t>
      </w:r>
    </w:p>
    <w:p w14:paraId="1657F1C5">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附：法定代表人身份证明书及委托代理人有效身份证正反面复印件</w:t>
      </w:r>
    </w:p>
    <w:p w14:paraId="61A3631E">
      <w:pPr>
        <w:spacing w:line="360" w:lineRule="auto"/>
        <w:rPr>
          <w:rFonts w:hint="eastAsia" w:ascii="宋体" w:hAnsi="宋体" w:cs="仿宋_GB2312"/>
          <w:color w:val="auto"/>
          <w:sz w:val="24"/>
          <w:szCs w:val="24"/>
          <w:highlight w:val="none"/>
        </w:rPr>
      </w:pPr>
    </w:p>
    <w:p w14:paraId="175AFCF1">
      <w:pPr>
        <w:spacing w:line="360" w:lineRule="auto"/>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委托代理人（</w:t>
      </w:r>
      <w:r>
        <w:rPr>
          <w:rFonts w:hint="eastAsia" w:ascii="宋体" w:hAnsi="宋体"/>
          <w:color w:val="auto"/>
          <w:sz w:val="24"/>
          <w:szCs w:val="24"/>
          <w:highlight w:val="none"/>
        </w:rPr>
        <w:t>签字或者电子签名</w:t>
      </w:r>
      <w:r>
        <w:rPr>
          <w:rFonts w:hint="eastAsia" w:ascii="宋体" w:hAnsi="宋体" w:cs="仿宋_GB2312"/>
          <w:color w:val="auto"/>
          <w:sz w:val="24"/>
          <w:szCs w:val="24"/>
          <w:highlight w:val="none"/>
        </w:rPr>
        <w:t xml:space="preserve">）：     法定代表人（签字或者盖章或者电子签名）：                    </w:t>
      </w:r>
    </w:p>
    <w:p w14:paraId="394C147F">
      <w:pPr>
        <w:spacing w:line="360" w:lineRule="auto"/>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 xml:space="preserve">委托代理人身份证号码：                              </w:t>
      </w:r>
    </w:p>
    <w:p w14:paraId="7C1544A4">
      <w:pPr>
        <w:spacing w:line="360" w:lineRule="auto"/>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 xml:space="preserve">                                </w:t>
      </w:r>
    </w:p>
    <w:p w14:paraId="3489B1BF">
      <w:pPr>
        <w:spacing w:line="360" w:lineRule="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 xml:space="preserve">                          供应商名称（电子签章）：                      </w:t>
      </w:r>
    </w:p>
    <w:p w14:paraId="3D5A47E5">
      <w:pPr>
        <w:spacing w:line="360" w:lineRule="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 xml:space="preserve">                                         年    月    日</w:t>
      </w:r>
    </w:p>
    <w:p w14:paraId="1EE4A9DC">
      <w:pPr>
        <w:spacing w:line="360" w:lineRule="auto"/>
        <w:rPr>
          <w:rFonts w:hint="eastAsia" w:ascii="宋体" w:hAnsi="宋体" w:cs="仿宋_GB2312"/>
          <w:color w:val="auto"/>
          <w:sz w:val="24"/>
          <w:szCs w:val="24"/>
          <w:highlight w:val="none"/>
        </w:rPr>
      </w:pPr>
    </w:p>
    <w:p w14:paraId="79E1EE6A">
      <w:pPr>
        <w:spacing w:line="360" w:lineRule="auto"/>
        <w:rPr>
          <w:rFonts w:ascii="宋体" w:hAnsi="宋体" w:cs="仿宋_GB2312"/>
          <w:color w:val="auto"/>
          <w:sz w:val="24"/>
          <w:szCs w:val="24"/>
          <w:highlight w:val="none"/>
        </w:rPr>
      </w:pPr>
      <w:r>
        <w:rPr>
          <w:rFonts w:hint="eastAsia" w:ascii="宋体" w:hAnsi="宋体" w:cs="仿宋_GB2312"/>
          <w:color w:val="auto"/>
          <w:sz w:val="24"/>
          <w:szCs w:val="24"/>
          <w:highlight w:val="none"/>
        </w:rPr>
        <w:t>注：1. 法定代表人必须在授权委托书上签字或者盖章</w:t>
      </w:r>
      <w:r>
        <w:rPr>
          <w:rFonts w:hint="eastAsia" w:ascii="宋体" w:hAnsi="宋体"/>
          <w:color w:val="auto"/>
          <w:sz w:val="24"/>
          <w:szCs w:val="24"/>
          <w:highlight w:val="none"/>
        </w:rPr>
        <w:t>或者电子签名</w:t>
      </w:r>
      <w:r>
        <w:rPr>
          <w:rFonts w:hint="eastAsia" w:ascii="宋体" w:hAnsi="宋体" w:cs="仿宋_GB2312"/>
          <w:color w:val="auto"/>
          <w:sz w:val="24"/>
          <w:szCs w:val="24"/>
          <w:highlight w:val="none"/>
        </w:rPr>
        <w:t>，委托代理人必须在授权委托书上签字或者电子签名，</w:t>
      </w:r>
      <w:r>
        <w:rPr>
          <w:rFonts w:hint="eastAsia" w:ascii="宋体" w:hAnsi="宋体" w:cs="仿宋_GB2312"/>
          <w:b/>
          <w:color w:val="auto"/>
          <w:sz w:val="24"/>
          <w:szCs w:val="24"/>
          <w:highlight w:val="none"/>
        </w:rPr>
        <w:t>否则其响应文件按无效响应处理。</w:t>
      </w:r>
    </w:p>
    <w:p w14:paraId="0E2EAF74">
      <w:pPr>
        <w:spacing w:line="360" w:lineRule="auto"/>
        <w:ind w:firstLine="480" w:firstLineChars="200"/>
        <w:jc w:val="left"/>
        <w:rPr>
          <w:rFonts w:hint="eastAsia" w:ascii="宋体" w:hAnsi="宋体" w:cs="仿宋_GB2312"/>
          <w:color w:val="auto"/>
          <w:sz w:val="24"/>
          <w:szCs w:val="24"/>
          <w:highlight w:val="none"/>
        </w:rPr>
      </w:pPr>
      <w:r>
        <w:rPr>
          <w:rFonts w:ascii="宋体" w:hAnsi="宋体" w:cs="仿宋_GB2312"/>
          <w:color w:val="auto"/>
          <w:sz w:val="24"/>
          <w:szCs w:val="24"/>
          <w:highlight w:val="none"/>
        </w:rPr>
        <w:t>2.</w:t>
      </w:r>
      <w:bookmarkStart w:id="134" w:name="_Hlk65853109"/>
      <w:bookmarkStart w:id="135" w:name="_Hlk65853542"/>
      <w:r>
        <w:rPr>
          <w:rFonts w:hint="eastAsia" w:ascii="宋体" w:hAnsi="宋体" w:cs="仿宋_GB2312"/>
          <w:color w:val="auto"/>
          <w:sz w:val="24"/>
          <w:szCs w:val="24"/>
          <w:highlight w:val="none"/>
        </w:rPr>
        <w:t>法人、其他组织</w:t>
      </w:r>
      <w:r>
        <w:rPr>
          <w:rFonts w:hint="eastAsia" w:ascii="宋体" w:hAnsi="宋体" w:cs="仿宋_GB2312"/>
          <w:color w:val="auto"/>
          <w:sz w:val="24"/>
          <w:szCs w:val="24"/>
          <w:highlight w:val="none"/>
          <w:lang w:eastAsia="zh-CN"/>
        </w:rPr>
        <w:t>响应</w:t>
      </w:r>
      <w:r>
        <w:rPr>
          <w:rFonts w:hint="eastAsia" w:ascii="宋体" w:hAnsi="宋体" w:cs="仿宋_GB2312"/>
          <w:color w:val="auto"/>
          <w:sz w:val="24"/>
          <w:szCs w:val="24"/>
          <w:highlight w:val="none"/>
        </w:rPr>
        <w:t>时“我方”是指“我单位”，自然人</w:t>
      </w:r>
      <w:r>
        <w:rPr>
          <w:rFonts w:hint="eastAsia" w:ascii="宋体" w:hAnsi="宋体" w:cs="仿宋_GB2312"/>
          <w:color w:val="auto"/>
          <w:sz w:val="24"/>
          <w:szCs w:val="24"/>
          <w:highlight w:val="none"/>
          <w:lang w:eastAsia="zh-CN"/>
        </w:rPr>
        <w:t>响应</w:t>
      </w:r>
      <w:r>
        <w:rPr>
          <w:rFonts w:hint="eastAsia" w:ascii="宋体" w:hAnsi="宋体" w:cs="仿宋_GB2312"/>
          <w:color w:val="auto"/>
          <w:sz w:val="24"/>
          <w:szCs w:val="24"/>
          <w:highlight w:val="none"/>
        </w:rPr>
        <w:t>时“我方”是指“本人”。</w:t>
      </w:r>
      <w:bookmarkEnd w:id="134"/>
    </w:p>
    <w:bookmarkEnd w:id="135"/>
    <w:p w14:paraId="0C90CA65">
      <w:pPr>
        <w:spacing w:line="360" w:lineRule="auto"/>
        <w:ind w:firstLine="480" w:firstLineChars="200"/>
        <w:jc w:val="left"/>
        <w:rPr>
          <w:rFonts w:hint="eastAsia" w:ascii="仿宋_GB2312" w:hAnsi="仿宋_GB2312" w:eastAsia="仿宋_GB2312" w:cs="仿宋_GB2312"/>
          <w:color w:val="auto"/>
          <w:sz w:val="24"/>
          <w:szCs w:val="24"/>
          <w:highlight w:val="none"/>
        </w:rPr>
      </w:pPr>
    </w:p>
    <w:p w14:paraId="7DC4E6D8">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ascii="仿宋_GB2312" w:hAnsi="仿宋_GB2312" w:eastAsia="仿宋_GB2312" w:cs="仿宋_GB2312"/>
          <w:color w:val="auto"/>
          <w:szCs w:val="21"/>
          <w:highlight w:val="none"/>
        </w:rPr>
        <w:br w:type="page"/>
      </w:r>
      <w:r>
        <w:rPr>
          <w:rFonts w:hint="eastAsia" w:ascii="方正小标宋简体" w:hAnsi="方正小标宋简体" w:eastAsia="方正小标宋简体" w:cs="方正小标宋简体"/>
          <w:color w:val="auto"/>
          <w:sz w:val="44"/>
          <w:szCs w:val="44"/>
          <w:highlight w:val="none"/>
        </w:rPr>
        <w:t>授权委托书</w:t>
      </w:r>
    </w:p>
    <w:p w14:paraId="3842059D">
      <w:pPr>
        <w:spacing w:line="500" w:lineRule="exact"/>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（联合体</w:t>
      </w:r>
      <w:r>
        <w:rPr>
          <w:rFonts w:hint="eastAsia" w:ascii="方正小标宋简体" w:hAnsi="方正小标宋简体" w:eastAsia="方正小标宋简体" w:cs="方正小标宋简体"/>
          <w:color w:val="auto"/>
          <w:sz w:val="32"/>
          <w:szCs w:val="32"/>
          <w:highlight w:val="none"/>
          <w:lang w:eastAsia="zh-CN"/>
        </w:rPr>
        <w:t>响应</w:t>
      </w:r>
      <w:r>
        <w:rPr>
          <w:rFonts w:hint="eastAsia" w:ascii="方正小标宋简体" w:hAnsi="方正小标宋简体" w:eastAsia="方正小标宋简体" w:cs="方正小标宋简体"/>
          <w:color w:val="auto"/>
          <w:sz w:val="32"/>
          <w:szCs w:val="32"/>
          <w:highlight w:val="none"/>
        </w:rPr>
        <w:t>格式）</w:t>
      </w:r>
    </w:p>
    <w:p w14:paraId="167CE5BB">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49D788C9">
      <w:pPr>
        <w:spacing w:line="360" w:lineRule="auto"/>
        <w:jc w:val="center"/>
        <w:rPr>
          <w:rFonts w:ascii="方正小标宋简体" w:hAnsi="方正小标宋简体" w:eastAsia="方正小标宋简体" w:cs="方正小标宋简体"/>
          <w:color w:val="auto"/>
          <w:sz w:val="44"/>
          <w:szCs w:val="44"/>
          <w:highlight w:val="none"/>
        </w:rPr>
      </w:pPr>
    </w:p>
    <w:p w14:paraId="48BE4969">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本授权委托书声明：根据</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（牵头人名称）与</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（联合体其他成员名称）签订的《联合体</w:t>
      </w:r>
      <w:r>
        <w:rPr>
          <w:rFonts w:hint="eastAsia" w:ascii="宋体" w:hAnsi="宋体" w:cs="仿宋_GB2312"/>
          <w:color w:val="auto"/>
          <w:sz w:val="24"/>
          <w:highlight w:val="none"/>
          <w:lang w:eastAsia="zh-CN"/>
        </w:rPr>
        <w:t>响应</w:t>
      </w:r>
      <w:r>
        <w:rPr>
          <w:rFonts w:hint="eastAsia" w:ascii="宋体" w:hAnsi="宋体" w:cs="仿宋_GB2312"/>
          <w:color w:val="auto"/>
          <w:sz w:val="24"/>
          <w:highlight w:val="none"/>
        </w:rPr>
        <w:t>协议书》的内容，</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（牵头人名称）的法定代表人</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（姓名）现授权</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（姓名）为联合委托代理人，并代表我方全权办理针对上述项目的所有采购程序和环节的具体事务和签署相关文件。</w:t>
      </w:r>
    </w:p>
    <w:p w14:paraId="504DD0E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31AB3D5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73A32EB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2B704D1B">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附：法定代表人身份证明书及委托代理人有效身份证正反面复印件</w:t>
      </w:r>
    </w:p>
    <w:p w14:paraId="0E562D9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牵头人法定代表人（签字或者盖章或者电子签名）：</w:t>
      </w:r>
    </w:p>
    <w:p w14:paraId="687B8C20">
      <w:pPr>
        <w:spacing w:line="360" w:lineRule="auto"/>
        <w:ind w:firstLine="3120" w:firstLineChars="130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牵头人名称（电子签章）：</w:t>
      </w:r>
    </w:p>
    <w:p w14:paraId="208E7E7F">
      <w:pPr>
        <w:spacing w:line="360" w:lineRule="auto"/>
        <w:ind w:firstLine="3840" w:firstLineChars="1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02EDA1FE">
      <w:pPr>
        <w:spacing w:line="360" w:lineRule="auto"/>
        <w:contextualSpacing/>
        <w:rPr>
          <w:rFonts w:hint="eastAsia" w:ascii="宋体" w:hAnsi="宋体" w:cs="仿宋_GB2312"/>
          <w:color w:val="auto"/>
          <w:sz w:val="24"/>
          <w:highlight w:val="none"/>
        </w:rPr>
      </w:pPr>
    </w:p>
    <w:p w14:paraId="73561532">
      <w:pPr>
        <w:spacing w:line="360" w:lineRule="auto"/>
        <w:ind w:firstLine="3120" w:firstLineChars="1300"/>
        <w:contextualSpacing/>
        <w:rPr>
          <w:rFonts w:hint="eastAsia" w:ascii="宋体" w:hAnsi="宋体" w:cs="仿宋_GB2312"/>
          <w:color w:val="auto"/>
          <w:sz w:val="24"/>
          <w:highlight w:val="none"/>
        </w:rPr>
      </w:pPr>
      <w:r>
        <w:rPr>
          <w:rFonts w:hint="eastAsia" w:ascii="宋体" w:hAnsi="宋体" w:cs="仿宋_GB2312"/>
          <w:color w:val="auto"/>
          <w:sz w:val="24"/>
          <w:highlight w:val="none"/>
        </w:rPr>
        <w:t>被授权人（签字或者电子签名）：</w:t>
      </w:r>
    </w:p>
    <w:p w14:paraId="665AF6CA">
      <w:pPr>
        <w:spacing w:line="360" w:lineRule="auto"/>
        <w:ind w:firstLine="3840" w:firstLineChars="1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382D516">
      <w:pPr>
        <w:spacing w:line="360" w:lineRule="auto"/>
        <w:contextualSpacing/>
        <w:rPr>
          <w:rFonts w:hint="eastAsia" w:ascii="宋体" w:hAnsi="宋体" w:cs="仿宋_GB2312"/>
          <w:color w:val="auto"/>
          <w:sz w:val="24"/>
          <w:highlight w:val="none"/>
        </w:rPr>
      </w:pPr>
    </w:p>
    <w:p w14:paraId="47B7602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41427A3B">
      <w:pPr>
        <w:spacing w:line="360" w:lineRule="auto"/>
        <w:ind w:firstLine="480" w:firstLineChars="200"/>
        <w:jc w:val="left"/>
        <w:rPr>
          <w:rFonts w:hint="eastAsia" w:ascii="宋体" w:hAnsi="宋体" w:cs="仿宋_GB2312"/>
          <w:color w:val="auto"/>
          <w:spacing w:val="-11"/>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w:t>
      </w:r>
      <w:r>
        <w:rPr>
          <w:rFonts w:hint="eastAsia" w:ascii="宋体" w:hAnsi="宋体" w:cs="仿宋_GB2312"/>
          <w:color w:val="auto"/>
          <w:sz w:val="24"/>
          <w:highlight w:val="none"/>
          <w:lang w:eastAsia="zh-CN"/>
        </w:rPr>
        <w:t>响应</w:t>
      </w:r>
      <w:r>
        <w:rPr>
          <w:rFonts w:hint="eastAsia" w:ascii="宋体" w:hAnsi="宋体" w:cs="仿宋_GB2312"/>
          <w:color w:val="auto"/>
          <w:sz w:val="24"/>
          <w:highlight w:val="none"/>
        </w:rPr>
        <w:t>时“我方”是指“我单位”，自然人</w:t>
      </w:r>
      <w:r>
        <w:rPr>
          <w:rFonts w:hint="eastAsia" w:ascii="宋体" w:hAnsi="宋体" w:cs="仿宋_GB2312"/>
          <w:color w:val="auto"/>
          <w:sz w:val="24"/>
          <w:highlight w:val="none"/>
          <w:lang w:eastAsia="zh-CN"/>
        </w:rPr>
        <w:t>响应</w:t>
      </w:r>
      <w:r>
        <w:rPr>
          <w:rFonts w:hint="eastAsia" w:ascii="宋体" w:hAnsi="宋体" w:cs="仿宋_GB2312"/>
          <w:color w:val="auto"/>
          <w:sz w:val="24"/>
          <w:highlight w:val="none"/>
        </w:rPr>
        <w:t>时“我方”是指“本人”。</w:t>
      </w:r>
    </w:p>
    <w:bookmarkEnd w:id="133"/>
    <w:p w14:paraId="2680E1C9">
      <w:pPr>
        <w:spacing w:line="36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仿宋_GB2312" w:hAnsi="仿宋_GB2312" w:eastAsia="仿宋_GB2312" w:cs="仿宋_GB2312"/>
          <w:color w:val="auto"/>
          <w:sz w:val="32"/>
          <w:szCs w:val="32"/>
          <w:highlight w:val="none"/>
        </w:rPr>
        <w:br w:type="page"/>
      </w:r>
      <w:r>
        <w:rPr>
          <w:rFonts w:hint="eastAsia" w:ascii="方正小标宋简体" w:hAnsi="方正小标宋简体" w:eastAsia="方正小标宋简体" w:cs="方正小标宋简体"/>
          <w:bCs/>
          <w:color w:val="auto"/>
          <w:sz w:val="44"/>
          <w:szCs w:val="44"/>
          <w:highlight w:val="none"/>
        </w:rPr>
        <w:t>商务要求偏离表格式</w:t>
      </w:r>
    </w:p>
    <w:p w14:paraId="78A58920">
      <w:pPr>
        <w:spacing w:line="500" w:lineRule="exact"/>
        <w:jc w:val="center"/>
        <w:rPr>
          <w:rFonts w:hint="eastAsia" w:ascii="宋体" w:hAnsi="宋体"/>
          <w:b/>
          <w:i/>
          <w:color w:val="auto"/>
          <w:sz w:val="32"/>
          <w:szCs w:val="32"/>
          <w:highlight w:val="none"/>
        </w:rPr>
      </w:pPr>
      <w:r>
        <w:rPr>
          <w:rFonts w:hint="eastAsia" w:ascii="方正小标宋简体" w:hAnsi="方正小标宋简体" w:eastAsia="方正小标宋简体" w:cs="方正小标宋简体"/>
          <w:bCs/>
          <w:i/>
          <w:color w:val="auto"/>
          <w:sz w:val="32"/>
          <w:szCs w:val="32"/>
          <w:highlight w:val="none"/>
        </w:rPr>
        <w:t>（注：按采购需求具体条款修改）</w:t>
      </w:r>
    </w:p>
    <w:p w14:paraId="6D987EB6">
      <w:pPr>
        <w:spacing w:line="360" w:lineRule="auto"/>
        <w:contextualSpacing/>
        <w:jc w:val="left"/>
        <w:rPr>
          <w:rFonts w:hint="eastAsia" w:ascii="宋体" w:hAnsi="宋体"/>
          <w:color w:val="auto"/>
          <w:sz w:val="24"/>
          <w:highlight w:val="none"/>
        </w:rPr>
      </w:pPr>
    </w:p>
    <w:p w14:paraId="225A15A7">
      <w:pPr>
        <w:pStyle w:val="19"/>
        <w:spacing w:line="360" w:lineRule="auto"/>
        <w:contextualSpacing/>
        <w:rPr>
          <w:rFonts w:hint="eastAsia" w:hAnsi="宋体" w:cs="仿宋_GB2312"/>
          <w:color w:val="auto"/>
          <w:sz w:val="24"/>
          <w:szCs w:val="24"/>
          <w:highlight w:val="none"/>
        </w:rPr>
      </w:pPr>
      <w:r>
        <w:rPr>
          <w:rFonts w:hint="eastAsia" w:hAnsi="宋体" w:cs="仿宋_GB2312"/>
          <w:color w:val="auto"/>
          <w:sz w:val="24"/>
          <w:szCs w:val="24"/>
          <w:highlight w:val="none"/>
        </w:rPr>
        <w:t>所竞分标：</w:t>
      </w:r>
      <w:r>
        <w:rPr>
          <w:rFonts w:hint="eastAsia" w:hAnsi="宋体" w:cs="仿宋_GB2312"/>
          <w:color w:val="auto"/>
          <w:sz w:val="24"/>
          <w:szCs w:val="24"/>
          <w:highlight w:val="none"/>
          <w:u w:val="single"/>
        </w:rPr>
        <w:t xml:space="preserve">              </w:t>
      </w:r>
    </w:p>
    <w:p w14:paraId="4D3F66C3">
      <w:pPr>
        <w:spacing w:line="360" w:lineRule="auto"/>
        <w:contextualSpacing/>
        <w:jc w:val="left"/>
        <w:rPr>
          <w:rFonts w:hint="eastAsia" w:ascii="宋体" w:hAnsi="宋体" w:cs="仿宋_GB2312"/>
          <w:color w:val="auto"/>
          <w:sz w:val="24"/>
          <w:highlight w:val="none"/>
          <w:u w:val="single"/>
        </w:rPr>
      </w:pPr>
    </w:p>
    <w:tbl>
      <w:tblPr>
        <w:tblStyle w:val="29"/>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6A8E6C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79C9AF13">
            <w:pPr>
              <w:spacing w:line="360" w:lineRule="auto"/>
              <w:contextualSpacing/>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eastAsia="zh-CN"/>
              </w:rPr>
              <w:t>名称</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630BFE4">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A43E4DF">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30E9D4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1F3DAC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BF736D7">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6139E00">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4E641DC">
            <w:pPr>
              <w:spacing w:line="360" w:lineRule="auto"/>
              <w:ind w:left="43"/>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6D916E39">
            <w:pPr>
              <w:spacing w:line="360" w:lineRule="auto"/>
              <w:ind w:left="43"/>
              <w:contextualSpacing/>
              <w:jc w:val="center"/>
              <w:rPr>
                <w:rFonts w:hint="eastAsia" w:ascii="宋体" w:hAnsi="宋体" w:cs="仿宋_GB2312"/>
                <w:color w:val="auto"/>
                <w:sz w:val="24"/>
                <w:highlight w:val="none"/>
              </w:rPr>
            </w:pPr>
          </w:p>
        </w:tc>
      </w:tr>
      <w:tr w14:paraId="2A7F2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F504913">
            <w:pPr>
              <w:jc w:val="center"/>
              <w:rPr>
                <w:rFonts w:hint="eastAsia"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005DD3F">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F111B3B">
            <w:pPr>
              <w:spacing w:line="360" w:lineRule="auto"/>
              <w:ind w:left="43"/>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0772C0F6">
            <w:pPr>
              <w:spacing w:line="360" w:lineRule="auto"/>
              <w:ind w:left="43"/>
              <w:contextualSpacing/>
              <w:jc w:val="center"/>
              <w:rPr>
                <w:rFonts w:hint="eastAsia" w:ascii="宋体" w:hAnsi="宋体" w:cs="仿宋_GB2312"/>
                <w:color w:val="auto"/>
                <w:sz w:val="24"/>
                <w:highlight w:val="none"/>
              </w:rPr>
            </w:pPr>
          </w:p>
        </w:tc>
      </w:tr>
      <w:tr w14:paraId="487F4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23C24E6E">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F036327">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6056933">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3D952716">
            <w:pPr>
              <w:spacing w:line="360" w:lineRule="auto"/>
              <w:contextualSpacing/>
              <w:jc w:val="center"/>
              <w:rPr>
                <w:rFonts w:hint="eastAsia" w:ascii="宋体" w:hAnsi="宋体" w:cs="仿宋_GB2312"/>
                <w:color w:val="auto"/>
                <w:sz w:val="24"/>
                <w:highlight w:val="none"/>
              </w:rPr>
            </w:pPr>
          </w:p>
        </w:tc>
      </w:tr>
    </w:tbl>
    <w:p w14:paraId="26DF8B19">
      <w:pPr>
        <w:pStyle w:val="14"/>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注：</w:t>
      </w:r>
    </w:p>
    <w:p w14:paraId="07BF407B">
      <w:pPr>
        <w:pStyle w:val="14"/>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1. 说明：应对照磋商文件“第三章 采购需求”中的商务要求逐条作出明确响应，并作出偏离说明。</w:t>
      </w:r>
    </w:p>
    <w:p w14:paraId="120FFE8B">
      <w:pPr>
        <w:spacing w:line="360" w:lineRule="auto"/>
        <w:contextualSpacing/>
        <w:jc w:val="left"/>
        <w:rPr>
          <w:rFonts w:hint="eastAsia" w:ascii="宋体" w:hAnsi="宋体" w:cs="仿宋_GB2312"/>
          <w:color w:val="auto"/>
          <w:sz w:val="24"/>
          <w:highlight w:val="none"/>
          <w:u w:val="singl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w:t>
      </w:r>
    </w:p>
    <w:p w14:paraId="2B10B7DC">
      <w:pPr>
        <w:spacing w:line="360" w:lineRule="auto"/>
        <w:ind w:right="-817" w:rightChars="-389"/>
        <w:contextualSpacing/>
        <w:rPr>
          <w:rFonts w:hint="eastAsia" w:ascii="宋体" w:hAnsi="宋体" w:cs="仿宋_GB2312"/>
          <w:color w:val="auto"/>
          <w:sz w:val="24"/>
          <w:highlight w:val="none"/>
        </w:rPr>
      </w:pPr>
    </w:p>
    <w:p w14:paraId="4BCD84AB">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56633F1C">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6AFFF81A">
      <w:pPr>
        <w:spacing w:line="360" w:lineRule="auto"/>
        <w:ind w:right="-817" w:rightChars="-389" w:firstLine="4080" w:firstLineChars="1700"/>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   年   月   日</w:t>
      </w:r>
    </w:p>
    <w:p w14:paraId="316247CF">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36FA0718">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6D56021E">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1E3A35F9">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7AAC368F">
      <w:pPr>
        <w:adjustRightInd w:val="0"/>
        <w:snapToGrid w:val="0"/>
        <w:spacing w:line="520" w:lineRule="exact"/>
        <w:rPr>
          <w:rFonts w:hint="eastAsia" w:ascii="宋体" w:hAnsi="宋体"/>
          <w:color w:val="auto"/>
          <w:szCs w:val="21"/>
          <w:highlight w:val="none"/>
          <w:u w:val="single"/>
        </w:rPr>
      </w:pPr>
    </w:p>
    <w:p w14:paraId="3AFE3372">
      <w:pPr>
        <w:adjustRightInd w:val="0"/>
        <w:snapToGrid w:val="0"/>
        <w:spacing w:line="300" w:lineRule="auto"/>
        <w:jc w:val="center"/>
        <w:rPr>
          <w:rFonts w:hint="eastAsia" w:ascii="方正小标宋简体" w:hAnsi="方正小标宋简体" w:eastAsia="方正小标宋简体" w:cs="方正小标宋简体"/>
          <w:bCs/>
          <w:color w:val="auto"/>
          <w:sz w:val="44"/>
          <w:szCs w:val="44"/>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技术要求偏离表</w:t>
      </w:r>
    </w:p>
    <w:p w14:paraId="1D10F51C">
      <w:pPr>
        <w:spacing w:line="520" w:lineRule="exact"/>
        <w:rPr>
          <w:rFonts w:hint="eastAsia" w:ascii="仿宋_GB2312" w:hAnsi="仿宋_GB2312" w:eastAsia="仿宋_GB2312" w:cs="仿宋_GB2312"/>
          <w:color w:val="auto"/>
          <w:sz w:val="32"/>
          <w:szCs w:val="32"/>
          <w:highlight w:val="none"/>
        </w:rPr>
      </w:pPr>
    </w:p>
    <w:p w14:paraId="15D85A5F">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5E48D0F3">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08F9974A">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s="仿宋_GB2312"/>
          <w:color w:val="auto"/>
          <w:sz w:val="24"/>
          <w:highlight w:val="none"/>
          <w:u w:val="single"/>
        </w:rPr>
        <w:t xml:space="preserve">                       </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34"/>
        <w:gridCol w:w="934"/>
        <w:gridCol w:w="3103"/>
        <w:gridCol w:w="2792"/>
        <w:gridCol w:w="1524"/>
      </w:tblGrid>
      <w:tr w14:paraId="03B7A6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40D76E9D">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36" w:name="_Toc254970729"/>
            <w:bookmarkStart w:id="137" w:name="_Toc383699906"/>
            <w:bookmarkStart w:id="138" w:name="_Toc297193185"/>
            <w:bookmarkStart w:id="139" w:name="_Toc301781611"/>
            <w:bookmarkStart w:id="140" w:name="_Toc295404981"/>
            <w:bookmarkStart w:id="141" w:name="_Toc173066401"/>
            <w:bookmarkStart w:id="142" w:name="_Toc373333689"/>
            <w:bookmarkStart w:id="143" w:name="_Toc254970588"/>
            <w:bookmarkStart w:id="144" w:name="_Toc173211900"/>
            <w:r>
              <w:rPr>
                <w:rFonts w:hint="eastAsia" w:ascii="宋体" w:hAnsi="宋体" w:eastAsia="宋体" w:cs="仿宋_GB2312"/>
                <w:color w:val="auto"/>
                <w:kern w:val="2"/>
                <w:sz w:val="24"/>
                <w:szCs w:val="24"/>
                <w:highlight w:val="none"/>
              </w:rPr>
              <w:t>序号</w:t>
            </w:r>
            <w:bookmarkEnd w:id="136"/>
            <w:bookmarkEnd w:id="137"/>
            <w:bookmarkEnd w:id="138"/>
            <w:bookmarkEnd w:id="139"/>
            <w:bookmarkEnd w:id="140"/>
            <w:bookmarkEnd w:id="141"/>
            <w:bookmarkEnd w:id="142"/>
            <w:bookmarkEnd w:id="143"/>
            <w:bookmarkEnd w:id="144"/>
          </w:p>
        </w:tc>
        <w:tc>
          <w:tcPr>
            <w:tcW w:w="503" w:type="pct"/>
            <w:tcBorders>
              <w:right w:val="single" w:color="auto" w:sz="4" w:space="0"/>
            </w:tcBorders>
            <w:noWrap w:val="0"/>
            <w:vAlign w:val="center"/>
          </w:tcPr>
          <w:p w14:paraId="418E4897">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1670" w:type="pct"/>
            <w:tcBorders>
              <w:left w:val="single" w:color="auto" w:sz="4" w:space="0"/>
            </w:tcBorders>
            <w:noWrap w:val="0"/>
            <w:vAlign w:val="center"/>
          </w:tcPr>
          <w:p w14:paraId="1095C904">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磋商文件技术要求</w:t>
            </w:r>
          </w:p>
        </w:tc>
        <w:tc>
          <w:tcPr>
            <w:tcW w:w="1503" w:type="pct"/>
            <w:noWrap w:val="0"/>
            <w:vAlign w:val="center"/>
          </w:tcPr>
          <w:p w14:paraId="4B8B2C4B">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lang w:eastAsia="zh-CN"/>
              </w:rPr>
            </w:pPr>
            <w:bookmarkStart w:id="145" w:name="_Toc254970590"/>
            <w:bookmarkStart w:id="146" w:name="_Toc383699908"/>
            <w:bookmarkStart w:id="147" w:name="_Toc297193187"/>
            <w:bookmarkStart w:id="148" w:name="_Toc173211902"/>
            <w:bookmarkStart w:id="149" w:name="_Toc301781613"/>
            <w:bookmarkStart w:id="150" w:name="_Toc173066403"/>
            <w:bookmarkStart w:id="151" w:name="_Toc295404983"/>
            <w:bookmarkStart w:id="152" w:name="_Toc373333691"/>
            <w:bookmarkStart w:id="153" w:name="_Toc254970731"/>
            <w:r>
              <w:rPr>
                <w:rFonts w:hint="eastAsia" w:ascii="宋体" w:hAnsi="宋体" w:eastAsia="宋体" w:cs="仿宋_GB2312"/>
                <w:color w:val="auto"/>
                <w:kern w:val="2"/>
                <w:sz w:val="24"/>
                <w:szCs w:val="24"/>
                <w:highlight w:val="none"/>
                <w:lang w:eastAsia="zh-CN"/>
              </w:rPr>
              <w:t>响应</w:t>
            </w:r>
            <w:bookmarkEnd w:id="145"/>
            <w:bookmarkEnd w:id="146"/>
            <w:bookmarkEnd w:id="147"/>
            <w:bookmarkEnd w:id="148"/>
            <w:bookmarkEnd w:id="149"/>
            <w:bookmarkEnd w:id="150"/>
            <w:bookmarkEnd w:id="151"/>
            <w:bookmarkEnd w:id="152"/>
            <w:bookmarkEnd w:id="153"/>
            <w:r>
              <w:rPr>
                <w:rFonts w:hint="eastAsia" w:ascii="宋体" w:hAnsi="宋体" w:eastAsia="宋体" w:cs="仿宋_GB2312"/>
                <w:color w:val="auto"/>
                <w:kern w:val="2"/>
                <w:sz w:val="24"/>
                <w:szCs w:val="24"/>
                <w:highlight w:val="none"/>
                <w:lang w:eastAsia="zh-CN"/>
              </w:rPr>
              <w:t>情况</w:t>
            </w:r>
          </w:p>
        </w:tc>
        <w:tc>
          <w:tcPr>
            <w:tcW w:w="820" w:type="pct"/>
            <w:noWrap w:val="0"/>
            <w:vAlign w:val="center"/>
          </w:tcPr>
          <w:p w14:paraId="68903C70">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54" w:name="_Toc383699909"/>
            <w:bookmarkStart w:id="155" w:name="_Toc297193188"/>
            <w:bookmarkStart w:id="156" w:name="_Toc301781614"/>
            <w:bookmarkStart w:id="157" w:name="_Toc254970591"/>
            <w:bookmarkStart w:id="158" w:name="_Toc373333692"/>
            <w:bookmarkStart w:id="159" w:name="_Toc254970732"/>
            <w:bookmarkStart w:id="160" w:name="_Toc295404984"/>
            <w:bookmarkStart w:id="161" w:name="_Toc173066404"/>
            <w:bookmarkStart w:id="162" w:name="_Toc173211903"/>
            <w:r>
              <w:rPr>
                <w:rFonts w:hint="eastAsia" w:ascii="宋体" w:hAnsi="宋体" w:eastAsia="宋体" w:cs="仿宋_GB2312"/>
                <w:color w:val="auto"/>
                <w:kern w:val="2"/>
                <w:sz w:val="24"/>
                <w:szCs w:val="24"/>
                <w:highlight w:val="none"/>
              </w:rPr>
              <w:t>偏离</w:t>
            </w:r>
            <w:bookmarkEnd w:id="154"/>
            <w:bookmarkEnd w:id="155"/>
            <w:bookmarkEnd w:id="156"/>
            <w:bookmarkEnd w:id="157"/>
            <w:bookmarkEnd w:id="158"/>
            <w:bookmarkEnd w:id="159"/>
            <w:bookmarkEnd w:id="160"/>
            <w:bookmarkEnd w:id="161"/>
            <w:bookmarkEnd w:id="162"/>
            <w:bookmarkStart w:id="163" w:name="_Toc297193189"/>
            <w:bookmarkStart w:id="164" w:name="_Toc254970733"/>
            <w:bookmarkStart w:id="165" w:name="_Toc254970592"/>
            <w:bookmarkStart w:id="166" w:name="_Toc295404985"/>
            <w:bookmarkStart w:id="167" w:name="_Toc173211904"/>
            <w:bookmarkStart w:id="168" w:name="_Toc383699910"/>
            <w:bookmarkStart w:id="169" w:name="_Toc301781615"/>
            <w:bookmarkStart w:id="170" w:name="_Toc373333693"/>
            <w:bookmarkStart w:id="171" w:name="_Toc173066405"/>
            <w:r>
              <w:rPr>
                <w:rFonts w:hint="eastAsia" w:ascii="宋体" w:hAnsi="宋体" w:eastAsia="宋体" w:cs="仿宋_GB2312"/>
                <w:color w:val="auto"/>
                <w:kern w:val="2"/>
                <w:sz w:val="24"/>
                <w:szCs w:val="24"/>
                <w:highlight w:val="none"/>
              </w:rPr>
              <w:t>说明</w:t>
            </w:r>
            <w:bookmarkEnd w:id="163"/>
            <w:bookmarkEnd w:id="164"/>
            <w:bookmarkEnd w:id="165"/>
            <w:bookmarkEnd w:id="166"/>
            <w:bookmarkEnd w:id="167"/>
            <w:bookmarkEnd w:id="168"/>
            <w:bookmarkEnd w:id="169"/>
            <w:bookmarkEnd w:id="170"/>
            <w:bookmarkEnd w:id="171"/>
          </w:p>
        </w:tc>
      </w:tr>
      <w:tr w14:paraId="27AF08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1D27D5EC">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72" w:name="_Toc383699911"/>
            <w:bookmarkStart w:id="173" w:name="_Toc295404986"/>
            <w:bookmarkStart w:id="174" w:name="_Toc254970593"/>
            <w:bookmarkStart w:id="175" w:name="_Toc297193190"/>
            <w:bookmarkStart w:id="176" w:name="_Toc254970734"/>
            <w:bookmarkStart w:id="177" w:name="_Toc173066406"/>
            <w:bookmarkStart w:id="178" w:name="_Toc373333694"/>
            <w:bookmarkStart w:id="179" w:name="_Toc301781616"/>
            <w:bookmarkStart w:id="180" w:name="_Toc173211905"/>
            <w:r>
              <w:rPr>
                <w:rFonts w:hint="eastAsia" w:ascii="宋体" w:hAnsi="宋体" w:eastAsia="宋体" w:cs="仿宋_GB2312"/>
                <w:color w:val="auto"/>
                <w:kern w:val="2"/>
                <w:sz w:val="24"/>
                <w:szCs w:val="24"/>
                <w:highlight w:val="none"/>
              </w:rPr>
              <w:t>1</w:t>
            </w:r>
            <w:bookmarkEnd w:id="172"/>
            <w:bookmarkEnd w:id="173"/>
            <w:bookmarkEnd w:id="174"/>
            <w:bookmarkEnd w:id="175"/>
            <w:bookmarkEnd w:id="176"/>
            <w:bookmarkEnd w:id="177"/>
            <w:bookmarkEnd w:id="178"/>
            <w:bookmarkEnd w:id="179"/>
            <w:bookmarkEnd w:id="180"/>
          </w:p>
        </w:tc>
        <w:tc>
          <w:tcPr>
            <w:tcW w:w="503" w:type="pct"/>
            <w:tcBorders>
              <w:right w:val="single" w:color="auto" w:sz="4" w:space="0"/>
            </w:tcBorders>
            <w:noWrap w:val="0"/>
            <w:vAlign w:val="center"/>
          </w:tcPr>
          <w:p w14:paraId="2DB84CCE">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noWrap w:val="0"/>
            <w:vAlign w:val="center"/>
          </w:tcPr>
          <w:p w14:paraId="00D916BB">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noWrap w:val="0"/>
            <w:vAlign w:val="center"/>
          </w:tcPr>
          <w:p w14:paraId="66FAB2C6">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noWrap w:val="0"/>
            <w:vAlign w:val="center"/>
          </w:tcPr>
          <w:p w14:paraId="3E45367B">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303446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2987E9CA">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81" w:name="_Toc297193191"/>
            <w:bookmarkStart w:id="182" w:name="_Toc254970735"/>
            <w:bookmarkStart w:id="183" w:name="_Toc173066407"/>
            <w:bookmarkStart w:id="184" w:name="_Toc373333695"/>
            <w:bookmarkStart w:id="185" w:name="_Toc254970594"/>
            <w:bookmarkStart w:id="186" w:name="_Toc173211906"/>
            <w:bookmarkStart w:id="187" w:name="_Toc295404987"/>
            <w:bookmarkStart w:id="188" w:name="_Toc301781617"/>
            <w:bookmarkStart w:id="189" w:name="_Toc383699912"/>
            <w:r>
              <w:rPr>
                <w:rFonts w:hint="eastAsia" w:ascii="宋体" w:hAnsi="宋体" w:eastAsia="宋体" w:cs="仿宋_GB2312"/>
                <w:color w:val="auto"/>
                <w:kern w:val="2"/>
                <w:sz w:val="24"/>
                <w:szCs w:val="24"/>
                <w:highlight w:val="none"/>
              </w:rPr>
              <w:t>2</w:t>
            </w:r>
            <w:bookmarkEnd w:id="181"/>
            <w:bookmarkEnd w:id="182"/>
            <w:bookmarkEnd w:id="183"/>
            <w:bookmarkEnd w:id="184"/>
            <w:bookmarkEnd w:id="185"/>
            <w:bookmarkEnd w:id="186"/>
            <w:bookmarkEnd w:id="187"/>
            <w:bookmarkEnd w:id="188"/>
            <w:bookmarkEnd w:id="189"/>
          </w:p>
        </w:tc>
        <w:tc>
          <w:tcPr>
            <w:tcW w:w="503" w:type="pct"/>
            <w:tcBorders>
              <w:right w:val="single" w:color="auto" w:sz="4" w:space="0"/>
            </w:tcBorders>
            <w:noWrap w:val="0"/>
            <w:vAlign w:val="center"/>
          </w:tcPr>
          <w:p w14:paraId="1B53FFC0">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noWrap w:val="0"/>
            <w:vAlign w:val="center"/>
          </w:tcPr>
          <w:p w14:paraId="0E7119D2">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noWrap w:val="0"/>
            <w:vAlign w:val="center"/>
          </w:tcPr>
          <w:p w14:paraId="3A6B66FF">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noWrap w:val="0"/>
            <w:vAlign w:val="center"/>
          </w:tcPr>
          <w:p w14:paraId="28434E74">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587F03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57FC6788">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90" w:name="_Toc254970736"/>
            <w:bookmarkStart w:id="191" w:name="_Toc297193192"/>
            <w:bookmarkStart w:id="192" w:name="_Toc254970595"/>
            <w:bookmarkStart w:id="193" w:name="_Toc173211907"/>
            <w:bookmarkStart w:id="194" w:name="_Toc301781618"/>
            <w:bookmarkStart w:id="195" w:name="_Toc373333696"/>
            <w:bookmarkStart w:id="196" w:name="_Toc173066408"/>
            <w:bookmarkStart w:id="197" w:name="_Toc295404988"/>
            <w:bookmarkStart w:id="198" w:name="_Toc383699913"/>
            <w:r>
              <w:rPr>
                <w:rFonts w:hint="eastAsia" w:ascii="宋体" w:hAnsi="宋体" w:eastAsia="宋体" w:cs="仿宋_GB2312"/>
                <w:color w:val="auto"/>
                <w:kern w:val="2"/>
                <w:sz w:val="24"/>
                <w:szCs w:val="24"/>
                <w:highlight w:val="none"/>
              </w:rPr>
              <w:t>3</w:t>
            </w:r>
            <w:bookmarkEnd w:id="190"/>
            <w:bookmarkEnd w:id="191"/>
            <w:bookmarkEnd w:id="192"/>
            <w:bookmarkEnd w:id="193"/>
            <w:bookmarkEnd w:id="194"/>
            <w:bookmarkEnd w:id="195"/>
            <w:bookmarkEnd w:id="196"/>
            <w:bookmarkEnd w:id="197"/>
            <w:bookmarkEnd w:id="198"/>
          </w:p>
        </w:tc>
        <w:tc>
          <w:tcPr>
            <w:tcW w:w="503" w:type="pct"/>
            <w:tcBorders>
              <w:right w:val="single" w:color="auto" w:sz="4" w:space="0"/>
            </w:tcBorders>
            <w:noWrap w:val="0"/>
            <w:vAlign w:val="center"/>
          </w:tcPr>
          <w:p w14:paraId="4CD47535">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noWrap w:val="0"/>
            <w:vAlign w:val="center"/>
          </w:tcPr>
          <w:p w14:paraId="26CCBCF8">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noWrap w:val="0"/>
            <w:vAlign w:val="center"/>
          </w:tcPr>
          <w:p w14:paraId="289DE246">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noWrap w:val="0"/>
            <w:vAlign w:val="center"/>
          </w:tcPr>
          <w:p w14:paraId="4C5C9904">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537B7D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781CA59B">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199" w:name="_Toc295404989"/>
            <w:bookmarkStart w:id="200" w:name="_Toc373333697"/>
            <w:bookmarkStart w:id="201" w:name="_Toc301781619"/>
            <w:bookmarkStart w:id="202" w:name="_Toc173066409"/>
            <w:bookmarkStart w:id="203" w:name="_Toc254970596"/>
            <w:bookmarkStart w:id="204" w:name="_Toc383699914"/>
            <w:bookmarkStart w:id="205" w:name="_Toc297193193"/>
            <w:bookmarkStart w:id="206" w:name="_Toc173211908"/>
            <w:bookmarkStart w:id="207" w:name="_Toc254970737"/>
            <w:r>
              <w:rPr>
                <w:rFonts w:hint="eastAsia" w:ascii="宋体" w:hAnsi="宋体" w:eastAsia="宋体" w:cs="仿宋_GB2312"/>
                <w:color w:val="auto"/>
                <w:kern w:val="2"/>
                <w:sz w:val="24"/>
                <w:szCs w:val="24"/>
                <w:highlight w:val="none"/>
              </w:rPr>
              <w:t>4</w:t>
            </w:r>
            <w:bookmarkEnd w:id="199"/>
            <w:bookmarkEnd w:id="200"/>
            <w:bookmarkEnd w:id="201"/>
            <w:bookmarkEnd w:id="202"/>
            <w:bookmarkEnd w:id="203"/>
            <w:bookmarkEnd w:id="204"/>
            <w:bookmarkEnd w:id="205"/>
            <w:bookmarkEnd w:id="206"/>
            <w:bookmarkEnd w:id="207"/>
          </w:p>
        </w:tc>
        <w:tc>
          <w:tcPr>
            <w:tcW w:w="503" w:type="pct"/>
            <w:tcBorders>
              <w:right w:val="single" w:color="auto" w:sz="4" w:space="0"/>
            </w:tcBorders>
            <w:noWrap w:val="0"/>
            <w:vAlign w:val="center"/>
          </w:tcPr>
          <w:p w14:paraId="60292AF4">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noWrap w:val="0"/>
            <w:vAlign w:val="center"/>
          </w:tcPr>
          <w:p w14:paraId="38239D28">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noWrap w:val="0"/>
            <w:vAlign w:val="center"/>
          </w:tcPr>
          <w:p w14:paraId="283F5842">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noWrap w:val="0"/>
            <w:vAlign w:val="center"/>
          </w:tcPr>
          <w:p w14:paraId="5121348C">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7C4A43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7EE77C9B">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208" w:name="_Toc254970597"/>
            <w:bookmarkStart w:id="209" w:name="_Toc173211909"/>
            <w:bookmarkStart w:id="210" w:name="_Toc301781620"/>
            <w:bookmarkStart w:id="211" w:name="_Toc383699915"/>
            <w:bookmarkStart w:id="212" w:name="_Toc373333698"/>
            <w:bookmarkStart w:id="213" w:name="_Toc295404990"/>
            <w:bookmarkStart w:id="214" w:name="_Toc173066410"/>
            <w:bookmarkStart w:id="215" w:name="_Toc254970738"/>
            <w:bookmarkStart w:id="216" w:name="_Toc297193194"/>
            <w:r>
              <w:rPr>
                <w:rFonts w:hint="eastAsia" w:ascii="宋体" w:hAnsi="宋体" w:eastAsia="宋体" w:cs="仿宋_GB2312"/>
                <w:color w:val="auto"/>
                <w:kern w:val="2"/>
                <w:sz w:val="24"/>
                <w:szCs w:val="24"/>
                <w:highlight w:val="none"/>
              </w:rPr>
              <w:t>5</w:t>
            </w:r>
            <w:bookmarkEnd w:id="208"/>
            <w:bookmarkEnd w:id="209"/>
            <w:bookmarkEnd w:id="210"/>
            <w:bookmarkEnd w:id="211"/>
            <w:bookmarkEnd w:id="212"/>
            <w:bookmarkEnd w:id="213"/>
            <w:bookmarkEnd w:id="214"/>
            <w:bookmarkEnd w:id="215"/>
            <w:bookmarkEnd w:id="216"/>
          </w:p>
        </w:tc>
        <w:tc>
          <w:tcPr>
            <w:tcW w:w="503" w:type="pct"/>
            <w:tcBorders>
              <w:right w:val="single" w:color="auto" w:sz="4" w:space="0"/>
            </w:tcBorders>
            <w:noWrap w:val="0"/>
            <w:vAlign w:val="center"/>
          </w:tcPr>
          <w:p w14:paraId="503FF487">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noWrap w:val="0"/>
            <w:vAlign w:val="center"/>
          </w:tcPr>
          <w:p w14:paraId="40175509">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noWrap w:val="0"/>
            <w:vAlign w:val="center"/>
          </w:tcPr>
          <w:p w14:paraId="3C85BB7F">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noWrap w:val="0"/>
            <w:vAlign w:val="center"/>
          </w:tcPr>
          <w:p w14:paraId="10CB7EF9">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r w14:paraId="15E46B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noWrap w:val="0"/>
            <w:vAlign w:val="center"/>
          </w:tcPr>
          <w:p w14:paraId="5AB00413">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bookmarkStart w:id="217" w:name="_Toc173066415"/>
            <w:bookmarkStart w:id="218" w:name="_Toc254970602"/>
            <w:bookmarkStart w:id="219" w:name="_Toc383699916"/>
            <w:bookmarkStart w:id="220" w:name="_Toc301781621"/>
            <w:bookmarkStart w:id="221" w:name="_Toc254970743"/>
            <w:bookmarkStart w:id="222" w:name="_Toc295404991"/>
            <w:bookmarkStart w:id="223" w:name="_Toc373333699"/>
            <w:bookmarkStart w:id="224" w:name="_Toc297193195"/>
            <w:bookmarkStart w:id="225" w:name="_Toc173211914"/>
            <w:r>
              <w:rPr>
                <w:rFonts w:hint="eastAsia" w:ascii="宋体" w:hAnsi="宋体" w:eastAsia="宋体" w:cs="仿宋_GB2312"/>
                <w:color w:val="auto"/>
                <w:kern w:val="2"/>
                <w:sz w:val="24"/>
                <w:szCs w:val="24"/>
                <w:highlight w:val="none"/>
              </w:rPr>
              <w:t>…</w:t>
            </w:r>
            <w:bookmarkEnd w:id="217"/>
            <w:bookmarkEnd w:id="218"/>
            <w:bookmarkEnd w:id="219"/>
            <w:bookmarkEnd w:id="220"/>
            <w:bookmarkEnd w:id="221"/>
            <w:bookmarkEnd w:id="222"/>
            <w:bookmarkEnd w:id="223"/>
            <w:bookmarkEnd w:id="224"/>
            <w:bookmarkEnd w:id="225"/>
          </w:p>
        </w:tc>
        <w:tc>
          <w:tcPr>
            <w:tcW w:w="503" w:type="pct"/>
            <w:tcBorders>
              <w:right w:val="single" w:color="auto" w:sz="4" w:space="0"/>
            </w:tcBorders>
            <w:noWrap w:val="0"/>
            <w:vAlign w:val="center"/>
          </w:tcPr>
          <w:p w14:paraId="6F301720">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670" w:type="pct"/>
            <w:tcBorders>
              <w:left w:val="single" w:color="auto" w:sz="4" w:space="0"/>
            </w:tcBorders>
            <w:noWrap w:val="0"/>
            <w:vAlign w:val="center"/>
          </w:tcPr>
          <w:p w14:paraId="3FF9C328">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1503" w:type="pct"/>
            <w:noWrap w:val="0"/>
            <w:vAlign w:val="center"/>
          </w:tcPr>
          <w:p w14:paraId="31BE8B84">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c>
          <w:tcPr>
            <w:tcW w:w="820" w:type="pct"/>
            <w:tcBorders>
              <w:right w:val="single" w:color="auto" w:sz="4" w:space="0"/>
            </w:tcBorders>
            <w:noWrap w:val="0"/>
            <w:vAlign w:val="center"/>
          </w:tcPr>
          <w:p w14:paraId="10D9D38A">
            <w:pPr>
              <w:pStyle w:val="16"/>
              <w:spacing w:line="360" w:lineRule="auto"/>
              <w:ind w:firstLine="0" w:firstLineChars="0"/>
              <w:contextualSpacing/>
              <w:jc w:val="center"/>
              <w:rPr>
                <w:rFonts w:hint="eastAsia" w:ascii="宋体" w:hAnsi="宋体" w:eastAsia="宋体" w:cs="仿宋_GB2312"/>
                <w:color w:val="auto"/>
                <w:kern w:val="2"/>
                <w:sz w:val="24"/>
                <w:szCs w:val="24"/>
                <w:highlight w:val="none"/>
              </w:rPr>
            </w:pPr>
          </w:p>
        </w:tc>
      </w:tr>
    </w:tbl>
    <w:p w14:paraId="0E0302C3">
      <w:pPr>
        <w:adjustRightInd w:val="0"/>
        <w:spacing w:line="360" w:lineRule="auto"/>
        <w:contextualSpacing/>
        <w:rPr>
          <w:rFonts w:hint="eastAsia" w:ascii="宋体" w:hAnsi="宋体" w:cs="仿宋_GB2312"/>
          <w:color w:val="auto"/>
          <w:sz w:val="24"/>
          <w:highlight w:val="none"/>
        </w:rPr>
      </w:pPr>
    </w:p>
    <w:p w14:paraId="25F40DDB">
      <w:pPr>
        <w:pStyle w:val="16"/>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2C2A42F9">
      <w:pPr>
        <w:pStyle w:val="16"/>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采购需求”中的技术要求逐条作出明确响应，并作出偏离说明。</w:t>
      </w:r>
    </w:p>
    <w:p w14:paraId="35608E57">
      <w:pPr>
        <w:pStyle w:val="16"/>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1E47F73D">
      <w:pPr>
        <w:spacing w:line="360" w:lineRule="auto"/>
        <w:ind w:right="-817" w:rightChars="-389"/>
        <w:contextualSpacing/>
        <w:rPr>
          <w:rFonts w:hint="eastAsia" w:ascii="宋体" w:hAnsi="宋体" w:cs="仿宋_GB2312"/>
          <w:color w:val="auto"/>
          <w:sz w:val="24"/>
          <w:highlight w:val="none"/>
        </w:rPr>
      </w:pPr>
    </w:p>
    <w:p w14:paraId="75487D24">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5EFA1D97">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77B229D2">
      <w:pPr>
        <w:spacing w:line="360" w:lineRule="auto"/>
        <w:ind w:right="-817" w:rightChars="-389"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2A69E947">
      <w:pPr>
        <w:pStyle w:val="15"/>
        <w:rPr>
          <w:rFonts w:hint="eastAsia" w:ascii="宋体" w:hAnsi="宋体" w:cs="宋体"/>
          <w:color w:val="auto"/>
          <w:sz w:val="24"/>
          <w:highlight w:val="none"/>
        </w:rPr>
      </w:pPr>
      <w:r>
        <w:rPr>
          <w:rFonts w:ascii="宋体" w:hAnsi="宋体" w:cs="仿宋_GB2312"/>
          <w:color w:val="auto"/>
          <w:sz w:val="24"/>
          <w:highlight w:val="none"/>
        </w:rPr>
        <w:br w:type="page"/>
      </w:r>
    </w:p>
    <w:p w14:paraId="36BDF548">
      <w:pPr>
        <w:rPr>
          <w:rFonts w:hint="eastAsia" w:ascii="宋体" w:hAnsi="宋体" w:cs="宋体"/>
          <w:color w:val="auto"/>
          <w:sz w:val="24"/>
          <w:highlight w:val="none"/>
        </w:rPr>
      </w:pPr>
    </w:p>
    <w:p w14:paraId="033E1ECE">
      <w:pPr>
        <w:pStyle w:val="15"/>
        <w:rPr>
          <w:rFonts w:hint="eastAsia"/>
          <w:color w:val="auto"/>
          <w:highlight w:val="none"/>
        </w:rPr>
      </w:pPr>
    </w:p>
    <w:p w14:paraId="2B037C8E">
      <w:pPr>
        <w:snapToGrid w:val="0"/>
        <w:spacing w:line="360" w:lineRule="auto"/>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施工组织设计</w:t>
      </w:r>
      <w:r>
        <w:rPr>
          <w:rFonts w:hint="eastAsia" w:ascii="宋体" w:hAnsi="宋体" w:cs="宋体"/>
          <w:b/>
          <w:color w:val="auto"/>
          <w:sz w:val="30"/>
          <w:szCs w:val="30"/>
          <w:highlight w:val="none"/>
          <w:lang w:eastAsia="zh-CN"/>
        </w:rPr>
        <w:t>（</w:t>
      </w:r>
      <w:r>
        <w:rPr>
          <w:rFonts w:hint="eastAsia" w:ascii="宋体" w:hAnsi="宋体" w:cs="宋体"/>
          <w:b/>
          <w:color w:val="auto"/>
          <w:sz w:val="30"/>
          <w:szCs w:val="30"/>
          <w:highlight w:val="none"/>
          <w:lang w:val="en-US" w:eastAsia="zh-CN"/>
        </w:rPr>
        <w:t>格式自拟</w:t>
      </w:r>
      <w:r>
        <w:rPr>
          <w:rFonts w:hint="eastAsia" w:ascii="宋体" w:hAnsi="宋体" w:cs="宋体"/>
          <w:b/>
          <w:color w:val="auto"/>
          <w:sz w:val="30"/>
          <w:szCs w:val="30"/>
          <w:highlight w:val="none"/>
          <w:lang w:eastAsia="zh-CN"/>
        </w:rPr>
        <w:t>）</w:t>
      </w:r>
    </w:p>
    <w:p w14:paraId="71B47A52">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79E9EBAE">
      <w:pPr>
        <w:autoSpaceDE w:val="0"/>
        <w:autoSpaceDN w:val="0"/>
        <w:spacing w:line="360" w:lineRule="auto"/>
        <w:jc w:val="center"/>
        <w:rPr>
          <w:rFonts w:hint="eastAsia" w:ascii="宋体" w:hAnsi="宋体" w:eastAsia="宋体" w:cs="宋体"/>
          <w:b/>
          <w:bCs/>
          <w:color w:val="auto"/>
          <w:kern w:val="0"/>
          <w:sz w:val="32"/>
          <w:szCs w:val="32"/>
          <w:highlight w:val="none"/>
          <w:lang w:eastAsia="zh-CN"/>
        </w:rPr>
      </w:pPr>
      <w:r>
        <w:rPr>
          <w:rFonts w:hint="eastAsia" w:ascii="宋体" w:hAnsi="宋体" w:cs="宋体"/>
          <w:b/>
          <w:bCs/>
          <w:color w:val="auto"/>
          <w:kern w:val="0"/>
          <w:sz w:val="32"/>
          <w:szCs w:val="32"/>
          <w:highlight w:val="none"/>
          <w:lang w:eastAsia="zh-CN"/>
        </w:rPr>
        <w:t>（</w:t>
      </w:r>
      <w:r>
        <w:rPr>
          <w:rFonts w:hint="eastAsia" w:ascii="宋体" w:hAnsi="宋体" w:cs="宋体"/>
          <w:b/>
          <w:bCs/>
          <w:color w:val="auto"/>
          <w:kern w:val="0"/>
          <w:sz w:val="32"/>
          <w:szCs w:val="32"/>
          <w:highlight w:val="none"/>
          <w:lang w:val="en-US" w:eastAsia="zh-CN"/>
        </w:rPr>
        <w:t>格式自拟</w:t>
      </w:r>
      <w:r>
        <w:rPr>
          <w:rFonts w:hint="eastAsia" w:ascii="宋体" w:hAnsi="宋体" w:cs="宋体"/>
          <w:b/>
          <w:bCs/>
          <w:color w:val="auto"/>
          <w:kern w:val="0"/>
          <w:sz w:val="32"/>
          <w:szCs w:val="32"/>
          <w:highlight w:val="none"/>
          <w:lang w:eastAsia="zh-CN"/>
        </w:rPr>
        <w:t>）</w:t>
      </w:r>
    </w:p>
    <w:p w14:paraId="0ABFCE82">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2950F8E2">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67D4724">
      <w:pPr>
        <w:autoSpaceDE w:val="0"/>
        <w:autoSpaceDN w:val="0"/>
        <w:spacing w:line="360" w:lineRule="auto"/>
        <w:ind w:firstLine="6300" w:firstLineChars="2625"/>
        <w:rPr>
          <w:rFonts w:hint="eastAsia"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5664E0D">
      <w:pPr>
        <w:autoSpaceDE w:val="0"/>
        <w:autoSpaceDN w:val="0"/>
        <w:spacing w:line="360" w:lineRule="auto"/>
        <w:ind w:firstLine="6480" w:firstLineChars="2700"/>
        <w:rPr>
          <w:rFonts w:hint="eastAsia" w:ascii="宋体" w:hAnsi="宋体" w:cs="宋体"/>
          <w:color w:val="auto"/>
          <w:kern w:val="0"/>
          <w:sz w:val="24"/>
          <w:highlight w:val="none"/>
          <w:lang w:val="zh-CN"/>
        </w:rPr>
      </w:pPr>
    </w:p>
    <w:p w14:paraId="7C75AE4F">
      <w:pPr>
        <w:snapToGrid w:val="0"/>
        <w:spacing w:line="360" w:lineRule="auto"/>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项目管理机构</w:t>
      </w:r>
      <w:r>
        <w:rPr>
          <w:rFonts w:hint="eastAsia" w:ascii="宋体" w:hAnsi="宋体" w:cs="宋体"/>
          <w:b/>
          <w:color w:val="auto"/>
          <w:sz w:val="30"/>
          <w:szCs w:val="30"/>
          <w:highlight w:val="none"/>
          <w:lang w:eastAsia="zh-CN"/>
        </w:rPr>
        <w:t>（</w:t>
      </w:r>
      <w:r>
        <w:rPr>
          <w:rFonts w:hint="eastAsia" w:ascii="宋体" w:hAnsi="宋体" w:cs="宋体"/>
          <w:b/>
          <w:color w:val="auto"/>
          <w:sz w:val="30"/>
          <w:szCs w:val="30"/>
          <w:highlight w:val="none"/>
          <w:lang w:val="en-US" w:eastAsia="zh-CN"/>
        </w:rPr>
        <w:t>格式</w:t>
      </w:r>
      <w:r>
        <w:rPr>
          <w:rFonts w:hint="eastAsia" w:ascii="宋体" w:hAnsi="宋体" w:cs="宋体"/>
          <w:b/>
          <w:color w:val="auto"/>
          <w:sz w:val="30"/>
          <w:szCs w:val="30"/>
          <w:highlight w:val="none"/>
          <w:lang w:eastAsia="zh-CN"/>
        </w:rPr>
        <w:t>）</w:t>
      </w:r>
    </w:p>
    <w:p w14:paraId="2F9997D9">
      <w:pPr>
        <w:spacing w:line="360" w:lineRule="auto"/>
        <w:ind w:firstLine="602" w:firstLineChars="200"/>
        <w:jc w:val="center"/>
        <w:rPr>
          <w:rFonts w:hint="eastAsia" w:ascii="宋体" w:hAnsi="宋体" w:cs="宋体"/>
          <w:b/>
          <w:bCs/>
          <w:color w:val="auto"/>
          <w:sz w:val="30"/>
          <w:szCs w:val="30"/>
          <w:highlight w:val="none"/>
        </w:rPr>
      </w:pPr>
      <w:bookmarkStart w:id="226" w:name="_Toc389065364"/>
      <w:bookmarkStart w:id="227" w:name="_Toc251052200"/>
      <w:bookmarkStart w:id="228" w:name="_Toc172364026"/>
      <w:bookmarkStart w:id="229" w:name="_Toc153274948"/>
      <w:bookmarkStart w:id="230" w:name="_Toc173579006"/>
      <w:r>
        <w:rPr>
          <w:rFonts w:hint="eastAsia" w:ascii="宋体" w:hAnsi="宋体" w:cs="宋体"/>
          <w:b/>
          <w:bCs/>
          <w:color w:val="auto"/>
          <w:sz w:val="30"/>
          <w:szCs w:val="30"/>
          <w:highlight w:val="none"/>
          <w:lang w:val="en-US" w:eastAsia="zh-CN"/>
        </w:rPr>
        <w:t>1</w:t>
      </w:r>
      <w:r>
        <w:rPr>
          <w:rFonts w:hint="eastAsia" w:ascii="宋体" w:hAnsi="宋体" w:cs="宋体"/>
          <w:b/>
          <w:bCs/>
          <w:color w:val="auto"/>
          <w:sz w:val="30"/>
          <w:szCs w:val="30"/>
          <w:highlight w:val="none"/>
        </w:rPr>
        <w:t>.项目经理（注册建造师）简历表</w:t>
      </w:r>
      <w:bookmarkEnd w:id="226"/>
      <w:bookmarkEnd w:id="227"/>
      <w:bookmarkEnd w:id="228"/>
      <w:bookmarkEnd w:id="229"/>
      <w:bookmarkEnd w:id="230"/>
    </w:p>
    <w:tbl>
      <w:tblPr>
        <w:tblStyle w:val="29"/>
        <w:tblpPr w:leftFromText="180" w:rightFromText="180" w:vertAnchor="text" w:horzAnchor="page" w:tblpX="1563" w:tblpY="4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464"/>
        <w:gridCol w:w="1548"/>
        <w:gridCol w:w="328"/>
        <w:gridCol w:w="1219"/>
        <w:gridCol w:w="674"/>
        <w:gridCol w:w="874"/>
        <w:gridCol w:w="711"/>
        <w:gridCol w:w="836"/>
        <w:gridCol w:w="272"/>
        <w:gridCol w:w="1276"/>
      </w:tblGrid>
      <w:tr w14:paraId="66BD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37" w:type="dxa"/>
            <w:noWrap w:val="0"/>
            <w:vAlign w:val="center"/>
          </w:tcPr>
          <w:p w14:paraId="25D6291D">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2340" w:type="dxa"/>
            <w:gridSpan w:val="3"/>
            <w:noWrap w:val="0"/>
            <w:vAlign w:val="center"/>
          </w:tcPr>
          <w:p w14:paraId="2869B711">
            <w:pPr>
              <w:spacing w:line="360" w:lineRule="auto"/>
              <w:jc w:val="center"/>
              <w:rPr>
                <w:rFonts w:hint="eastAsia" w:ascii="宋体" w:hAnsi="宋体" w:cs="宋体"/>
                <w:color w:val="auto"/>
                <w:sz w:val="24"/>
                <w:highlight w:val="none"/>
              </w:rPr>
            </w:pPr>
          </w:p>
        </w:tc>
        <w:tc>
          <w:tcPr>
            <w:tcW w:w="1893" w:type="dxa"/>
            <w:gridSpan w:val="2"/>
            <w:noWrap w:val="0"/>
            <w:vAlign w:val="center"/>
          </w:tcPr>
          <w:p w14:paraId="11E4571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1585" w:type="dxa"/>
            <w:gridSpan w:val="2"/>
            <w:noWrap w:val="0"/>
            <w:vAlign w:val="center"/>
          </w:tcPr>
          <w:p w14:paraId="30E57FF1">
            <w:pPr>
              <w:spacing w:line="360" w:lineRule="auto"/>
              <w:jc w:val="center"/>
              <w:rPr>
                <w:rFonts w:hint="eastAsia" w:ascii="宋体" w:hAnsi="宋体" w:cs="宋体"/>
                <w:color w:val="auto"/>
                <w:sz w:val="24"/>
                <w:highlight w:val="none"/>
              </w:rPr>
            </w:pPr>
          </w:p>
        </w:tc>
        <w:tc>
          <w:tcPr>
            <w:tcW w:w="1108" w:type="dxa"/>
            <w:gridSpan w:val="2"/>
            <w:noWrap w:val="0"/>
            <w:vAlign w:val="center"/>
          </w:tcPr>
          <w:p w14:paraId="4C208C55">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276" w:type="dxa"/>
            <w:noWrap w:val="0"/>
            <w:vAlign w:val="center"/>
          </w:tcPr>
          <w:p w14:paraId="581F2B4A">
            <w:pPr>
              <w:spacing w:line="360" w:lineRule="auto"/>
              <w:jc w:val="center"/>
              <w:rPr>
                <w:rFonts w:hint="eastAsia" w:ascii="宋体" w:hAnsi="宋体" w:cs="宋体"/>
                <w:color w:val="auto"/>
                <w:sz w:val="24"/>
                <w:highlight w:val="none"/>
              </w:rPr>
            </w:pPr>
          </w:p>
        </w:tc>
      </w:tr>
      <w:tr w14:paraId="2152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37" w:type="dxa"/>
            <w:noWrap w:val="0"/>
            <w:vAlign w:val="center"/>
          </w:tcPr>
          <w:p w14:paraId="2595A582">
            <w:pPr>
              <w:jc w:val="center"/>
              <w:rPr>
                <w:rFonts w:hint="eastAsia" w:ascii="宋体" w:hAnsi="宋体" w:cs="宋体"/>
                <w:color w:val="auto"/>
                <w:sz w:val="24"/>
                <w:highlight w:val="none"/>
              </w:rPr>
            </w:pPr>
            <w:r>
              <w:rPr>
                <w:rFonts w:hint="eastAsia" w:ascii="宋体" w:hAnsi="宋体" w:cs="宋体"/>
                <w:color w:val="auto"/>
                <w:sz w:val="24"/>
                <w:highlight w:val="none"/>
              </w:rPr>
              <w:t>职务</w:t>
            </w:r>
          </w:p>
        </w:tc>
        <w:tc>
          <w:tcPr>
            <w:tcW w:w="2340" w:type="dxa"/>
            <w:gridSpan w:val="3"/>
            <w:noWrap w:val="0"/>
            <w:vAlign w:val="center"/>
          </w:tcPr>
          <w:p w14:paraId="536BC387">
            <w:pPr>
              <w:jc w:val="center"/>
              <w:rPr>
                <w:rFonts w:hint="eastAsia" w:ascii="宋体" w:hAnsi="宋体" w:cs="宋体"/>
                <w:color w:val="auto"/>
                <w:sz w:val="24"/>
                <w:highlight w:val="none"/>
              </w:rPr>
            </w:pPr>
          </w:p>
        </w:tc>
        <w:tc>
          <w:tcPr>
            <w:tcW w:w="1893" w:type="dxa"/>
            <w:gridSpan w:val="2"/>
            <w:noWrap w:val="0"/>
            <w:vAlign w:val="center"/>
          </w:tcPr>
          <w:p w14:paraId="39A48FF7">
            <w:pPr>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585" w:type="dxa"/>
            <w:gridSpan w:val="2"/>
            <w:noWrap w:val="0"/>
            <w:vAlign w:val="center"/>
          </w:tcPr>
          <w:p w14:paraId="788B4B78">
            <w:pPr>
              <w:jc w:val="center"/>
              <w:rPr>
                <w:rFonts w:hint="eastAsia" w:ascii="宋体" w:hAnsi="宋体" w:cs="宋体"/>
                <w:color w:val="auto"/>
                <w:sz w:val="24"/>
                <w:highlight w:val="none"/>
              </w:rPr>
            </w:pPr>
          </w:p>
        </w:tc>
        <w:tc>
          <w:tcPr>
            <w:tcW w:w="1108" w:type="dxa"/>
            <w:gridSpan w:val="2"/>
            <w:noWrap w:val="0"/>
            <w:vAlign w:val="center"/>
          </w:tcPr>
          <w:p w14:paraId="1EB5164A">
            <w:pPr>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276" w:type="dxa"/>
            <w:noWrap w:val="0"/>
            <w:vAlign w:val="center"/>
          </w:tcPr>
          <w:p w14:paraId="631A54CE">
            <w:pPr>
              <w:jc w:val="center"/>
              <w:rPr>
                <w:rFonts w:hint="eastAsia" w:ascii="宋体" w:hAnsi="宋体" w:cs="宋体"/>
                <w:color w:val="auto"/>
                <w:sz w:val="24"/>
                <w:highlight w:val="none"/>
              </w:rPr>
            </w:pPr>
          </w:p>
        </w:tc>
      </w:tr>
      <w:tr w14:paraId="585C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277" w:type="dxa"/>
            <w:gridSpan w:val="4"/>
            <w:noWrap w:val="0"/>
            <w:vAlign w:val="center"/>
          </w:tcPr>
          <w:p w14:paraId="6C3442E2">
            <w:pPr>
              <w:jc w:val="center"/>
              <w:rPr>
                <w:rFonts w:hint="eastAsia" w:ascii="宋体" w:hAnsi="宋体" w:cs="宋体"/>
                <w:color w:val="auto"/>
                <w:sz w:val="24"/>
                <w:highlight w:val="none"/>
              </w:rPr>
            </w:pPr>
            <w:r>
              <w:rPr>
                <w:rFonts w:hint="eastAsia" w:ascii="宋体" w:hAnsi="宋体" w:cs="宋体"/>
                <w:color w:val="auto"/>
                <w:sz w:val="24"/>
                <w:highlight w:val="none"/>
              </w:rPr>
              <w:t>参加工作时间</w:t>
            </w:r>
          </w:p>
        </w:tc>
        <w:tc>
          <w:tcPr>
            <w:tcW w:w="1893" w:type="dxa"/>
            <w:gridSpan w:val="2"/>
            <w:noWrap w:val="0"/>
            <w:vAlign w:val="center"/>
          </w:tcPr>
          <w:p w14:paraId="0F25C0E8">
            <w:pPr>
              <w:jc w:val="center"/>
              <w:rPr>
                <w:rFonts w:hint="eastAsia" w:ascii="宋体" w:hAnsi="宋体" w:cs="宋体"/>
                <w:color w:val="auto"/>
                <w:sz w:val="24"/>
                <w:highlight w:val="none"/>
              </w:rPr>
            </w:pPr>
          </w:p>
        </w:tc>
        <w:tc>
          <w:tcPr>
            <w:tcW w:w="2693" w:type="dxa"/>
            <w:gridSpan w:val="4"/>
            <w:noWrap w:val="0"/>
            <w:vAlign w:val="center"/>
          </w:tcPr>
          <w:p w14:paraId="2FD5EB8D">
            <w:pPr>
              <w:jc w:val="center"/>
              <w:rPr>
                <w:rFonts w:hint="eastAsia" w:ascii="宋体" w:hAnsi="宋体" w:cs="宋体"/>
                <w:color w:val="auto"/>
                <w:sz w:val="24"/>
                <w:highlight w:val="none"/>
              </w:rPr>
            </w:pPr>
            <w:r>
              <w:rPr>
                <w:rFonts w:hint="eastAsia" w:ascii="宋体" w:hAnsi="宋体" w:cs="宋体"/>
                <w:color w:val="auto"/>
                <w:sz w:val="24"/>
                <w:highlight w:val="none"/>
              </w:rPr>
              <w:t>担任项目经理年限</w:t>
            </w:r>
          </w:p>
        </w:tc>
        <w:tc>
          <w:tcPr>
            <w:tcW w:w="1276" w:type="dxa"/>
            <w:noWrap w:val="0"/>
            <w:vAlign w:val="center"/>
          </w:tcPr>
          <w:p w14:paraId="58833EA7">
            <w:pPr>
              <w:jc w:val="center"/>
              <w:rPr>
                <w:rFonts w:hint="eastAsia" w:ascii="宋体" w:hAnsi="宋体" w:cs="宋体"/>
                <w:color w:val="auto"/>
                <w:sz w:val="24"/>
                <w:highlight w:val="none"/>
              </w:rPr>
            </w:pPr>
          </w:p>
        </w:tc>
      </w:tr>
      <w:tr w14:paraId="5014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3277" w:type="dxa"/>
            <w:gridSpan w:val="4"/>
            <w:noWrap w:val="0"/>
            <w:vAlign w:val="center"/>
          </w:tcPr>
          <w:p w14:paraId="1B857DAC">
            <w:pPr>
              <w:jc w:val="center"/>
              <w:rPr>
                <w:rFonts w:hint="eastAsia" w:ascii="宋体" w:hAnsi="宋体" w:cs="宋体"/>
                <w:color w:val="auto"/>
                <w:sz w:val="24"/>
                <w:highlight w:val="none"/>
              </w:rPr>
            </w:pPr>
            <w:r>
              <w:rPr>
                <w:rFonts w:hint="eastAsia" w:ascii="宋体" w:hAnsi="宋体" w:cs="宋体"/>
                <w:color w:val="auto"/>
                <w:sz w:val="24"/>
                <w:highlight w:val="none"/>
              </w:rPr>
              <w:t>建造师注册编号</w:t>
            </w:r>
          </w:p>
        </w:tc>
        <w:tc>
          <w:tcPr>
            <w:tcW w:w="5862" w:type="dxa"/>
            <w:gridSpan w:val="7"/>
            <w:noWrap w:val="0"/>
            <w:vAlign w:val="center"/>
          </w:tcPr>
          <w:p w14:paraId="725585D4">
            <w:pPr>
              <w:jc w:val="center"/>
              <w:rPr>
                <w:rFonts w:hint="eastAsia" w:ascii="宋体" w:hAnsi="宋体" w:cs="宋体"/>
                <w:color w:val="auto"/>
                <w:sz w:val="24"/>
                <w:highlight w:val="none"/>
              </w:rPr>
            </w:pPr>
          </w:p>
        </w:tc>
      </w:tr>
      <w:tr w14:paraId="1BC3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139" w:type="dxa"/>
            <w:gridSpan w:val="11"/>
            <w:noWrap w:val="0"/>
            <w:vAlign w:val="center"/>
          </w:tcPr>
          <w:p w14:paraId="5D1F9091">
            <w:pPr>
              <w:jc w:val="center"/>
              <w:rPr>
                <w:rFonts w:hint="eastAsia" w:ascii="宋体" w:hAnsi="宋体" w:cs="宋体"/>
                <w:color w:val="auto"/>
                <w:sz w:val="24"/>
                <w:highlight w:val="none"/>
              </w:rPr>
            </w:pPr>
            <w:r>
              <w:rPr>
                <w:rFonts w:hint="eastAsia" w:ascii="宋体" w:hAnsi="宋体" w:cs="宋体"/>
                <w:color w:val="auto"/>
                <w:sz w:val="24"/>
                <w:highlight w:val="none"/>
              </w:rPr>
              <w:t>在建和已完工程项目情况</w:t>
            </w:r>
          </w:p>
        </w:tc>
      </w:tr>
      <w:tr w14:paraId="65D6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01" w:type="dxa"/>
            <w:gridSpan w:val="2"/>
            <w:noWrap w:val="0"/>
            <w:vAlign w:val="center"/>
          </w:tcPr>
          <w:p w14:paraId="3553940F">
            <w:pPr>
              <w:jc w:val="center"/>
              <w:rPr>
                <w:rFonts w:hint="eastAsia" w:ascii="宋体" w:hAnsi="宋体" w:cs="宋体"/>
                <w:color w:val="auto"/>
                <w:sz w:val="24"/>
                <w:highlight w:val="none"/>
              </w:rPr>
            </w:pPr>
            <w:r>
              <w:rPr>
                <w:rFonts w:hint="eastAsia" w:ascii="宋体" w:hAnsi="宋体" w:cs="宋体"/>
                <w:color w:val="auto"/>
                <w:sz w:val="24"/>
                <w:highlight w:val="none"/>
              </w:rPr>
              <w:t>建设单位</w:t>
            </w:r>
          </w:p>
        </w:tc>
        <w:tc>
          <w:tcPr>
            <w:tcW w:w="1548" w:type="dxa"/>
            <w:noWrap w:val="0"/>
            <w:vAlign w:val="center"/>
          </w:tcPr>
          <w:p w14:paraId="68C19456">
            <w:pPr>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547" w:type="dxa"/>
            <w:gridSpan w:val="2"/>
            <w:noWrap w:val="0"/>
            <w:vAlign w:val="center"/>
          </w:tcPr>
          <w:p w14:paraId="7EE14272">
            <w:pPr>
              <w:jc w:val="center"/>
              <w:rPr>
                <w:rFonts w:hint="eastAsia" w:ascii="宋体" w:hAnsi="宋体" w:cs="宋体"/>
                <w:color w:val="auto"/>
                <w:sz w:val="24"/>
                <w:highlight w:val="none"/>
              </w:rPr>
            </w:pPr>
            <w:r>
              <w:rPr>
                <w:rFonts w:hint="eastAsia" w:ascii="宋体" w:hAnsi="宋体" w:cs="宋体"/>
                <w:color w:val="auto"/>
                <w:sz w:val="24"/>
                <w:highlight w:val="none"/>
              </w:rPr>
              <w:t>建设规模</w:t>
            </w:r>
          </w:p>
        </w:tc>
        <w:tc>
          <w:tcPr>
            <w:tcW w:w="1548" w:type="dxa"/>
            <w:gridSpan w:val="2"/>
            <w:noWrap w:val="0"/>
            <w:vAlign w:val="center"/>
          </w:tcPr>
          <w:p w14:paraId="3DFE435D">
            <w:pPr>
              <w:jc w:val="center"/>
              <w:rPr>
                <w:rFonts w:hint="eastAsia" w:ascii="宋体" w:hAnsi="宋体" w:cs="宋体"/>
                <w:color w:val="auto"/>
                <w:sz w:val="24"/>
                <w:highlight w:val="none"/>
              </w:rPr>
            </w:pPr>
            <w:r>
              <w:rPr>
                <w:rFonts w:hint="eastAsia" w:ascii="宋体" w:hAnsi="宋体" w:cs="宋体"/>
                <w:color w:val="auto"/>
                <w:sz w:val="24"/>
                <w:highlight w:val="none"/>
              </w:rPr>
              <w:t>开、竣工日期</w:t>
            </w:r>
          </w:p>
        </w:tc>
        <w:tc>
          <w:tcPr>
            <w:tcW w:w="1547" w:type="dxa"/>
            <w:gridSpan w:val="2"/>
            <w:noWrap w:val="0"/>
            <w:vAlign w:val="center"/>
          </w:tcPr>
          <w:p w14:paraId="3FAD12EC">
            <w:pPr>
              <w:jc w:val="center"/>
              <w:rPr>
                <w:rFonts w:hint="eastAsia" w:ascii="宋体" w:hAnsi="宋体" w:cs="宋体"/>
                <w:color w:val="auto"/>
                <w:sz w:val="24"/>
                <w:highlight w:val="none"/>
              </w:rPr>
            </w:pPr>
            <w:r>
              <w:rPr>
                <w:rFonts w:hint="eastAsia" w:ascii="宋体" w:hAnsi="宋体" w:cs="宋体"/>
                <w:color w:val="auto"/>
                <w:sz w:val="24"/>
                <w:highlight w:val="none"/>
              </w:rPr>
              <w:t>在建或已完</w:t>
            </w:r>
          </w:p>
        </w:tc>
        <w:tc>
          <w:tcPr>
            <w:tcW w:w="1548" w:type="dxa"/>
            <w:gridSpan w:val="2"/>
            <w:noWrap w:val="0"/>
            <w:vAlign w:val="center"/>
          </w:tcPr>
          <w:p w14:paraId="5B75A7E5">
            <w:pPr>
              <w:jc w:val="center"/>
              <w:rPr>
                <w:rFonts w:hint="eastAsia" w:ascii="宋体" w:hAnsi="宋体" w:cs="宋体"/>
                <w:color w:val="auto"/>
                <w:sz w:val="24"/>
                <w:highlight w:val="none"/>
              </w:rPr>
            </w:pPr>
            <w:r>
              <w:rPr>
                <w:rFonts w:hint="eastAsia" w:ascii="宋体" w:hAnsi="宋体" w:cs="宋体"/>
                <w:color w:val="auto"/>
                <w:sz w:val="24"/>
                <w:highlight w:val="none"/>
              </w:rPr>
              <w:t>工程质量</w:t>
            </w:r>
          </w:p>
        </w:tc>
      </w:tr>
      <w:tr w14:paraId="3D4A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01" w:type="dxa"/>
            <w:gridSpan w:val="2"/>
            <w:noWrap w:val="0"/>
            <w:vAlign w:val="center"/>
          </w:tcPr>
          <w:p w14:paraId="5D6A0C77">
            <w:pPr>
              <w:jc w:val="center"/>
              <w:rPr>
                <w:rFonts w:hint="eastAsia" w:ascii="宋体" w:hAnsi="宋体" w:cs="宋体"/>
                <w:color w:val="auto"/>
                <w:sz w:val="24"/>
                <w:highlight w:val="none"/>
              </w:rPr>
            </w:pPr>
          </w:p>
        </w:tc>
        <w:tc>
          <w:tcPr>
            <w:tcW w:w="1548" w:type="dxa"/>
            <w:noWrap w:val="0"/>
            <w:vAlign w:val="center"/>
          </w:tcPr>
          <w:p w14:paraId="468832AC">
            <w:pPr>
              <w:jc w:val="center"/>
              <w:rPr>
                <w:rFonts w:hint="eastAsia" w:ascii="宋体" w:hAnsi="宋体" w:cs="宋体"/>
                <w:color w:val="auto"/>
                <w:sz w:val="24"/>
                <w:highlight w:val="none"/>
              </w:rPr>
            </w:pPr>
          </w:p>
        </w:tc>
        <w:tc>
          <w:tcPr>
            <w:tcW w:w="1547" w:type="dxa"/>
            <w:gridSpan w:val="2"/>
            <w:noWrap w:val="0"/>
            <w:vAlign w:val="center"/>
          </w:tcPr>
          <w:p w14:paraId="506E79F2">
            <w:pPr>
              <w:jc w:val="center"/>
              <w:rPr>
                <w:rFonts w:hint="eastAsia" w:ascii="宋体" w:hAnsi="宋体" w:cs="宋体"/>
                <w:color w:val="auto"/>
                <w:sz w:val="24"/>
                <w:highlight w:val="none"/>
              </w:rPr>
            </w:pPr>
          </w:p>
        </w:tc>
        <w:tc>
          <w:tcPr>
            <w:tcW w:w="1548" w:type="dxa"/>
            <w:gridSpan w:val="2"/>
            <w:noWrap w:val="0"/>
            <w:vAlign w:val="center"/>
          </w:tcPr>
          <w:p w14:paraId="674DEB10">
            <w:pPr>
              <w:jc w:val="center"/>
              <w:rPr>
                <w:rFonts w:hint="eastAsia" w:ascii="宋体" w:hAnsi="宋体" w:cs="宋体"/>
                <w:color w:val="auto"/>
                <w:sz w:val="24"/>
                <w:highlight w:val="none"/>
              </w:rPr>
            </w:pPr>
          </w:p>
        </w:tc>
        <w:tc>
          <w:tcPr>
            <w:tcW w:w="1547" w:type="dxa"/>
            <w:gridSpan w:val="2"/>
            <w:noWrap w:val="0"/>
            <w:vAlign w:val="center"/>
          </w:tcPr>
          <w:p w14:paraId="3E7B16A7">
            <w:pPr>
              <w:jc w:val="center"/>
              <w:rPr>
                <w:rFonts w:hint="eastAsia" w:ascii="宋体" w:hAnsi="宋体" w:cs="宋体"/>
                <w:color w:val="auto"/>
                <w:sz w:val="24"/>
                <w:highlight w:val="none"/>
              </w:rPr>
            </w:pPr>
          </w:p>
        </w:tc>
        <w:tc>
          <w:tcPr>
            <w:tcW w:w="1548" w:type="dxa"/>
            <w:gridSpan w:val="2"/>
            <w:noWrap w:val="0"/>
            <w:vAlign w:val="center"/>
          </w:tcPr>
          <w:p w14:paraId="28C059C5">
            <w:pPr>
              <w:jc w:val="center"/>
              <w:rPr>
                <w:rFonts w:hint="eastAsia" w:ascii="宋体" w:hAnsi="宋体" w:cs="宋体"/>
                <w:color w:val="auto"/>
                <w:sz w:val="24"/>
                <w:highlight w:val="none"/>
              </w:rPr>
            </w:pPr>
          </w:p>
        </w:tc>
      </w:tr>
      <w:tr w14:paraId="7713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01" w:type="dxa"/>
            <w:gridSpan w:val="2"/>
            <w:noWrap w:val="0"/>
            <w:vAlign w:val="center"/>
          </w:tcPr>
          <w:p w14:paraId="22DF9AAE">
            <w:pPr>
              <w:jc w:val="center"/>
              <w:rPr>
                <w:rFonts w:hint="eastAsia" w:ascii="宋体" w:hAnsi="宋体" w:cs="宋体"/>
                <w:color w:val="auto"/>
                <w:sz w:val="24"/>
                <w:highlight w:val="none"/>
              </w:rPr>
            </w:pPr>
          </w:p>
        </w:tc>
        <w:tc>
          <w:tcPr>
            <w:tcW w:w="1548" w:type="dxa"/>
            <w:noWrap w:val="0"/>
            <w:vAlign w:val="center"/>
          </w:tcPr>
          <w:p w14:paraId="0BC0B450">
            <w:pPr>
              <w:jc w:val="center"/>
              <w:rPr>
                <w:rFonts w:hint="eastAsia" w:ascii="宋体" w:hAnsi="宋体" w:cs="宋体"/>
                <w:color w:val="auto"/>
                <w:sz w:val="24"/>
                <w:highlight w:val="none"/>
              </w:rPr>
            </w:pPr>
          </w:p>
        </w:tc>
        <w:tc>
          <w:tcPr>
            <w:tcW w:w="1547" w:type="dxa"/>
            <w:gridSpan w:val="2"/>
            <w:noWrap w:val="0"/>
            <w:vAlign w:val="center"/>
          </w:tcPr>
          <w:p w14:paraId="203DDBF4">
            <w:pPr>
              <w:jc w:val="center"/>
              <w:rPr>
                <w:rFonts w:hint="eastAsia" w:ascii="宋体" w:hAnsi="宋体" w:cs="宋体"/>
                <w:color w:val="auto"/>
                <w:sz w:val="24"/>
                <w:highlight w:val="none"/>
              </w:rPr>
            </w:pPr>
          </w:p>
        </w:tc>
        <w:tc>
          <w:tcPr>
            <w:tcW w:w="1548" w:type="dxa"/>
            <w:gridSpan w:val="2"/>
            <w:noWrap w:val="0"/>
            <w:vAlign w:val="center"/>
          </w:tcPr>
          <w:p w14:paraId="7B25A86B">
            <w:pPr>
              <w:jc w:val="center"/>
              <w:rPr>
                <w:rFonts w:hint="eastAsia" w:ascii="宋体" w:hAnsi="宋体" w:cs="宋体"/>
                <w:color w:val="auto"/>
                <w:sz w:val="24"/>
                <w:highlight w:val="none"/>
              </w:rPr>
            </w:pPr>
          </w:p>
        </w:tc>
        <w:tc>
          <w:tcPr>
            <w:tcW w:w="1547" w:type="dxa"/>
            <w:gridSpan w:val="2"/>
            <w:noWrap w:val="0"/>
            <w:vAlign w:val="center"/>
          </w:tcPr>
          <w:p w14:paraId="1A5DDDF1">
            <w:pPr>
              <w:jc w:val="center"/>
              <w:rPr>
                <w:rFonts w:hint="eastAsia" w:ascii="宋体" w:hAnsi="宋体" w:cs="宋体"/>
                <w:color w:val="auto"/>
                <w:sz w:val="24"/>
                <w:highlight w:val="none"/>
              </w:rPr>
            </w:pPr>
          </w:p>
        </w:tc>
        <w:tc>
          <w:tcPr>
            <w:tcW w:w="1548" w:type="dxa"/>
            <w:gridSpan w:val="2"/>
            <w:noWrap w:val="0"/>
            <w:vAlign w:val="center"/>
          </w:tcPr>
          <w:p w14:paraId="7AB0E199">
            <w:pPr>
              <w:jc w:val="center"/>
              <w:rPr>
                <w:rFonts w:hint="eastAsia" w:ascii="宋体" w:hAnsi="宋体" w:cs="宋体"/>
                <w:color w:val="auto"/>
                <w:sz w:val="24"/>
                <w:highlight w:val="none"/>
              </w:rPr>
            </w:pPr>
          </w:p>
        </w:tc>
      </w:tr>
      <w:tr w14:paraId="2686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01" w:type="dxa"/>
            <w:gridSpan w:val="2"/>
            <w:noWrap w:val="0"/>
            <w:vAlign w:val="center"/>
          </w:tcPr>
          <w:p w14:paraId="52661747">
            <w:pPr>
              <w:jc w:val="center"/>
              <w:rPr>
                <w:rFonts w:hint="eastAsia" w:ascii="宋体" w:hAnsi="宋体" w:cs="宋体"/>
                <w:color w:val="auto"/>
                <w:sz w:val="24"/>
                <w:highlight w:val="none"/>
              </w:rPr>
            </w:pPr>
          </w:p>
        </w:tc>
        <w:tc>
          <w:tcPr>
            <w:tcW w:w="1548" w:type="dxa"/>
            <w:noWrap w:val="0"/>
            <w:vAlign w:val="center"/>
          </w:tcPr>
          <w:p w14:paraId="75E3F51A">
            <w:pPr>
              <w:jc w:val="center"/>
              <w:rPr>
                <w:rFonts w:hint="eastAsia" w:ascii="宋体" w:hAnsi="宋体" w:cs="宋体"/>
                <w:color w:val="auto"/>
                <w:sz w:val="24"/>
                <w:highlight w:val="none"/>
              </w:rPr>
            </w:pPr>
          </w:p>
        </w:tc>
        <w:tc>
          <w:tcPr>
            <w:tcW w:w="1547" w:type="dxa"/>
            <w:gridSpan w:val="2"/>
            <w:noWrap w:val="0"/>
            <w:vAlign w:val="center"/>
          </w:tcPr>
          <w:p w14:paraId="2E621045">
            <w:pPr>
              <w:jc w:val="center"/>
              <w:rPr>
                <w:rFonts w:hint="eastAsia" w:ascii="宋体" w:hAnsi="宋体" w:cs="宋体"/>
                <w:color w:val="auto"/>
                <w:sz w:val="24"/>
                <w:highlight w:val="none"/>
              </w:rPr>
            </w:pPr>
          </w:p>
        </w:tc>
        <w:tc>
          <w:tcPr>
            <w:tcW w:w="1548" w:type="dxa"/>
            <w:gridSpan w:val="2"/>
            <w:noWrap w:val="0"/>
            <w:vAlign w:val="center"/>
          </w:tcPr>
          <w:p w14:paraId="567627D7">
            <w:pPr>
              <w:jc w:val="center"/>
              <w:rPr>
                <w:rFonts w:hint="eastAsia" w:ascii="宋体" w:hAnsi="宋体" w:cs="宋体"/>
                <w:color w:val="auto"/>
                <w:sz w:val="24"/>
                <w:highlight w:val="none"/>
              </w:rPr>
            </w:pPr>
          </w:p>
        </w:tc>
        <w:tc>
          <w:tcPr>
            <w:tcW w:w="1547" w:type="dxa"/>
            <w:gridSpan w:val="2"/>
            <w:noWrap w:val="0"/>
            <w:vAlign w:val="center"/>
          </w:tcPr>
          <w:p w14:paraId="21E4AEC2">
            <w:pPr>
              <w:jc w:val="center"/>
              <w:rPr>
                <w:rFonts w:hint="eastAsia" w:ascii="宋体" w:hAnsi="宋体" w:cs="宋体"/>
                <w:color w:val="auto"/>
                <w:sz w:val="24"/>
                <w:highlight w:val="none"/>
              </w:rPr>
            </w:pPr>
          </w:p>
        </w:tc>
        <w:tc>
          <w:tcPr>
            <w:tcW w:w="1548" w:type="dxa"/>
            <w:gridSpan w:val="2"/>
            <w:noWrap w:val="0"/>
            <w:vAlign w:val="center"/>
          </w:tcPr>
          <w:p w14:paraId="78400748">
            <w:pPr>
              <w:jc w:val="center"/>
              <w:rPr>
                <w:rFonts w:hint="eastAsia" w:ascii="宋体" w:hAnsi="宋体" w:cs="宋体"/>
                <w:color w:val="auto"/>
                <w:sz w:val="24"/>
                <w:highlight w:val="none"/>
              </w:rPr>
            </w:pPr>
          </w:p>
        </w:tc>
      </w:tr>
      <w:tr w14:paraId="793A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401" w:type="dxa"/>
            <w:gridSpan w:val="2"/>
            <w:noWrap w:val="0"/>
            <w:vAlign w:val="center"/>
          </w:tcPr>
          <w:p w14:paraId="05FFF9C6">
            <w:pPr>
              <w:jc w:val="center"/>
              <w:rPr>
                <w:rFonts w:hint="eastAsia" w:ascii="宋体" w:hAnsi="宋体" w:cs="宋体"/>
                <w:color w:val="auto"/>
                <w:sz w:val="24"/>
                <w:highlight w:val="none"/>
              </w:rPr>
            </w:pPr>
          </w:p>
        </w:tc>
        <w:tc>
          <w:tcPr>
            <w:tcW w:w="1548" w:type="dxa"/>
            <w:noWrap w:val="0"/>
            <w:vAlign w:val="center"/>
          </w:tcPr>
          <w:p w14:paraId="0A4E8318">
            <w:pPr>
              <w:jc w:val="center"/>
              <w:rPr>
                <w:rFonts w:hint="eastAsia" w:ascii="宋体" w:hAnsi="宋体" w:cs="宋体"/>
                <w:color w:val="auto"/>
                <w:sz w:val="24"/>
                <w:highlight w:val="none"/>
              </w:rPr>
            </w:pPr>
          </w:p>
        </w:tc>
        <w:tc>
          <w:tcPr>
            <w:tcW w:w="1547" w:type="dxa"/>
            <w:gridSpan w:val="2"/>
            <w:noWrap w:val="0"/>
            <w:vAlign w:val="center"/>
          </w:tcPr>
          <w:p w14:paraId="5CE149A4">
            <w:pPr>
              <w:jc w:val="center"/>
              <w:rPr>
                <w:rFonts w:hint="eastAsia" w:ascii="宋体" w:hAnsi="宋体" w:cs="宋体"/>
                <w:color w:val="auto"/>
                <w:sz w:val="24"/>
                <w:highlight w:val="none"/>
              </w:rPr>
            </w:pPr>
          </w:p>
        </w:tc>
        <w:tc>
          <w:tcPr>
            <w:tcW w:w="1548" w:type="dxa"/>
            <w:gridSpan w:val="2"/>
            <w:noWrap w:val="0"/>
            <w:vAlign w:val="center"/>
          </w:tcPr>
          <w:p w14:paraId="37159361">
            <w:pPr>
              <w:jc w:val="center"/>
              <w:rPr>
                <w:rFonts w:hint="eastAsia" w:ascii="宋体" w:hAnsi="宋体" w:cs="宋体"/>
                <w:color w:val="auto"/>
                <w:sz w:val="24"/>
                <w:highlight w:val="none"/>
              </w:rPr>
            </w:pPr>
          </w:p>
        </w:tc>
        <w:tc>
          <w:tcPr>
            <w:tcW w:w="1547" w:type="dxa"/>
            <w:gridSpan w:val="2"/>
            <w:noWrap w:val="0"/>
            <w:vAlign w:val="center"/>
          </w:tcPr>
          <w:p w14:paraId="762172D8">
            <w:pPr>
              <w:jc w:val="center"/>
              <w:rPr>
                <w:rFonts w:hint="eastAsia" w:ascii="宋体" w:hAnsi="宋体" w:cs="宋体"/>
                <w:color w:val="auto"/>
                <w:sz w:val="24"/>
                <w:highlight w:val="none"/>
              </w:rPr>
            </w:pPr>
          </w:p>
        </w:tc>
        <w:tc>
          <w:tcPr>
            <w:tcW w:w="1548" w:type="dxa"/>
            <w:gridSpan w:val="2"/>
            <w:noWrap w:val="0"/>
            <w:vAlign w:val="center"/>
          </w:tcPr>
          <w:p w14:paraId="596BCC4A">
            <w:pPr>
              <w:jc w:val="center"/>
              <w:rPr>
                <w:rFonts w:hint="eastAsia" w:ascii="宋体" w:hAnsi="宋体" w:cs="宋体"/>
                <w:color w:val="auto"/>
                <w:sz w:val="24"/>
                <w:highlight w:val="none"/>
              </w:rPr>
            </w:pPr>
          </w:p>
        </w:tc>
      </w:tr>
    </w:tbl>
    <w:p w14:paraId="0213936B">
      <w:pPr>
        <w:rPr>
          <w:rFonts w:hint="eastAsia" w:ascii="宋体" w:hAnsi="宋体" w:cs="宋体"/>
          <w:color w:val="auto"/>
          <w:sz w:val="24"/>
          <w:highlight w:val="none"/>
        </w:rPr>
      </w:pPr>
    </w:p>
    <w:p w14:paraId="357003AD">
      <w:pPr>
        <w:spacing w:line="360" w:lineRule="auto"/>
        <w:rPr>
          <w:rFonts w:hint="eastAsia" w:ascii="宋体" w:hAnsi="宋体" w:cs="宋体"/>
          <w:color w:val="auto"/>
          <w:sz w:val="24"/>
          <w:highlight w:val="none"/>
        </w:rPr>
      </w:pPr>
    </w:p>
    <w:p w14:paraId="197C404C">
      <w:pPr>
        <w:spacing w:line="360" w:lineRule="auto"/>
        <w:rPr>
          <w:rFonts w:hint="eastAsia" w:ascii="宋体" w:hAnsi="宋体" w:cs="宋体"/>
          <w:color w:val="auto"/>
          <w:sz w:val="24"/>
          <w:highlight w:val="none"/>
        </w:rPr>
      </w:pPr>
      <w:r>
        <w:rPr>
          <w:rFonts w:hint="eastAsia" w:ascii="宋体" w:hAnsi="宋体" w:cs="宋体"/>
          <w:color w:val="auto"/>
          <w:sz w:val="24"/>
          <w:highlight w:val="none"/>
        </w:rPr>
        <w:t>备注：附项目经理的</w:t>
      </w:r>
      <w:r>
        <w:rPr>
          <w:rFonts w:hint="eastAsia" w:ascii="宋体" w:hAnsi="宋体" w:cs="宋体"/>
          <w:color w:val="auto"/>
          <w:sz w:val="24"/>
          <w:highlight w:val="none"/>
          <w:lang w:eastAsia="zh-CN"/>
        </w:rPr>
        <w:t>相关</w:t>
      </w:r>
      <w:r>
        <w:rPr>
          <w:rFonts w:hint="eastAsia" w:ascii="宋体" w:hAnsi="宋体" w:cs="宋体"/>
          <w:color w:val="auto"/>
          <w:sz w:val="24"/>
          <w:highlight w:val="none"/>
        </w:rPr>
        <w:t>证明材料复印件。</w:t>
      </w:r>
    </w:p>
    <w:p w14:paraId="47E51DF3">
      <w:pPr>
        <w:spacing w:before="120" w:beforeLines="50"/>
        <w:ind w:firstLine="480" w:firstLineChars="200"/>
        <w:rPr>
          <w:rFonts w:hint="eastAsia" w:ascii="宋体" w:hAnsi="宋体" w:cs="宋体"/>
          <w:color w:val="auto"/>
          <w:sz w:val="24"/>
          <w:highlight w:val="none"/>
        </w:rPr>
      </w:pPr>
    </w:p>
    <w:p w14:paraId="35A2A563">
      <w:pPr>
        <w:spacing w:line="360" w:lineRule="auto"/>
        <w:jc w:val="left"/>
        <w:rPr>
          <w:rFonts w:hint="eastAsia" w:ascii="宋体" w:hAnsi="宋体" w:cs="宋体"/>
          <w:color w:val="auto"/>
          <w:sz w:val="24"/>
          <w:highlight w:val="none"/>
        </w:rPr>
      </w:pPr>
    </w:p>
    <w:p w14:paraId="648DCFB1">
      <w:pPr>
        <w:autoSpaceDE w:val="0"/>
        <w:autoSpaceDN w:val="0"/>
        <w:spacing w:line="360" w:lineRule="auto"/>
        <w:ind w:left="4365" w:leftChars="1850" w:hanging="480" w:hangingChars="2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1FDEAF6">
      <w:pPr>
        <w:autoSpaceDE w:val="0"/>
        <w:autoSpaceDN w:val="0"/>
        <w:spacing w:line="360" w:lineRule="auto"/>
        <w:ind w:firstLine="6120" w:firstLineChars="2550"/>
        <w:rPr>
          <w:rFonts w:hint="eastAsia"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3126EECF">
      <w:pPr>
        <w:spacing w:line="360" w:lineRule="auto"/>
        <w:rPr>
          <w:rFonts w:hint="eastAsia" w:ascii="宋体" w:hAnsi="宋体" w:cs="宋体"/>
          <w:color w:val="auto"/>
          <w:sz w:val="24"/>
          <w:highlight w:val="none"/>
        </w:rPr>
      </w:pPr>
    </w:p>
    <w:p w14:paraId="1324DE4C">
      <w:pPr>
        <w:pStyle w:val="15"/>
        <w:rPr>
          <w:rFonts w:hint="eastAsia"/>
          <w:color w:val="auto"/>
          <w:highlight w:val="none"/>
        </w:rPr>
        <w:sectPr>
          <w:headerReference r:id="rId8" w:type="default"/>
          <w:footerReference r:id="rId9" w:type="default"/>
          <w:pgSz w:w="11905" w:h="16838"/>
          <w:pgMar w:top="1247" w:right="1417" w:bottom="1247" w:left="1417" w:header="850" w:footer="992" w:gutter="0"/>
          <w:cols w:space="720" w:num="1"/>
          <w:titlePg/>
          <w:rtlGutter w:val="0"/>
          <w:docGrid w:type="lines" w:linePitch="319" w:charSpace="0"/>
        </w:sectPr>
      </w:pPr>
    </w:p>
    <w:p w14:paraId="2D92B85B">
      <w:pPr>
        <w:ind w:left="482"/>
        <w:jc w:val="center"/>
        <w:rPr>
          <w:rFonts w:hint="eastAsia" w:ascii="宋体" w:hAnsi="宋体" w:cs="宋体"/>
          <w:b/>
          <w:bCs/>
          <w:color w:val="auto"/>
          <w:sz w:val="30"/>
          <w:szCs w:val="30"/>
          <w:highlight w:val="none"/>
        </w:rPr>
      </w:pPr>
      <w:bookmarkStart w:id="231" w:name="_Toc153274949"/>
      <w:bookmarkStart w:id="232" w:name="_Toc389065365"/>
      <w:bookmarkStart w:id="233" w:name="_Toc172364027"/>
      <w:bookmarkStart w:id="234" w:name="_Toc251052219"/>
      <w:bookmarkStart w:id="235" w:name="_Toc173579007"/>
      <w:r>
        <w:rPr>
          <w:rFonts w:hint="eastAsia" w:ascii="宋体" w:hAnsi="宋体" w:cs="宋体"/>
          <w:b/>
          <w:bCs/>
          <w:color w:val="auto"/>
          <w:sz w:val="30"/>
          <w:szCs w:val="30"/>
          <w:highlight w:val="none"/>
          <w:lang w:val="en-US" w:eastAsia="zh-CN"/>
        </w:rPr>
        <w:t>2</w:t>
      </w:r>
      <w:r>
        <w:rPr>
          <w:rFonts w:hint="eastAsia" w:ascii="宋体" w:hAnsi="宋体" w:cs="宋体"/>
          <w:b/>
          <w:bCs/>
          <w:color w:val="auto"/>
          <w:sz w:val="30"/>
          <w:szCs w:val="30"/>
          <w:highlight w:val="none"/>
        </w:rPr>
        <w:t>.项目技术负责人简历表</w:t>
      </w:r>
      <w:bookmarkEnd w:id="231"/>
      <w:bookmarkEnd w:id="232"/>
      <w:bookmarkEnd w:id="233"/>
      <w:bookmarkEnd w:id="234"/>
      <w:bookmarkEnd w:id="235"/>
    </w:p>
    <w:p w14:paraId="43F389E3">
      <w:pPr>
        <w:rPr>
          <w:rFonts w:hint="eastAsia" w:ascii="宋体" w:hAnsi="宋体" w:cs="宋体"/>
          <w:color w:val="auto"/>
          <w:sz w:val="24"/>
          <w:highlight w:val="none"/>
        </w:rPr>
      </w:pPr>
    </w:p>
    <w:tbl>
      <w:tblPr>
        <w:tblStyle w:val="29"/>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457"/>
        <w:gridCol w:w="1525"/>
        <w:gridCol w:w="324"/>
        <w:gridCol w:w="1200"/>
        <w:gridCol w:w="665"/>
        <w:gridCol w:w="860"/>
        <w:gridCol w:w="702"/>
        <w:gridCol w:w="822"/>
        <w:gridCol w:w="270"/>
        <w:gridCol w:w="1126"/>
      </w:tblGrid>
      <w:tr w14:paraId="3AB9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067" w:type="dxa"/>
            <w:noWrap w:val="0"/>
            <w:vAlign w:val="center"/>
          </w:tcPr>
          <w:p w14:paraId="2BF4DDF1">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2306" w:type="dxa"/>
            <w:gridSpan w:val="3"/>
            <w:noWrap w:val="0"/>
            <w:vAlign w:val="center"/>
          </w:tcPr>
          <w:p w14:paraId="35BD8D46">
            <w:pPr>
              <w:spacing w:line="360" w:lineRule="auto"/>
              <w:jc w:val="center"/>
              <w:rPr>
                <w:rFonts w:hint="eastAsia" w:ascii="宋体" w:hAnsi="宋体" w:cs="宋体"/>
                <w:color w:val="auto"/>
                <w:sz w:val="24"/>
                <w:highlight w:val="none"/>
              </w:rPr>
            </w:pPr>
          </w:p>
        </w:tc>
        <w:tc>
          <w:tcPr>
            <w:tcW w:w="1865" w:type="dxa"/>
            <w:gridSpan w:val="2"/>
            <w:noWrap w:val="0"/>
            <w:vAlign w:val="center"/>
          </w:tcPr>
          <w:p w14:paraId="6FA7EB3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1562" w:type="dxa"/>
            <w:gridSpan w:val="2"/>
            <w:noWrap w:val="0"/>
            <w:vAlign w:val="center"/>
          </w:tcPr>
          <w:p w14:paraId="35D54617">
            <w:pPr>
              <w:spacing w:line="360" w:lineRule="auto"/>
              <w:jc w:val="center"/>
              <w:rPr>
                <w:rFonts w:hint="eastAsia" w:ascii="宋体" w:hAnsi="宋体" w:cs="宋体"/>
                <w:color w:val="auto"/>
                <w:sz w:val="24"/>
                <w:highlight w:val="none"/>
              </w:rPr>
            </w:pPr>
          </w:p>
        </w:tc>
        <w:tc>
          <w:tcPr>
            <w:tcW w:w="1092" w:type="dxa"/>
            <w:gridSpan w:val="2"/>
            <w:noWrap w:val="0"/>
            <w:vAlign w:val="center"/>
          </w:tcPr>
          <w:p w14:paraId="3F3C2ECD">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126" w:type="dxa"/>
            <w:noWrap w:val="0"/>
            <w:vAlign w:val="center"/>
          </w:tcPr>
          <w:p w14:paraId="70FE46B2">
            <w:pPr>
              <w:spacing w:line="360" w:lineRule="auto"/>
              <w:jc w:val="center"/>
              <w:rPr>
                <w:rFonts w:hint="eastAsia" w:ascii="宋体" w:hAnsi="宋体" w:cs="宋体"/>
                <w:color w:val="auto"/>
                <w:sz w:val="24"/>
                <w:highlight w:val="none"/>
              </w:rPr>
            </w:pPr>
          </w:p>
        </w:tc>
      </w:tr>
      <w:tr w14:paraId="381D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67" w:type="dxa"/>
            <w:noWrap w:val="0"/>
            <w:vAlign w:val="center"/>
          </w:tcPr>
          <w:p w14:paraId="1B837DE1">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职务</w:t>
            </w:r>
          </w:p>
        </w:tc>
        <w:tc>
          <w:tcPr>
            <w:tcW w:w="2306" w:type="dxa"/>
            <w:gridSpan w:val="3"/>
            <w:noWrap w:val="0"/>
            <w:vAlign w:val="center"/>
          </w:tcPr>
          <w:p w14:paraId="03039D61">
            <w:pPr>
              <w:spacing w:line="360" w:lineRule="auto"/>
              <w:jc w:val="center"/>
              <w:rPr>
                <w:rFonts w:hint="eastAsia" w:ascii="宋体" w:hAnsi="宋体" w:cs="宋体"/>
                <w:color w:val="auto"/>
                <w:sz w:val="24"/>
                <w:highlight w:val="none"/>
              </w:rPr>
            </w:pPr>
          </w:p>
        </w:tc>
        <w:tc>
          <w:tcPr>
            <w:tcW w:w="1865" w:type="dxa"/>
            <w:gridSpan w:val="2"/>
            <w:noWrap w:val="0"/>
            <w:vAlign w:val="center"/>
          </w:tcPr>
          <w:p w14:paraId="51B4A29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562" w:type="dxa"/>
            <w:gridSpan w:val="2"/>
            <w:noWrap w:val="0"/>
            <w:vAlign w:val="center"/>
          </w:tcPr>
          <w:p w14:paraId="275D9FC7">
            <w:pPr>
              <w:spacing w:line="360" w:lineRule="auto"/>
              <w:jc w:val="center"/>
              <w:rPr>
                <w:rFonts w:hint="eastAsia" w:ascii="宋体" w:hAnsi="宋体" w:cs="宋体"/>
                <w:color w:val="auto"/>
                <w:sz w:val="24"/>
                <w:highlight w:val="none"/>
              </w:rPr>
            </w:pPr>
          </w:p>
        </w:tc>
        <w:tc>
          <w:tcPr>
            <w:tcW w:w="1092" w:type="dxa"/>
            <w:gridSpan w:val="2"/>
            <w:noWrap w:val="0"/>
            <w:vAlign w:val="center"/>
          </w:tcPr>
          <w:p w14:paraId="3921160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126" w:type="dxa"/>
            <w:noWrap w:val="0"/>
            <w:vAlign w:val="center"/>
          </w:tcPr>
          <w:p w14:paraId="666E96B6">
            <w:pPr>
              <w:spacing w:line="360" w:lineRule="auto"/>
              <w:jc w:val="center"/>
              <w:rPr>
                <w:rFonts w:hint="eastAsia" w:ascii="宋体" w:hAnsi="宋体" w:cs="宋体"/>
                <w:color w:val="auto"/>
                <w:sz w:val="24"/>
                <w:highlight w:val="none"/>
              </w:rPr>
            </w:pPr>
          </w:p>
        </w:tc>
      </w:tr>
      <w:tr w14:paraId="0AD4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373" w:type="dxa"/>
            <w:gridSpan w:val="4"/>
            <w:noWrap w:val="0"/>
            <w:vAlign w:val="center"/>
          </w:tcPr>
          <w:p w14:paraId="38F05CCC">
            <w:pPr>
              <w:jc w:val="center"/>
              <w:rPr>
                <w:rFonts w:hint="eastAsia" w:ascii="宋体" w:hAnsi="宋体" w:cs="宋体"/>
                <w:color w:val="auto"/>
                <w:sz w:val="24"/>
                <w:highlight w:val="none"/>
              </w:rPr>
            </w:pPr>
            <w:r>
              <w:rPr>
                <w:rFonts w:hint="eastAsia" w:ascii="宋体" w:hAnsi="宋体" w:cs="宋体"/>
                <w:color w:val="auto"/>
                <w:sz w:val="24"/>
                <w:highlight w:val="none"/>
              </w:rPr>
              <w:t>参加工作时间</w:t>
            </w:r>
          </w:p>
        </w:tc>
        <w:tc>
          <w:tcPr>
            <w:tcW w:w="1865" w:type="dxa"/>
            <w:gridSpan w:val="2"/>
            <w:noWrap w:val="0"/>
            <w:vAlign w:val="center"/>
          </w:tcPr>
          <w:p w14:paraId="3A53164B">
            <w:pPr>
              <w:jc w:val="center"/>
              <w:rPr>
                <w:rFonts w:hint="eastAsia" w:ascii="宋体" w:hAnsi="宋体" w:cs="宋体"/>
                <w:color w:val="auto"/>
                <w:sz w:val="24"/>
                <w:highlight w:val="none"/>
              </w:rPr>
            </w:pPr>
          </w:p>
        </w:tc>
        <w:tc>
          <w:tcPr>
            <w:tcW w:w="2654" w:type="dxa"/>
            <w:gridSpan w:val="4"/>
            <w:noWrap w:val="0"/>
            <w:vAlign w:val="center"/>
          </w:tcPr>
          <w:p w14:paraId="185C461C">
            <w:pPr>
              <w:jc w:val="center"/>
              <w:rPr>
                <w:rFonts w:hint="eastAsia" w:ascii="宋体" w:hAnsi="宋体" w:cs="宋体"/>
                <w:color w:val="auto"/>
                <w:sz w:val="24"/>
                <w:highlight w:val="none"/>
              </w:rPr>
            </w:pPr>
            <w:r>
              <w:rPr>
                <w:rFonts w:hint="eastAsia" w:ascii="宋体" w:hAnsi="宋体" w:cs="宋体"/>
                <w:color w:val="auto"/>
                <w:sz w:val="24"/>
                <w:highlight w:val="none"/>
              </w:rPr>
              <w:t>担任技术负责人年限</w:t>
            </w:r>
          </w:p>
        </w:tc>
        <w:tc>
          <w:tcPr>
            <w:tcW w:w="1126" w:type="dxa"/>
            <w:noWrap w:val="0"/>
            <w:vAlign w:val="center"/>
          </w:tcPr>
          <w:p w14:paraId="0F402096">
            <w:pPr>
              <w:jc w:val="center"/>
              <w:rPr>
                <w:rFonts w:hint="eastAsia" w:ascii="宋体" w:hAnsi="宋体" w:cs="宋体"/>
                <w:color w:val="auto"/>
                <w:sz w:val="24"/>
                <w:highlight w:val="none"/>
              </w:rPr>
            </w:pPr>
          </w:p>
        </w:tc>
      </w:tr>
      <w:tr w14:paraId="1DA3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018" w:type="dxa"/>
            <w:gridSpan w:val="11"/>
            <w:noWrap w:val="0"/>
            <w:vAlign w:val="center"/>
          </w:tcPr>
          <w:p w14:paraId="0FEFB43E">
            <w:pPr>
              <w:jc w:val="center"/>
              <w:rPr>
                <w:rFonts w:hint="eastAsia" w:ascii="宋体" w:hAnsi="宋体" w:cs="宋体"/>
                <w:color w:val="auto"/>
                <w:sz w:val="24"/>
                <w:highlight w:val="none"/>
              </w:rPr>
            </w:pPr>
            <w:r>
              <w:rPr>
                <w:rFonts w:hint="eastAsia" w:ascii="宋体" w:hAnsi="宋体" w:cs="宋体"/>
                <w:color w:val="auto"/>
                <w:sz w:val="24"/>
                <w:highlight w:val="none"/>
              </w:rPr>
              <w:t>在建和已完工程项目情况</w:t>
            </w:r>
          </w:p>
        </w:tc>
      </w:tr>
      <w:tr w14:paraId="16FA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524" w:type="dxa"/>
            <w:gridSpan w:val="2"/>
            <w:noWrap w:val="0"/>
            <w:vAlign w:val="center"/>
          </w:tcPr>
          <w:p w14:paraId="62DA5B79">
            <w:pPr>
              <w:jc w:val="center"/>
              <w:rPr>
                <w:rFonts w:hint="eastAsia" w:ascii="宋体" w:hAnsi="宋体" w:cs="宋体"/>
                <w:color w:val="auto"/>
                <w:sz w:val="24"/>
                <w:highlight w:val="none"/>
              </w:rPr>
            </w:pPr>
            <w:r>
              <w:rPr>
                <w:rFonts w:hint="eastAsia" w:ascii="宋体" w:hAnsi="宋体" w:cs="宋体"/>
                <w:color w:val="auto"/>
                <w:sz w:val="24"/>
                <w:highlight w:val="none"/>
              </w:rPr>
              <w:t>建设单位</w:t>
            </w:r>
          </w:p>
        </w:tc>
        <w:tc>
          <w:tcPr>
            <w:tcW w:w="1525" w:type="dxa"/>
            <w:noWrap w:val="0"/>
            <w:vAlign w:val="center"/>
          </w:tcPr>
          <w:p w14:paraId="2073695F">
            <w:pPr>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524" w:type="dxa"/>
            <w:gridSpan w:val="2"/>
            <w:noWrap w:val="0"/>
            <w:vAlign w:val="center"/>
          </w:tcPr>
          <w:p w14:paraId="15502D13">
            <w:pPr>
              <w:jc w:val="center"/>
              <w:rPr>
                <w:rFonts w:hint="eastAsia" w:ascii="宋体" w:hAnsi="宋体" w:cs="宋体"/>
                <w:color w:val="auto"/>
                <w:sz w:val="24"/>
                <w:highlight w:val="none"/>
              </w:rPr>
            </w:pPr>
            <w:r>
              <w:rPr>
                <w:rFonts w:hint="eastAsia" w:ascii="宋体" w:hAnsi="宋体" w:cs="宋体"/>
                <w:color w:val="auto"/>
                <w:sz w:val="24"/>
                <w:highlight w:val="none"/>
              </w:rPr>
              <w:t>建设规模</w:t>
            </w:r>
          </w:p>
        </w:tc>
        <w:tc>
          <w:tcPr>
            <w:tcW w:w="1525" w:type="dxa"/>
            <w:gridSpan w:val="2"/>
            <w:noWrap w:val="0"/>
            <w:vAlign w:val="center"/>
          </w:tcPr>
          <w:p w14:paraId="154E8C0D">
            <w:pPr>
              <w:jc w:val="center"/>
              <w:rPr>
                <w:rFonts w:hint="eastAsia" w:ascii="宋体" w:hAnsi="宋体" w:cs="宋体"/>
                <w:color w:val="auto"/>
                <w:sz w:val="24"/>
                <w:highlight w:val="none"/>
              </w:rPr>
            </w:pPr>
            <w:r>
              <w:rPr>
                <w:rFonts w:hint="eastAsia" w:ascii="宋体" w:hAnsi="宋体" w:cs="宋体"/>
                <w:color w:val="auto"/>
                <w:sz w:val="24"/>
                <w:highlight w:val="none"/>
              </w:rPr>
              <w:t>开、竣工日期</w:t>
            </w:r>
          </w:p>
        </w:tc>
        <w:tc>
          <w:tcPr>
            <w:tcW w:w="1524" w:type="dxa"/>
            <w:gridSpan w:val="2"/>
            <w:noWrap w:val="0"/>
            <w:vAlign w:val="center"/>
          </w:tcPr>
          <w:p w14:paraId="6E2983CB">
            <w:pPr>
              <w:jc w:val="center"/>
              <w:rPr>
                <w:rFonts w:hint="eastAsia" w:ascii="宋体" w:hAnsi="宋体" w:cs="宋体"/>
                <w:color w:val="auto"/>
                <w:sz w:val="24"/>
                <w:highlight w:val="none"/>
              </w:rPr>
            </w:pPr>
            <w:r>
              <w:rPr>
                <w:rFonts w:hint="eastAsia" w:ascii="宋体" w:hAnsi="宋体" w:cs="宋体"/>
                <w:color w:val="auto"/>
                <w:sz w:val="24"/>
                <w:highlight w:val="none"/>
              </w:rPr>
              <w:t>在建或已完</w:t>
            </w:r>
          </w:p>
        </w:tc>
        <w:tc>
          <w:tcPr>
            <w:tcW w:w="1396" w:type="dxa"/>
            <w:gridSpan w:val="2"/>
            <w:noWrap w:val="0"/>
            <w:vAlign w:val="center"/>
          </w:tcPr>
          <w:p w14:paraId="0F85A98D">
            <w:pPr>
              <w:jc w:val="center"/>
              <w:rPr>
                <w:rFonts w:hint="eastAsia" w:ascii="宋体" w:hAnsi="宋体" w:cs="宋体"/>
                <w:color w:val="auto"/>
                <w:sz w:val="24"/>
                <w:highlight w:val="none"/>
              </w:rPr>
            </w:pPr>
            <w:r>
              <w:rPr>
                <w:rFonts w:hint="eastAsia" w:ascii="宋体" w:hAnsi="宋体" w:cs="宋体"/>
                <w:color w:val="auto"/>
                <w:sz w:val="24"/>
                <w:highlight w:val="none"/>
              </w:rPr>
              <w:t>工程质量</w:t>
            </w:r>
          </w:p>
        </w:tc>
      </w:tr>
      <w:tr w14:paraId="3038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524" w:type="dxa"/>
            <w:gridSpan w:val="2"/>
            <w:noWrap w:val="0"/>
            <w:vAlign w:val="center"/>
          </w:tcPr>
          <w:p w14:paraId="2391B81D">
            <w:pPr>
              <w:jc w:val="center"/>
              <w:rPr>
                <w:rFonts w:hint="eastAsia" w:ascii="宋体" w:hAnsi="宋体" w:cs="宋体"/>
                <w:color w:val="auto"/>
                <w:sz w:val="24"/>
                <w:highlight w:val="none"/>
              </w:rPr>
            </w:pPr>
          </w:p>
        </w:tc>
        <w:tc>
          <w:tcPr>
            <w:tcW w:w="1525" w:type="dxa"/>
            <w:noWrap w:val="0"/>
            <w:vAlign w:val="center"/>
          </w:tcPr>
          <w:p w14:paraId="2E5A9074">
            <w:pPr>
              <w:jc w:val="center"/>
              <w:rPr>
                <w:rFonts w:hint="eastAsia" w:ascii="宋体" w:hAnsi="宋体" w:cs="宋体"/>
                <w:color w:val="auto"/>
                <w:sz w:val="24"/>
                <w:highlight w:val="none"/>
              </w:rPr>
            </w:pPr>
          </w:p>
        </w:tc>
        <w:tc>
          <w:tcPr>
            <w:tcW w:w="1524" w:type="dxa"/>
            <w:gridSpan w:val="2"/>
            <w:noWrap w:val="0"/>
            <w:vAlign w:val="center"/>
          </w:tcPr>
          <w:p w14:paraId="0D82FB19">
            <w:pPr>
              <w:jc w:val="center"/>
              <w:rPr>
                <w:rFonts w:hint="eastAsia" w:ascii="宋体" w:hAnsi="宋体" w:cs="宋体"/>
                <w:color w:val="auto"/>
                <w:sz w:val="24"/>
                <w:highlight w:val="none"/>
              </w:rPr>
            </w:pPr>
          </w:p>
        </w:tc>
        <w:tc>
          <w:tcPr>
            <w:tcW w:w="1525" w:type="dxa"/>
            <w:gridSpan w:val="2"/>
            <w:noWrap w:val="0"/>
            <w:vAlign w:val="center"/>
          </w:tcPr>
          <w:p w14:paraId="53C62D38">
            <w:pPr>
              <w:jc w:val="center"/>
              <w:rPr>
                <w:rFonts w:hint="eastAsia" w:ascii="宋体" w:hAnsi="宋体" w:cs="宋体"/>
                <w:color w:val="auto"/>
                <w:sz w:val="24"/>
                <w:highlight w:val="none"/>
              </w:rPr>
            </w:pPr>
          </w:p>
        </w:tc>
        <w:tc>
          <w:tcPr>
            <w:tcW w:w="1524" w:type="dxa"/>
            <w:gridSpan w:val="2"/>
            <w:noWrap w:val="0"/>
            <w:vAlign w:val="center"/>
          </w:tcPr>
          <w:p w14:paraId="479AC82F">
            <w:pPr>
              <w:jc w:val="center"/>
              <w:rPr>
                <w:rFonts w:hint="eastAsia" w:ascii="宋体" w:hAnsi="宋体" w:cs="宋体"/>
                <w:color w:val="auto"/>
                <w:sz w:val="24"/>
                <w:highlight w:val="none"/>
              </w:rPr>
            </w:pPr>
          </w:p>
        </w:tc>
        <w:tc>
          <w:tcPr>
            <w:tcW w:w="1396" w:type="dxa"/>
            <w:gridSpan w:val="2"/>
            <w:noWrap w:val="0"/>
            <w:vAlign w:val="center"/>
          </w:tcPr>
          <w:p w14:paraId="09614E3E">
            <w:pPr>
              <w:jc w:val="center"/>
              <w:rPr>
                <w:rFonts w:hint="eastAsia" w:ascii="宋体" w:hAnsi="宋体" w:cs="宋体"/>
                <w:color w:val="auto"/>
                <w:sz w:val="24"/>
                <w:highlight w:val="none"/>
              </w:rPr>
            </w:pPr>
          </w:p>
        </w:tc>
      </w:tr>
      <w:tr w14:paraId="2F36F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524" w:type="dxa"/>
            <w:gridSpan w:val="2"/>
            <w:noWrap w:val="0"/>
            <w:vAlign w:val="center"/>
          </w:tcPr>
          <w:p w14:paraId="17B2C654">
            <w:pPr>
              <w:jc w:val="center"/>
              <w:rPr>
                <w:rFonts w:hint="eastAsia" w:ascii="宋体" w:hAnsi="宋体" w:cs="宋体"/>
                <w:color w:val="auto"/>
                <w:sz w:val="24"/>
                <w:highlight w:val="none"/>
              </w:rPr>
            </w:pPr>
          </w:p>
        </w:tc>
        <w:tc>
          <w:tcPr>
            <w:tcW w:w="1525" w:type="dxa"/>
            <w:noWrap w:val="0"/>
            <w:vAlign w:val="center"/>
          </w:tcPr>
          <w:p w14:paraId="0079587C">
            <w:pPr>
              <w:jc w:val="center"/>
              <w:rPr>
                <w:rFonts w:hint="eastAsia" w:ascii="宋体" w:hAnsi="宋体" w:cs="宋体"/>
                <w:color w:val="auto"/>
                <w:sz w:val="24"/>
                <w:highlight w:val="none"/>
              </w:rPr>
            </w:pPr>
          </w:p>
        </w:tc>
        <w:tc>
          <w:tcPr>
            <w:tcW w:w="1524" w:type="dxa"/>
            <w:gridSpan w:val="2"/>
            <w:noWrap w:val="0"/>
            <w:vAlign w:val="center"/>
          </w:tcPr>
          <w:p w14:paraId="7F1E5EAF">
            <w:pPr>
              <w:jc w:val="center"/>
              <w:rPr>
                <w:rFonts w:hint="eastAsia" w:ascii="宋体" w:hAnsi="宋体" w:cs="宋体"/>
                <w:color w:val="auto"/>
                <w:sz w:val="24"/>
                <w:highlight w:val="none"/>
              </w:rPr>
            </w:pPr>
          </w:p>
        </w:tc>
        <w:tc>
          <w:tcPr>
            <w:tcW w:w="1525" w:type="dxa"/>
            <w:gridSpan w:val="2"/>
            <w:noWrap w:val="0"/>
            <w:vAlign w:val="center"/>
          </w:tcPr>
          <w:p w14:paraId="24DE46DA">
            <w:pPr>
              <w:jc w:val="center"/>
              <w:rPr>
                <w:rFonts w:hint="eastAsia" w:ascii="宋体" w:hAnsi="宋体" w:cs="宋体"/>
                <w:color w:val="auto"/>
                <w:sz w:val="24"/>
                <w:highlight w:val="none"/>
              </w:rPr>
            </w:pPr>
          </w:p>
        </w:tc>
        <w:tc>
          <w:tcPr>
            <w:tcW w:w="1524" w:type="dxa"/>
            <w:gridSpan w:val="2"/>
            <w:noWrap w:val="0"/>
            <w:vAlign w:val="center"/>
          </w:tcPr>
          <w:p w14:paraId="28F311AB">
            <w:pPr>
              <w:jc w:val="center"/>
              <w:rPr>
                <w:rFonts w:hint="eastAsia" w:ascii="宋体" w:hAnsi="宋体" w:cs="宋体"/>
                <w:color w:val="auto"/>
                <w:sz w:val="24"/>
                <w:highlight w:val="none"/>
              </w:rPr>
            </w:pPr>
          </w:p>
        </w:tc>
        <w:tc>
          <w:tcPr>
            <w:tcW w:w="1396" w:type="dxa"/>
            <w:gridSpan w:val="2"/>
            <w:noWrap w:val="0"/>
            <w:vAlign w:val="center"/>
          </w:tcPr>
          <w:p w14:paraId="0266DD8D">
            <w:pPr>
              <w:jc w:val="center"/>
              <w:rPr>
                <w:rFonts w:hint="eastAsia" w:ascii="宋体" w:hAnsi="宋体" w:cs="宋体"/>
                <w:color w:val="auto"/>
                <w:sz w:val="24"/>
                <w:highlight w:val="none"/>
              </w:rPr>
            </w:pPr>
          </w:p>
        </w:tc>
      </w:tr>
      <w:tr w14:paraId="7465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524" w:type="dxa"/>
            <w:gridSpan w:val="2"/>
            <w:noWrap w:val="0"/>
            <w:vAlign w:val="center"/>
          </w:tcPr>
          <w:p w14:paraId="3AB564CF">
            <w:pPr>
              <w:jc w:val="center"/>
              <w:rPr>
                <w:rFonts w:hint="eastAsia" w:ascii="宋体" w:hAnsi="宋体" w:cs="宋体"/>
                <w:color w:val="auto"/>
                <w:sz w:val="24"/>
                <w:highlight w:val="none"/>
              </w:rPr>
            </w:pPr>
          </w:p>
        </w:tc>
        <w:tc>
          <w:tcPr>
            <w:tcW w:w="1525" w:type="dxa"/>
            <w:noWrap w:val="0"/>
            <w:vAlign w:val="center"/>
          </w:tcPr>
          <w:p w14:paraId="0BB01896">
            <w:pPr>
              <w:jc w:val="center"/>
              <w:rPr>
                <w:rFonts w:hint="eastAsia" w:ascii="宋体" w:hAnsi="宋体" w:cs="宋体"/>
                <w:color w:val="auto"/>
                <w:sz w:val="24"/>
                <w:highlight w:val="none"/>
              </w:rPr>
            </w:pPr>
          </w:p>
        </w:tc>
        <w:tc>
          <w:tcPr>
            <w:tcW w:w="1524" w:type="dxa"/>
            <w:gridSpan w:val="2"/>
            <w:noWrap w:val="0"/>
            <w:vAlign w:val="center"/>
          </w:tcPr>
          <w:p w14:paraId="2726434C">
            <w:pPr>
              <w:jc w:val="center"/>
              <w:rPr>
                <w:rFonts w:hint="eastAsia" w:ascii="宋体" w:hAnsi="宋体" w:cs="宋体"/>
                <w:color w:val="auto"/>
                <w:sz w:val="24"/>
                <w:highlight w:val="none"/>
              </w:rPr>
            </w:pPr>
          </w:p>
        </w:tc>
        <w:tc>
          <w:tcPr>
            <w:tcW w:w="1525" w:type="dxa"/>
            <w:gridSpan w:val="2"/>
            <w:noWrap w:val="0"/>
            <w:vAlign w:val="center"/>
          </w:tcPr>
          <w:p w14:paraId="438D1D94">
            <w:pPr>
              <w:jc w:val="center"/>
              <w:rPr>
                <w:rFonts w:hint="eastAsia" w:ascii="宋体" w:hAnsi="宋体" w:cs="宋体"/>
                <w:color w:val="auto"/>
                <w:sz w:val="24"/>
                <w:highlight w:val="none"/>
              </w:rPr>
            </w:pPr>
          </w:p>
        </w:tc>
        <w:tc>
          <w:tcPr>
            <w:tcW w:w="1524" w:type="dxa"/>
            <w:gridSpan w:val="2"/>
            <w:noWrap w:val="0"/>
            <w:vAlign w:val="center"/>
          </w:tcPr>
          <w:p w14:paraId="73961243">
            <w:pPr>
              <w:jc w:val="center"/>
              <w:rPr>
                <w:rFonts w:hint="eastAsia" w:ascii="宋体" w:hAnsi="宋体" w:cs="宋体"/>
                <w:color w:val="auto"/>
                <w:sz w:val="24"/>
                <w:highlight w:val="none"/>
              </w:rPr>
            </w:pPr>
          </w:p>
        </w:tc>
        <w:tc>
          <w:tcPr>
            <w:tcW w:w="1396" w:type="dxa"/>
            <w:gridSpan w:val="2"/>
            <w:noWrap w:val="0"/>
            <w:vAlign w:val="center"/>
          </w:tcPr>
          <w:p w14:paraId="7237AD69">
            <w:pPr>
              <w:jc w:val="center"/>
              <w:rPr>
                <w:rFonts w:hint="eastAsia" w:ascii="宋体" w:hAnsi="宋体" w:cs="宋体"/>
                <w:color w:val="auto"/>
                <w:sz w:val="24"/>
                <w:highlight w:val="none"/>
              </w:rPr>
            </w:pPr>
          </w:p>
        </w:tc>
      </w:tr>
      <w:tr w14:paraId="56C8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524" w:type="dxa"/>
            <w:gridSpan w:val="2"/>
            <w:noWrap w:val="0"/>
            <w:vAlign w:val="center"/>
          </w:tcPr>
          <w:p w14:paraId="6606F8AE">
            <w:pPr>
              <w:jc w:val="center"/>
              <w:rPr>
                <w:rFonts w:hint="eastAsia" w:ascii="宋体" w:hAnsi="宋体" w:cs="宋体"/>
                <w:color w:val="auto"/>
                <w:sz w:val="24"/>
                <w:highlight w:val="none"/>
              </w:rPr>
            </w:pPr>
          </w:p>
        </w:tc>
        <w:tc>
          <w:tcPr>
            <w:tcW w:w="1525" w:type="dxa"/>
            <w:noWrap w:val="0"/>
            <w:vAlign w:val="center"/>
          </w:tcPr>
          <w:p w14:paraId="2BA00C87">
            <w:pPr>
              <w:jc w:val="center"/>
              <w:rPr>
                <w:rFonts w:hint="eastAsia" w:ascii="宋体" w:hAnsi="宋体" w:cs="宋体"/>
                <w:color w:val="auto"/>
                <w:sz w:val="24"/>
                <w:highlight w:val="none"/>
              </w:rPr>
            </w:pPr>
          </w:p>
        </w:tc>
        <w:tc>
          <w:tcPr>
            <w:tcW w:w="1524" w:type="dxa"/>
            <w:gridSpan w:val="2"/>
            <w:noWrap w:val="0"/>
            <w:vAlign w:val="center"/>
          </w:tcPr>
          <w:p w14:paraId="3DE4F4BC">
            <w:pPr>
              <w:jc w:val="center"/>
              <w:rPr>
                <w:rFonts w:hint="eastAsia" w:ascii="宋体" w:hAnsi="宋体" w:cs="宋体"/>
                <w:color w:val="auto"/>
                <w:sz w:val="24"/>
                <w:highlight w:val="none"/>
              </w:rPr>
            </w:pPr>
          </w:p>
        </w:tc>
        <w:tc>
          <w:tcPr>
            <w:tcW w:w="1525" w:type="dxa"/>
            <w:gridSpan w:val="2"/>
            <w:noWrap w:val="0"/>
            <w:vAlign w:val="center"/>
          </w:tcPr>
          <w:p w14:paraId="4DB5BC28">
            <w:pPr>
              <w:jc w:val="center"/>
              <w:rPr>
                <w:rFonts w:hint="eastAsia" w:ascii="宋体" w:hAnsi="宋体" w:cs="宋体"/>
                <w:color w:val="auto"/>
                <w:sz w:val="24"/>
                <w:highlight w:val="none"/>
              </w:rPr>
            </w:pPr>
          </w:p>
        </w:tc>
        <w:tc>
          <w:tcPr>
            <w:tcW w:w="1524" w:type="dxa"/>
            <w:gridSpan w:val="2"/>
            <w:noWrap w:val="0"/>
            <w:vAlign w:val="center"/>
          </w:tcPr>
          <w:p w14:paraId="3C1CE31A">
            <w:pPr>
              <w:jc w:val="center"/>
              <w:rPr>
                <w:rFonts w:hint="eastAsia" w:ascii="宋体" w:hAnsi="宋体" w:cs="宋体"/>
                <w:color w:val="auto"/>
                <w:sz w:val="24"/>
                <w:highlight w:val="none"/>
              </w:rPr>
            </w:pPr>
          </w:p>
        </w:tc>
        <w:tc>
          <w:tcPr>
            <w:tcW w:w="1396" w:type="dxa"/>
            <w:gridSpan w:val="2"/>
            <w:noWrap w:val="0"/>
            <w:vAlign w:val="center"/>
          </w:tcPr>
          <w:p w14:paraId="399FE8ED">
            <w:pPr>
              <w:jc w:val="center"/>
              <w:rPr>
                <w:rFonts w:hint="eastAsia" w:ascii="宋体" w:hAnsi="宋体" w:cs="宋体"/>
                <w:color w:val="auto"/>
                <w:sz w:val="24"/>
                <w:highlight w:val="none"/>
              </w:rPr>
            </w:pPr>
          </w:p>
        </w:tc>
      </w:tr>
    </w:tbl>
    <w:p w14:paraId="4A6DEA1D">
      <w:pPr>
        <w:spacing w:line="360" w:lineRule="auto"/>
        <w:rPr>
          <w:rFonts w:hint="eastAsia" w:ascii="宋体" w:hAnsi="宋体" w:cs="宋体"/>
          <w:color w:val="auto"/>
          <w:sz w:val="24"/>
          <w:highlight w:val="none"/>
        </w:rPr>
      </w:pPr>
    </w:p>
    <w:p w14:paraId="314ED932">
      <w:pPr>
        <w:spacing w:line="360" w:lineRule="auto"/>
        <w:rPr>
          <w:rFonts w:hint="eastAsia" w:ascii="宋体" w:hAnsi="宋体" w:cs="宋体"/>
          <w:color w:val="auto"/>
          <w:sz w:val="24"/>
          <w:highlight w:val="none"/>
        </w:rPr>
      </w:pPr>
      <w:r>
        <w:rPr>
          <w:rFonts w:hint="eastAsia" w:ascii="宋体" w:hAnsi="宋体" w:cs="宋体"/>
          <w:color w:val="auto"/>
          <w:sz w:val="24"/>
          <w:highlight w:val="none"/>
        </w:rPr>
        <w:t>备注：附技术负责人</w:t>
      </w:r>
      <w:r>
        <w:rPr>
          <w:rFonts w:hint="eastAsia" w:ascii="宋体" w:hAnsi="宋体" w:cs="宋体"/>
          <w:color w:val="auto"/>
          <w:sz w:val="24"/>
          <w:highlight w:val="none"/>
          <w:lang w:eastAsia="zh-CN"/>
        </w:rPr>
        <w:t>相关</w:t>
      </w:r>
      <w:r>
        <w:rPr>
          <w:rFonts w:hint="eastAsia" w:ascii="宋体" w:hAnsi="宋体" w:cs="宋体"/>
          <w:color w:val="auto"/>
          <w:sz w:val="24"/>
          <w:highlight w:val="none"/>
        </w:rPr>
        <w:t>证明材料复印件。</w:t>
      </w:r>
    </w:p>
    <w:p w14:paraId="25BED0B2">
      <w:pPr>
        <w:autoSpaceDE w:val="0"/>
        <w:autoSpaceDN w:val="0"/>
        <w:spacing w:line="360" w:lineRule="auto"/>
        <w:rPr>
          <w:rFonts w:hint="eastAsia" w:ascii="宋体" w:hAnsi="宋体" w:cs="宋体"/>
          <w:b/>
          <w:bCs/>
          <w:color w:val="auto"/>
          <w:sz w:val="24"/>
          <w:highlight w:val="none"/>
        </w:rPr>
      </w:pPr>
    </w:p>
    <w:p w14:paraId="1D257A14">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9FC55CD">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248081B">
      <w:pPr>
        <w:pStyle w:val="85"/>
        <w:jc w:val="center"/>
        <w:rPr>
          <w:rFonts w:hint="eastAsia" w:ascii="宋体" w:hAnsi="宋体" w:cs="宋体"/>
          <w:b/>
          <w:color w:val="auto"/>
          <w:sz w:val="30"/>
          <w:szCs w:val="30"/>
          <w:highlight w:val="none"/>
        </w:rPr>
      </w:pPr>
      <w:bookmarkStart w:id="236" w:name="_Toc173579005"/>
      <w:bookmarkStart w:id="237" w:name="_Toc153274947"/>
      <w:bookmarkStart w:id="238" w:name="_Toc172364025"/>
      <w:bookmarkStart w:id="239" w:name="_Toc251052184"/>
      <w:r>
        <w:rPr>
          <w:rFonts w:hint="eastAsia" w:ascii="宋体" w:hAnsi="宋体" w:cs="宋体"/>
          <w:b/>
          <w:bCs/>
          <w:color w:val="auto"/>
          <w:sz w:val="30"/>
          <w:szCs w:val="30"/>
          <w:highlight w:val="none"/>
          <w:lang w:val="en-US" w:eastAsia="zh-CN"/>
        </w:rPr>
        <w:br w:type="page"/>
      </w:r>
      <w:r>
        <w:rPr>
          <w:rFonts w:hint="eastAsia" w:ascii="宋体" w:hAnsi="宋体" w:cs="宋体"/>
          <w:b/>
          <w:bCs/>
          <w:color w:val="auto"/>
          <w:sz w:val="30"/>
          <w:szCs w:val="30"/>
          <w:highlight w:val="none"/>
          <w:lang w:val="en-US" w:eastAsia="zh-CN"/>
        </w:rPr>
        <w:t>3</w:t>
      </w:r>
      <w:r>
        <w:rPr>
          <w:rFonts w:hint="eastAsia" w:ascii="宋体" w:hAnsi="宋体" w:cs="宋体"/>
          <w:b/>
          <w:color w:val="auto"/>
          <w:sz w:val="30"/>
          <w:szCs w:val="30"/>
          <w:highlight w:val="none"/>
        </w:rPr>
        <w:t>.</w:t>
      </w:r>
      <w:bookmarkEnd w:id="236"/>
      <w:bookmarkEnd w:id="237"/>
      <w:bookmarkEnd w:id="238"/>
      <w:bookmarkEnd w:id="239"/>
      <w:r>
        <w:rPr>
          <w:rFonts w:hint="eastAsia" w:ascii="宋体" w:hAnsi="宋体" w:cs="宋体"/>
          <w:b/>
          <w:color w:val="auto"/>
          <w:sz w:val="30"/>
          <w:szCs w:val="30"/>
          <w:highlight w:val="none"/>
        </w:rPr>
        <w:t>项目管理机构配备情况表</w:t>
      </w:r>
    </w:p>
    <w:p w14:paraId="4403A03F">
      <w:pPr>
        <w:pStyle w:val="85"/>
        <w:jc w:val="center"/>
        <w:rPr>
          <w:rFonts w:hint="eastAsia" w:ascii="宋体" w:hAnsi="宋体" w:cs="宋体"/>
          <w:b/>
          <w:color w:val="auto"/>
          <w:sz w:val="30"/>
          <w:szCs w:val="30"/>
          <w:highlight w:val="none"/>
        </w:rPr>
      </w:pPr>
    </w:p>
    <w:tbl>
      <w:tblPr>
        <w:tblStyle w:val="29"/>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3C52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7F3D6A8A">
            <w:pPr>
              <w:pStyle w:val="86"/>
              <w:ind w:left="223" w:hanging="222" w:hangingChars="106"/>
              <w:jc w:val="center"/>
              <w:rPr>
                <w:color w:val="auto"/>
                <w:highlight w:val="none"/>
              </w:rPr>
            </w:pPr>
            <w:r>
              <w:rPr>
                <w:rFonts w:hint="eastAsia" w:cs="宋体"/>
                <w:color w:val="auto"/>
                <w:highlight w:val="none"/>
              </w:rPr>
              <w:t>岗位</w:t>
            </w:r>
          </w:p>
        </w:tc>
        <w:tc>
          <w:tcPr>
            <w:tcW w:w="829" w:type="dxa"/>
            <w:vMerge w:val="restart"/>
            <w:noWrap w:val="0"/>
            <w:vAlign w:val="center"/>
          </w:tcPr>
          <w:p w14:paraId="6DB6CCC1">
            <w:pPr>
              <w:pStyle w:val="86"/>
              <w:ind w:left="223" w:hanging="222" w:hangingChars="106"/>
              <w:jc w:val="center"/>
              <w:rPr>
                <w:color w:val="auto"/>
                <w:highlight w:val="none"/>
              </w:rPr>
            </w:pPr>
            <w:bookmarkStart w:id="240" w:name="_Toc251052187"/>
            <w:r>
              <w:rPr>
                <w:rFonts w:hint="eastAsia" w:cs="宋体"/>
                <w:color w:val="auto"/>
                <w:highlight w:val="none"/>
              </w:rPr>
              <w:t>姓名</w:t>
            </w:r>
            <w:bookmarkEnd w:id="240"/>
          </w:p>
        </w:tc>
        <w:tc>
          <w:tcPr>
            <w:tcW w:w="816" w:type="dxa"/>
            <w:vMerge w:val="restart"/>
            <w:noWrap w:val="0"/>
            <w:vAlign w:val="center"/>
          </w:tcPr>
          <w:p w14:paraId="64B440A9">
            <w:pPr>
              <w:pStyle w:val="86"/>
              <w:ind w:left="223" w:hanging="222" w:hangingChars="106"/>
              <w:jc w:val="center"/>
              <w:rPr>
                <w:color w:val="auto"/>
                <w:highlight w:val="none"/>
              </w:rPr>
            </w:pPr>
            <w:bookmarkStart w:id="241" w:name="_Toc251052188"/>
            <w:r>
              <w:rPr>
                <w:rFonts w:hint="eastAsia" w:cs="宋体"/>
                <w:color w:val="auto"/>
                <w:highlight w:val="none"/>
              </w:rPr>
              <w:t>职称</w:t>
            </w:r>
            <w:bookmarkEnd w:id="241"/>
          </w:p>
        </w:tc>
        <w:tc>
          <w:tcPr>
            <w:tcW w:w="4592" w:type="dxa"/>
            <w:gridSpan w:val="4"/>
            <w:noWrap w:val="0"/>
            <w:vAlign w:val="center"/>
          </w:tcPr>
          <w:p w14:paraId="6209F733">
            <w:pPr>
              <w:pStyle w:val="86"/>
              <w:ind w:left="223" w:hanging="222" w:hangingChars="106"/>
              <w:jc w:val="center"/>
              <w:rPr>
                <w:color w:val="auto"/>
                <w:highlight w:val="none"/>
              </w:rPr>
            </w:pPr>
            <w:bookmarkStart w:id="242" w:name="_Toc251052189"/>
            <w:r>
              <w:rPr>
                <w:rFonts w:hint="eastAsia" w:cs="宋体"/>
                <w:color w:val="auto"/>
                <w:highlight w:val="none"/>
              </w:rPr>
              <w:t>执业或职业资格证明</w:t>
            </w:r>
            <w:bookmarkEnd w:id="242"/>
          </w:p>
        </w:tc>
        <w:tc>
          <w:tcPr>
            <w:tcW w:w="2126" w:type="dxa"/>
            <w:gridSpan w:val="2"/>
            <w:noWrap w:val="0"/>
            <w:vAlign w:val="center"/>
          </w:tcPr>
          <w:p w14:paraId="34D40B9F">
            <w:pPr>
              <w:pStyle w:val="86"/>
              <w:ind w:left="223" w:hanging="222" w:hangingChars="106"/>
              <w:jc w:val="center"/>
              <w:rPr>
                <w:color w:val="auto"/>
                <w:highlight w:val="none"/>
              </w:rPr>
            </w:pPr>
            <w:bookmarkStart w:id="243" w:name="_Toc251052190"/>
            <w:r>
              <w:rPr>
                <w:rFonts w:hint="eastAsia" w:cs="宋体"/>
                <w:color w:val="auto"/>
                <w:highlight w:val="none"/>
              </w:rPr>
              <w:t>承担完工</w:t>
            </w:r>
            <w:bookmarkEnd w:id="243"/>
            <w:bookmarkStart w:id="244" w:name="_Toc251052191"/>
            <w:r>
              <w:rPr>
                <w:rFonts w:hint="eastAsia" w:cs="宋体"/>
                <w:color w:val="auto"/>
                <w:highlight w:val="none"/>
              </w:rPr>
              <w:t>工程情况</w:t>
            </w:r>
            <w:bookmarkEnd w:id="244"/>
          </w:p>
        </w:tc>
      </w:tr>
      <w:tr w14:paraId="7810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7A36EEDB">
            <w:pPr>
              <w:pStyle w:val="86"/>
              <w:ind w:left="223" w:hanging="222" w:hangingChars="106"/>
              <w:jc w:val="center"/>
              <w:rPr>
                <w:color w:val="auto"/>
                <w:highlight w:val="none"/>
              </w:rPr>
            </w:pPr>
          </w:p>
        </w:tc>
        <w:tc>
          <w:tcPr>
            <w:tcW w:w="829" w:type="dxa"/>
            <w:vMerge w:val="continue"/>
            <w:noWrap w:val="0"/>
            <w:vAlign w:val="center"/>
          </w:tcPr>
          <w:p w14:paraId="602A9D6E">
            <w:pPr>
              <w:pStyle w:val="86"/>
              <w:ind w:left="223" w:hanging="222" w:hangingChars="106"/>
              <w:jc w:val="center"/>
              <w:rPr>
                <w:color w:val="auto"/>
                <w:highlight w:val="none"/>
              </w:rPr>
            </w:pPr>
          </w:p>
        </w:tc>
        <w:tc>
          <w:tcPr>
            <w:tcW w:w="816" w:type="dxa"/>
            <w:vMerge w:val="continue"/>
            <w:noWrap w:val="0"/>
            <w:vAlign w:val="center"/>
          </w:tcPr>
          <w:p w14:paraId="44C3003D">
            <w:pPr>
              <w:pStyle w:val="86"/>
              <w:ind w:left="223" w:hanging="222" w:hangingChars="106"/>
              <w:jc w:val="center"/>
              <w:rPr>
                <w:color w:val="auto"/>
                <w:highlight w:val="none"/>
              </w:rPr>
            </w:pPr>
          </w:p>
        </w:tc>
        <w:tc>
          <w:tcPr>
            <w:tcW w:w="1148" w:type="dxa"/>
            <w:noWrap w:val="0"/>
            <w:vAlign w:val="center"/>
          </w:tcPr>
          <w:p w14:paraId="49468A00">
            <w:pPr>
              <w:pStyle w:val="86"/>
              <w:ind w:left="223" w:hanging="222" w:hangingChars="106"/>
              <w:jc w:val="center"/>
              <w:rPr>
                <w:color w:val="auto"/>
                <w:highlight w:val="none"/>
              </w:rPr>
            </w:pPr>
            <w:bookmarkStart w:id="245" w:name="_Toc251052192"/>
            <w:r>
              <w:rPr>
                <w:rFonts w:hint="eastAsia" w:cs="宋体"/>
                <w:color w:val="auto"/>
                <w:highlight w:val="none"/>
              </w:rPr>
              <w:t>证书名称</w:t>
            </w:r>
            <w:bookmarkEnd w:id="245"/>
          </w:p>
        </w:tc>
        <w:tc>
          <w:tcPr>
            <w:tcW w:w="1148" w:type="dxa"/>
            <w:noWrap w:val="0"/>
            <w:vAlign w:val="center"/>
          </w:tcPr>
          <w:p w14:paraId="222989DD">
            <w:pPr>
              <w:pStyle w:val="86"/>
              <w:ind w:left="223" w:hanging="222" w:hangingChars="106"/>
              <w:jc w:val="center"/>
              <w:rPr>
                <w:color w:val="auto"/>
                <w:highlight w:val="none"/>
              </w:rPr>
            </w:pPr>
            <w:bookmarkStart w:id="246" w:name="_Toc251052193"/>
            <w:r>
              <w:rPr>
                <w:rFonts w:hint="eastAsia" w:cs="宋体"/>
                <w:color w:val="auto"/>
                <w:highlight w:val="none"/>
              </w:rPr>
              <w:t>级别</w:t>
            </w:r>
            <w:bookmarkEnd w:id="246"/>
          </w:p>
        </w:tc>
        <w:tc>
          <w:tcPr>
            <w:tcW w:w="1148" w:type="dxa"/>
            <w:noWrap w:val="0"/>
            <w:vAlign w:val="center"/>
          </w:tcPr>
          <w:p w14:paraId="4D853357">
            <w:pPr>
              <w:pStyle w:val="86"/>
              <w:ind w:left="223" w:hanging="222" w:hangingChars="106"/>
              <w:jc w:val="center"/>
              <w:rPr>
                <w:color w:val="auto"/>
                <w:highlight w:val="none"/>
              </w:rPr>
            </w:pPr>
            <w:bookmarkStart w:id="247" w:name="_Toc251052194"/>
            <w:r>
              <w:rPr>
                <w:rFonts w:hint="eastAsia" w:cs="宋体"/>
                <w:color w:val="auto"/>
                <w:highlight w:val="none"/>
              </w:rPr>
              <w:t>证号</w:t>
            </w:r>
            <w:bookmarkEnd w:id="247"/>
          </w:p>
        </w:tc>
        <w:tc>
          <w:tcPr>
            <w:tcW w:w="1148" w:type="dxa"/>
            <w:noWrap w:val="0"/>
            <w:vAlign w:val="center"/>
          </w:tcPr>
          <w:p w14:paraId="59EEE3C9">
            <w:pPr>
              <w:pStyle w:val="86"/>
              <w:ind w:left="223" w:hanging="222" w:hangingChars="106"/>
              <w:jc w:val="center"/>
              <w:rPr>
                <w:color w:val="auto"/>
                <w:highlight w:val="none"/>
              </w:rPr>
            </w:pPr>
            <w:bookmarkStart w:id="248" w:name="_Toc251052195"/>
            <w:r>
              <w:rPr>
                <w:rFonts w:hint="eastAsia" w:cs="宋体"/>
                <w:color w:val="auto"/>
                <w:highlight w:val="none"/>
              </w:rPr>
              <w:t>专业</w:t>
            </w:r>
            <w:bookmarkEnd w:id="248"/>
          </w:p>
        </w:tc>
        <w:tc>
          <w:tcPr>
            <w:tcW w:w="850" w:type="dxa"/>
            <w:noWrap w:val="0"/>
            <w:vAlign w:val="center"/>
          </w:tcPr>
          <w:p w14:paraId="3624F656">
            <w:pPr>
              <w:pStyle w:val="86"/>
              <w:ind w:left="223" w:hanging="222" w:hangingChars="106"/>
              <w:jc w:val="center"/>
              <w:rPr>
                <w:color w:val="auto"/>
                <w:highlight w:val="none"/>
              </w:rPr>
            </w:pPr>
            <w:bookmarkStart w:id="249" w:name="_Toc251052197"/>
            <w:r>
              <w:rPr>
                <w:rFonts w:hint="eastAsia" w:cs="宋体"/>
                <w:color w:val="auto"/>
                <w:highlight w:val="none"/>
              </w:rPr>
              <w:t>项目数</w:t>
            </w:r>
            <w:bookmarkEnd w:id="249"/>
          </w:p>
        </w:tc>
        <w:tc>
          <w:tcPr>
            <w:tcW w:w="1276" w:type="dxa"/>
            <w:noWrap w:val="0"/>
            <w:vAlign w:val="center"/>
          </w:tcPr>
          <w:p w14:paraId="30E3CC26">
            <w:pPr>
              <w:pStyle w:val="86"/>
              <w:ind w:left="223" w:hanging="222" w:hangingChars="106"/>
              <w:jc w:val="center"/>
              <w:rPr>
                <w:color w:val="auto"/>
                <w:highlight w:val="none"/>
              </w:rPr>
            </w:pPr>
            <w:bookmarkStart w:id="250" w:name="_Toc251052198"/>
            <w:r>
              <w:rPr>
                <w:rFonts w:hint="eastAsia" w:cs="宋体"/>
                <w:color w:val="auto"/>
                <w:highlight w:val="none"/>
              </w:rPr>
              <w:t>主要项目</w:t>
            </w:r>
          </w:p>
          <w:p w14:paraId="0B95EC76">
            <w:pPr>
              <w:pStyle w:val="86"/>
              <w:ind w:left="223" w:hanging="222" w:hangingChars="106"/>
              <w:jc w:val="center"/>
              <w:rPr>
                <w:color w:val="auto"/>
                <w:highlight w:val="none"/>
              </w:rPr>
            </w:pPr>
            <w:r>
              <w:rPr>
                <w:rFonts w:hint="eastAsia" w:cs="宋体"/>
                <w:color w:val="auto"/>
                <w:highlight w:val="none"/>
              </w:rPr>
              <w:t>名称</w:t>
            </w:r>
            <w:bookmarkEnd w:id="250"/>
          </w:p>
        </w:tc>
      </w:tr>
      <w:tr w14:paraId="6AC1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196F266">
            <w:pPr>
              <w:pStyle w:val="86"/>
              <w:ind w:left="223" w:hanging="222" w:hangingChars="106"/>
              <w:jc w:val="center"/>
              <w:rPr>
                <w:color w:val="auto"/>
                <w:highlight w:val="none"/>
              </w:rPr>
            </w:pPr>
            <w:r>
              <w:rPr>
                <w:rFonts w:hint="eastAsia" w:cs="宋体"/>
                <w:color w:val="auto"/>
                <w:highlight w:val="none"/>
              </w:rPr>
              <w:t>施工员</w:t>
            </w:r>
          </w:p>
        </w:tc>
        <w:tc>
          <w:tcPr>
            <w:tcW w:w="829" w:type="dxa"/>
            <w:noWrap w:val="0"/>
            <w:vAlign w:val="center"/>
          </w:tcPr>
          <w:p w14:paraId="137E53E5">
            <w:pPr>
              <w:pStyle w:val="86"/>
              <w:ind w:left="223" w:hanging="222" w:hangingChars="106"/>
              <w:jc w:val="center"/>
              <w:rPr>
                <w:color w:val="auto"/>
                <w:highlight w:val="none"/>
              </w:rPr>
            </w:pPr>
          </w:p>
        </w:tc>
        <w:tc>
          <w:tcPr>
            <w:tcW w:w="816" w:type="dxa"/>
            <w:noWrap w:val="0"/>
            <w:vAlign w:val="center"/>
          </w:tcPr>
          <w:p w14:paraId="0F72F963">
            <w:pPr>
              <w:pStyle w:val="86"/>
              <w:ind w:left="223" w:hanging="222" w:hangingChars="106"/>
              <w:jc w:val="center"/>
              <w:rPr>
                <w:color w:val="auto"/>
                <w:highlight w:val="none"/>
              </w:rPr>
            </w:pPr>
          </w:p>
        </w:tc>
        <w:tc>
          <w:tcPr>
            <w:tcW w:w="1148" w:type="dxa"/>
            <w:noWrap w:val="0"/>
            <w:vAlign w:val="center"/>
          </w:tcPr>
          <w:p w14:paraId="7C326508">
            <w:pPr>
              <w:pStyle w:val="86"/>
              <w:ind w:left="223" w:hanging="222" w:hangingChars="106"/>
              <w:jc w:val="center"/>
              <w:rPr>
                <w:color w:val="auto"/>
                <w:highlight w:val="none"/>
              </w:rPr>
            </w:pPr>
          </w:p>
        </w:tc>
        <w:tc>
          <w:tcPr>
            <w:tcW w:w="1148" w:type="dxa"/>
            <w:noWrap w:val="0"/>
            <w:vAlign w:val="center"/>
          </w:tcPr>
          <w:p w14:paraId="70189F81">
            <w:pPr>
              <w:pStyle w:val="86"/>
              <w:ind w:left="223" w:hanging="222" w:hangingChars="106"/>
              <w:jc w:val="center"/>
              <w:rPr>
                <w:color w:val="auto"/>
                <w:highlight w:val="none"/>
              </w:rPr>
            </w:pPr>
          </w:p>
        </w:tc>
        <w:tc>
          <w:tcPr>
            <w:tcW w:w="1148" w:type="dxa"/>
            <w:noWrap w:val="0"/>
            <w:vAlign w:val="center"/>
          </w:tcPr>
          <w:p w14:paraId="493350D7">
            <w:pPr>
              <w:pStyle w:val="86"/>
              <w:ind w:left="223" w:hanging="222" w:hangingChars="106"/>
              <w:jc w:val="center"/>
              <w:rPr>
                <w:color w:val="auto"/>
                <w:highlight w:val="none"/>
              </w:rPr>
            </w:pPr>
          </w:p>
        </w:tc>
        <w:tc>
          <w:tcPr>
            <w:tcW w:w="1148" w:type="dxa"/>
            <w:noWrap w:val="0"/>
            <w:vAlign w:val="center"/>
          </w:tcPr>
          <w:p w14:paraId="4687BD21">
            <w:pPr>
              <w:pStyle w:val="86"/>
              <w:ind w:left="223" w:hanging="222" w:hangingChars="106"/>
              <w:jc w:val="center"/>
              <w:rPr>
                <w:color w:val="auto"/>
                <w:highlight w:val="none"/>
              </w:rPr>
            </w:pPr>
          </w:p>
        </w:tc>
        <w:tc>
          <w:tcPr>
            <w:tcW w:w="850" w:type="dxa"/>
            <w:noWrap w:val="0"/>
            <w:vAlign w:val="center"/>
          </w:tcPr>
          <w:p w14:paraId="08490FA9">
            <w:pPr>
              <w:pStyle w:val="86"/>
              <w:ind w:left="223" w:hanging="222" w:hangingChars="106"/>
              <w:jc w:val="center"/>
              <w:rPr>
                <w:color w:val="auto"/>
                <w:highlight w:val="none"/>
              </w:rPr>
            </w:pPr>
          </w:p>
        </w:tc>
        <w:tc>
          <w:tcPr>
            <w:tcW w:w="1276" w:type="dxa"/>
            <w:noWrap w:val="0"/>
            <w:vAlign w:val="center"/>
          </w:tcPr>
          <w:p w14:paraId="0BE09BAA">
            <w:pPr>
              <w:pStyle w:val="86"/>
              <w:ind w:left="223" w:hanging="222" w:hangingChars="106"/>
              <w:jc w:val="center"/>
              <w:rPr>
                <w:color w:val="auto"/>
                <w:highlight w:val="none"/>
              </w:rPr>
            </w:pPr>
          </w:p>
        </w:tc>
      </w:tr>
      <w:tr w14:paraId="0915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6F488818">
            <w:pPr>
              <w:pStyle w:val="86"/>
              <w:ind w:left="223" w:hanging="222" w:hangingChars="106"/>
              <w:jc w:val="center"/>
              <w:rPr>
                <w:color w:val="auto"/>
                <w:highlight w:val="none"/>
              </w:rPr>
            </w:pPr>
            <w:r>
              <w:rPr>
                <w:rFonts w:hint="eastAsia" w:cs="宋体"/>
                <w:color w:val="auto"/>
                <w:highlight w:val="none"/>
              </w:rPr>
              <w:t>质量员</w:t>
            </w:r>
          </w:p>
        </w:tc>
        <w:tc>
          <w:tcPr>
            <w:tcW w:w="829" w:type="dxa"/>
            <w:noWrap w:val="0"/>
            <w:vAlign w:val="center"/>
          </w:tcPr>
          <w:p w14:paraId="54DD0D3D">
            <w:pPr>
              <w:pStyle w:val="86"/>
              <w:ind w:left="223" w:hanging="222" w:hangingChars="106"/>
              <w:jc w:val="center"/>
              <w:rPr>
                <w:color w:val="auto"/>
                <w:highlight w:val="none"/>
              </w:rPr>
            </w:pPr>
          </w:p>
        </w:tc>
        <w:tc>
          <w:tcPr>
            <w:tcW w:w="816" w:type="dxa"/>
            <w:noWrap w:val="0"/>
            <w:vAlign w:val="center"/>
          </w:tcPr>
          <w:p w14:paraId="03AF7534">
            <w:pPr>
              <w:pStyle w:val="86"/>
              <w:ind w:left="223" w:hanging="222" w:hangingChars="106"/>
              <w:jc w:val="center"/>
              <w:rPr>
                <w:color w:val="auto"/>
                <w:highlight w:val="none"/>
              </w:rPr>
            </w:pPr>
          </w:p>
        </w:tc>
        <w:tc>
          <w:tcPr>
            <w:tcW w:w="1148" w:type="dxa"/>
            <w:noWrap w:val="0"/>
            <w:vAlign w:val="center"/>
          </w:tcPr>
          <w:p w14:paraId="525A0FC9">
            <w:pPr>
              <w:pStyle w:val="86"/>
              <w:ind w:left="223" w:hanging="222" w:hangingChars="106"/>
              <w:jc w:val="center"/>
              <w:rPr>
                <w:color w:val="auto"/>
                <w:highlight w:val="none"/>
              </w:rPr>
            </w:pPr>
          </w:p>
        </w:tc>
        <w:tc>
          <w:tcPr>
            <w:tcW w:w="1148" w:type="dxa"/>
            <w:noWrap w:val="0"/>
            <w:vAlign w:val="center"/>
          </w:tcPr>
          <w:p w14:paraId="7E246BF8">
            <w:pPr>
              <w:pStyle w:val="86"/>
              <w:ind w:left="223" w:hanging="222" w:hangingChars="106"/>
              <w:jc w:val="center"/>
              <w:rPr>
                <w:color w:val="auto"/>
                <w:highlight w:val="none"/>
              </w:rPr>
            </w:pPr>
          </w:p>
        </w:tc>
        <w:tc>
          <w:tcPr>
            <w:tcW w:w="1148" w:type="dxa"/>
            <w:noWrap w:val="0"/>
            <w:vAlign w:val="center"/>
          </w:tcPr>
          <w:p w14:paraId="504E79AC">
            <w:pPr>
              <w:pStyle w:val="86"/>
              <w:ind w:left="223" w:hanging="222" w:hangingChars="106"/>
              <w:jc w:val="center"/>
              <w:rPr>
                <w:color w:val="auto"/>
                <w:highlight w:val="none"/>
              </w:rPr>
            </w:pPr>
          </w:p>
        </w:tc>
        <w:tc>
          <w:tcPr>
            <w:tcW w:w="1148" w:type="dxa"/>
            <w:noWrap w:val="0"/>
            <w:vAlign w:val="center"/>
          </w:tcPr>
          <w:p w14:paraId="18D93868">
            <w:pPr>
              <w:pStyle w:val="86"/>
              <w:ind w:left="223" w:hanging="222" w:hangingChars="106"/>
              <w:jc w:val="center"/>
              <w:rPr>
                <w:color w:val="auto"/>
                <w:highlight w:val="none"/>
              </w:rPr>
            </w:pPr>
          </w:p>
        </w:tc>
        <w:tc>
          <w:tcPr>
            <w:tcW w:w="850" w:type="dxa"/>
            <w:noWrap w:val="0"/>
            <w:vAlign w:val="center"/>
          </w:tcPr>
          <w:p w14:paraId="3C31EDD6">
            <w:pPr>
              <w:pStyle w:val="86"/>
              <w:ind w:left="223" w:hanging="222" w:hangingChars="106"/>
              <w:jc w:val="center"/>
              <w:rPr>
                <w:color w:val="auto"/>
                <w:highlight w:val="none"/>
              </w:rPr>
            </w:pPr>
          </w:p>
        </w:tc>
        <w:tc>
          <w:tcPr>
            <w:tcW w:w="1276" w:type="dxa"/>
            <w:noWrap w:val="0"/>
            <w:vAlign w:val="center"/>
          </w:tcPr>
          <w:p w14:paraId="18131B6C">
            <w:pPr>
              <w:pStyle w:val="86"/>
              <w:ind w:left="223" w:hanging="222" w:hangingChars="106"/>
              <w:jc w:val="center"/>
              <w:rPr>
                <w:color w:val="auto"/>
                <w:highlight w:val="none"/>
              </w:rPr>
            </w:pPr>
          </w:p>
        </w:tc>
      </w:tr>
      <w:tr w14:paraId="38E1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86A9DAA">
            <w:pPr>
              <w:pStyle w:val="86"/>
              <w:ind w:left="223" w:hanging="222" w:hangingChars="106"/>
              <w:jc w:val="center"/>
              <w:rPr>
                <w:color w:val="auto"/>
                <w:highlight w:val="none"/>
              </w:rPr>
            </w:pPr>
            <w:r>
              <w:rPr>
                <w:rFonts w:hint="eastAsia" w:cs="宋体"/>
                <w:color w:val="auto"/>
                <w:highlight w:val="none"/>
              </w:rPr>
              <w:t>安全员</w:t>
            </w:r>
          </w:p>
        </w:tc>
        <w:tc>
          <w:tcPr>
            <w:tcW w:w="829" w:type="dxa"/>
            <w:noWrap w:val="0"/>
            <w:vAlign w:val="center"/>
          </w:tcPr>
          <w:p w14:paraId="57E975D4">
            <w:pPr>
              <w:pStyle w:val="86"/>
              <w:ind w:left="223" w:hanging="222" w:hangingChars="106"/>
              <w:jc w:val="center"/>
              <w:rPr>
                <w:color w:val="auto"/>
                <w:highlight w:val="none"/>
              </w:rPr>
            </w:pPr>
          </w:p>
        </w:tc>
        <w:tc>
          <w:tcPr>
            <w:tcW w:w="816" w:type="dxa"/>
            <w:noWrap w:val="0"/>
            <w:vAlign w:val="center"/>
          </w:tcPr>
          <w:p w14:paraId="0FFE9DF2">
            <w:pPr>
              <w:pStyle w:val="86"/>
              <w:ind w:left="223" w:hanging="222" w:hangingChars="106"/>
              <w:jc w:val="center"/>
              <w:rPr>
                <w:color w:val="auto"/>
                <w:highlight w:val="none"/>
              </w:rPr>
            </w:pPr>
          </w:p>
        </w:tc>
        <w:tc>
          <w:tcPr>
            <w:tcW w:w="1148" w:type="dxa"/>
            <w:noWrap w:val="0"/>
            <w:vAlign w:val="center"/>
          </w:tcPr>
          <w:p w14:paraId="3EC77A42">
            <w:pPr>
              <w:pStyle w:val="86"/>
              <w:ind w:left="223" w:hanging="222" w:hangingChars="106"/>
              <w:jc w:val="center"/>
              <w:rPr>
                <w:color w:val="auto"/>
                <w:highlight w:val="none"/>
              </w:rPr>
            </w:pPr>
          </w:p>
        </w:tc>
        <w:tc>
          <w:tcPr>
            <w:tcW w:w="1148" w:type="dxa"/>
            <w:noWrap w:val="0"/>
            <w:vAlign w:val="center"/>
          </w:tcPr>
          <w:p w14:paraId="28088298">
            <w:pPr>
              <w:pStyle w:val="86"/>
              <w:ind w:left="223" w:hanging="222" w:hangingChars="106"/>
              <w:jc w:val="center"/>
              <w:rPr>
                <w:color w:val="auto"/>
                <w:highlight w:val="none"/>
              </w:rPr>
            </w:pPr>
          </w:p>
        </w:tc>
        <w:tc>
          <w:tcPr>
            <w:tcW w:w="1148" w:type="dxa"/>
            <w:noWrap w:val="0"/>
            <w:vAlign w:val="center"/>
          </w:tcPr>
          <w:p w14:paraId="5753B783">
            <w:pPr>
              <w:pStyle w:val="86"/>
              <w:ind w:left="223" w:hanging="222" w:hangingChars="106"/>
              <w:jc w:val="center"/>
              <w:rPr>
                <w:color w:val="auto"/>
                <w:highlight w:val="none"/>
              </w:rPr>
            </w:pPr>
          </w:p>
        </w:tc>
        <w:tc>
          <w:tcPr>
            <w:tcW w:w="1148" w:type="dxa"/>
            <w:noWrap w:val="0"/>
            <w:vAlign w:val="center"/>
          </w:tcPr>
          <w:p w14:paraId="3F5A05D0">
            <w:pPr>
              <w:pStyle w:val="86"/>
              <w:ind w:left="223" w:hanging="222" w:hangingChars="106"/>
              <w:jc w:val="center"/>
              <w:rPr>
                <w:color w:val="auto"/>
                <w:highlight w:val="none"/>
              </w:rPr>
            </w:pPr>
          </w:p>
        </w:tc>
        <w:tc>
          <w:tcPr>
            <w:tcW w:w="850" w:type="dxa"/>
            <w:noWrap w:val="0"/>
            <w:vAlign w:val="center"/>
          </w:tcPr>
          <w:p w14:paraId="6DEFE4F4">
            <w:pPr>
              <w:pStyle w:val="86"/>
              <w:ind w:left="223" w:hanging="222" w:hangingChars="106"/>
              <w:jc w:val="center"/>
              <w:rPr>
                <w:color w:val="auto"/>
                <w:highlight w:val="none"/>
              </w:rPr>
            </w:pPr>
          </w:p>
        </w:tc>
        <w:tc>
          <w:tcPr>
            <w:tcW w:w="1276" w:type="dxa"/>
            <w:noWrap w:val="0"/>
            <w:vAlign w:val="center"/>
          </w:tcPr>
          <w:p w14:paraId="6307E233">
            <w:pPr>
              <w:pStyle w:val="86"/>
              <w:ind w:left="223" w:hanging="222" w:hangingChars="106"/>
              <w:jc w:val="center"/>
              <w:rPr>
                <w:color w:val="auto"/>
                <w:highlight w:val="none"/>
              </w:rPr>
            </w:pPr>
          </w:p>
        </w:tc>
      </w:tr>
      <w:tr w14:paraId="3B8B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B0C772C">
            <w:pPr>
              <w:pStyle w:val="86"/>
              <w:ind w:left="223" w:hanging="222" w:hangingChars="106"/>
              <w:jc w:val="center"/>
              <w:rPr>
                <w:color w:val="auto"/>
                <w:highlight w:val="none"/>
              </w:rPr>
            </w:pPr>
            <w:r>
              <w:rPr>
                <w:rFonts w:hint="eastAsia" w:cs="宋体"/>
                <w:color w:val="auto"/>
                <w:highlight w:val="none"/>
              </w:rPr>
              <w:t>材料员</w:t>
            </w:r>
          </w:p>
        </w:tc>
        <w:tc>
          <w:tcPr>
            <w:tcW w:w="829" w:type="dxa"/>
            <w:noWrap w:val="0"/>
            <w:vAlign w:val="center"/>
          </w:tcPr>
          <w:p w14:paraId="023622F7">
            <w:pPr>
              <w:pStyle w:val="86"/>
              <w:ind w:left="223" w:hanging="222" w:hangingChars="106"/>
              <w:jc w:val="center"/>
              <w:rPr>
                <w:color w:val="auto"/>
                <w:highlight w:val="none"/>
              </w:rPr>
            </w:pPr>
          </w:p>
        </w:tc>
        <w:tc>
          <w:tcPr>
            <w:tcW w:w="816" w:type="dxa"/>
            <w:noWrap w:val="0"/>
            <w:vAlign w:val="center"/>
          </w:tcPr>
          <w:p w14:paraId="6F020B9D">
            <w:pPr>
              <w:pStyle w:val="86"/>
              <w:ind w:left="223" w:hanging="222" w:hangingChars="106"/>
              <w:jc w:val="center"/>
              <w:rPr>
                <w:color w:val="auto"/>
                <w:highlight w:val="none"/>
              </w:rPr>
            </w:pPr>
          </w:p>
        </w:tc>
        <w:tc>
          <w:tcPr>
            <w:tcW w:w="1148" w:type="dxa"/>
            <w:noWrap w:val="0"/>
            <w:vAlign w:val="center"/>
          </w:tcPr>
          <w:p w14:paraId="3B29EFE4">
            <w:pPr>
              <w:pStyle w:val="86"/>
              <w:ind w:left="223" w:hanging="222" w:hangingChars="106"/>
              <w:jc w:val="center"/>
              <w:rPr>
                <w:color w:val="auto"/>
                <w:highlight w:val="none"/>
              </w:rPr>
            </w:pPr>
          </w:p>
        </w:tc>
        <w:tc>
          <w:tcPr>
            <w:tcW w:w="1148" w:type="dxa"/>
            <w:noWrap w:val="0"/>
            <w:vAlign w:val="center"/>
          </w:tcPr>
          <w:p w14:paraId="0FC3F68D">
            <w:pPr>
              <w:pStyle w:val="86"/>
              <w:ind w:left="223" w:hanging="222" w:hangingChars="106"/>
              <w:jc w:val="center"/>
              <w:rPr>
                <w:color w:val="auto"/>
                <w:highlight w:val="none"/>
              </w:rPr>
            </w:pPr>
          </w:p>
        </w:tc>
        <w:tc>
          <w:tcPr>
            <w:tcW w:w="1148" w:type="dxa"/>
            <w:noWrap w:val="0"/>
            <w:vAlign w:val="center"/>
          </w:tcPr>
          <w:p w14:paraId="2A564F8C">
            <w:pPr>
              <w:pStyle w:val="86"/>
              <w:ind w:left="223" w:hanging="222" w:hangingChars="106"/>
              <w:jc w:val="center"/>
              <w:rPr>
                <w:color w:val="auto"/>
                <w:highlight w:val="none"/>
              </w:rPr>
            </w:pPr>
          </w:p>
        </w:tc>
        <w:tc>
          <w:tcPr>
            <w:tcW w:w="1148" w:type="dxa"/>
            <w:noWrap w:val="0"/>
            <w:vAlign w:val="center"/>
          </w:tcPr>
          <w:p w14:paraId="3B48B466">
            <w:pPr>
              <w:pStyle w:val="86"/>
              <w:ind w:left="223" w:hanging="222" w:hangingChars="106"/>
              <w:jc w:val="center"/>
              <w:rPr>
                <w:color w:val="auto"/>
                <w:highlight w:val="none"/>
              </w:rPr>
            </w:pPr>
          </w:p>
        </w:tc>
        <w:tc>
          <w:tcPr>
            <w:tcW w:w="850" w:type="dxa"/>
            <w:noWrap w:val="0"/>
            <w:vAlign w:val="center"/>
          </w:tcPr>
          <w:p w14:paraId="1D04CC23">
            <w:pPr>
              <w:pStyle w:val="86"/>
              <w:ind w:left="223" w:hanging="222" w:hangingChars="106"/>
              <w:jc w:val="center"/>
              <w:rPr>
                <w:color w:val="auto"/>
                <w:highlight w:val="none"/>
              </w:rPr>
            </w:pPr>
          </w:p>
        </w:tc>
        <w:tc>
          <w:tcPr>
            <w:tcW w:w="1276" w:type="dxa"/>
            <w:noWrap w:val="0"/>
            <w:vAlign w:val="center"/>
          </w:tcPr>
          <w:p w14:paraId="74C5ABBF">
            <w:pPr>
              <w:pStyle w:val="86"/>
              <w:ind w:left="223" w:hanging="222" w:hangingChars="106"/>
              <w:jc w:val="center"/>
              <w:rPr>
                <w:color w:val="auto"/>
                <w:highlight w:val="none"/>
              </w:rPr>
            </w:pPr>
          </w:p>
        </w:tc>
      </w:tr>
      <w:tr w14:paraId="17C2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587CE66">
            <w:pPr>
              <w:pStyle w:val="86"/>
              <w:ind w:left="223" w:hanging="222" w:hangingChars="106"/>
              <w:jc w:val="center"/>
              <w:rPr>
                <w:color w:val="auto"/>
                <w:highlight w:val="none"/>
              </w:rPr>
            </w:pPr>
          </w:p>
        </w:tc>
        <w:tc>
          <w:tcPr>
            <w:tcW w:w="829" w:type="dxa"/>
            <w:noWrap w:val="0"/>
            <w:vAlign w:val="center"/>
          </w:tcPr>
          <w:p w14:paraId="04D0D0F6">
            <w:pPr>
              <w:pStyle w:val="86"/>
              <w:ind w:left="223" w:hanging="222" w:hangingChars="106"/>
              <w:jc w:val="center"/>
              <w:rPr>
                <w:color w:val="auto"/>
                <w:highlight w:val="none"/>
              </w:rPr>
            </w:pPr>
          </w:p>
        </w:tc>
        <w:tc>
          <w:tcPr>
            <w:tcW w:w="816" w:type="dxa"/>
            <w:noWrap w:val="0"/>
            <w:vAlign w:val="center"/>
          </w:tcPr>
          <w:p w14:paraId="42F220C6">
            <w:pPr>
              <w:pStyle w:val="86"/>
              <w:ind w:left="223" w:hanging="222" w:hangingChars="106"/>
              <w:jc w:val="center"/>
              <w:rPr>
                <w:color w:val="auto"/>
                <w:highlight w:val="none"/>
              </w:rPr>
            </w:pPr>
          </w:p>
        </w:tc>
        <w:tc>
          <w:tcPr>
            <w:tcW w:w="1148" w:type="dxa"/>
            <w:noWrap w:val="0"/>
            <w:vAlign w:val="center"/>
          </w:tcPr>
          <w:p w14:paraId="31AB3B22">
            <w:pPr>
              <w:pStyle w:val="86"/>
              <w:ind w:left="223" w:hanging="222" w:hangingChars="106"/>
              <w:jc w:val="center"/>
              <w:rPr>
                <w:color w:val="auto"/>
                <w:highlight w:val="none"/>
              </w:rPr>
            </w:pPr>
          </w:p>
        </w:tc>
        <w:tc>
          <w:tcPr>
            <w:tcW w:w="1148" w:type="dxa"/>
            <w:noWrap w:val="0"/>
            <w:vAlign w:val="center"/>
          </w:tcPr>
          <w:p w14:paraId="4EF962C6">
            <w:pPr>
              <w:pStyle w:val="86"/>
              <w:ind w:left="223" w:hanging="222" w:hangingChars="106"/>
              <w:jc w:val="center"/>
              <w:rPr>
                <w:color w:val="auto"/>
                <w:highlight w:val="none"/>
              </w:rPr>
            </w:pPr>
          </w:p>
        </w:tc>
        <w:tc>
          <w:tcPr>
            <w:tcW w:w="1148" w:type="dxa"/>
            <w:noWrap w:val="0"/>
            <w:vAlign w:val="center"/>
          </w:tcPr>
          <w:p w14:paraId="4750EE84">
            <w:pPr>
              <w:pStyle w:val="86"/>
              <w:ind w:left="223" w:hanging="222" w:hangingChars="106"/>
              <w:jc w:val="center"/>
              <w:rPr>
                <w:color w:val="auto"/>
                <w:highlight w:val="none"/>
              </w:rPr>
            </w:pPr>
          </w:p>
        </w:tc>
        <w:tc>
          <w:tcPr>
            <w:tcW w:w="1148" w:type="dxa"/>
            <w:noWrap w:val="0"/>
            <w:vAlign w:val="center"/>
          </w:tcPr>
          <w:p w14:paraId="4BE166B4">
            <w:pPr>
              <w:pStyle w:val="86"/>
              <w:ind w:left="223" w:hanging="222" w:hangingChars="106"/>
              <w:jc w:val="center"/>
              <w:rPr>
                <w:color w:val="auto"/>
                <w:highlight w:val="none"/>
              </w:rPr>
            </w:pPr>
          </w:p>
        </w:tc>
        <w:tc>
          <w:tcPr>
            <w:tcW w:w="850" w:type="dxa"/>
            <w:noWrap w:val="0"/>
            <w:vAlign w:val="center"/>
          </w:tcPr>
          <w:p w14:paraId="358587C8">
            <w:pPr>
              <w:pStyle w:val="86"/>
              <w:ind w:left="223" w:hanging="222" w:hangingChars="106"/>
              <w:jc w:val="center"/>
              <w:rPr>
                <w:color w:val="auto"/>
                <w:highlight w:val="none"/>
              </w:rPr>
            </w:pPr>
          </w:p>
        </w:tc>
        <w:tc>
          <w:tcPr>
            <w:tcW w:w="1276" w:type="dxa"/>
            <w:noWrap w:val="0"/>
            <w:vAlign w:val="center"/>
          </w:tcPr>
          <w:p w14:paraId="6E13A95D">
            <w:pPr>
              <w:pStyle w:val="86"/>
              <w:ind w:left="223" w:hanging="222" w:hangingChars="106"/>
              <w:jc w:val="center"/>
              <w:rPr>
                <w:color w:val="auto"/>
                <w:highlight w:val="none"/>
              </w:rPr>
            </w:pPr>
          </w:p>
        </w:tc>
      </w:tr>
      <w:tr w14:paraId="66A7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E1D2341">
            <w:pPr>
              <w:pStyle w:val="86"/>
              <w:ind w:left="223" w:hanging="222" w:hangingChars="106"/>
              <w:jc w:val="center"/>
              <w:rPr>
                <w:color w:val="auto"/>
                <w:highlight w:val="none"/>
              </w:rPr>
            </w:pPr>
            <w:r>
              <w:rPr>
                <w:color w:val="auto"/>
                <w:highlight w:val="none"/>
              </w:rPr>
              <w:t>……</w:t>
            </w:r>
          </w:p>
        </w:tc>
        <w:tc>
          <w:tcPr>
            <w:tcW w:w="829" w:type="dxa"/>
            <w:noWrap w:val="0"/>
            <w:vAlign w:val="center"/>
          </w:tcPr>
          <w:p w14:paraId="229954F6">
            <w:pPr>
              <w:pStyle w:val="86"/>
              <w:ind w:left="223" w:hanging="222" w:hangingChars="106"/>
              <w:jc w:val="center"/>
              <w:rPr>
                <w:color w:val="auto"/>
                <w:highlight w:val="none"/>
              </w:rPr>
            </w:pPr>
          </w:p>
        </w:tc>
        <w:tc>
          <w:tcPr>
            <w:tcW w:w="816" w:type="dxa"/>
            <w:noWrap w:val="0"/>
            <w:vAlign w:val="center"/>
          </w:tcPr>
          <w:p w14:paraId="5801C323">
            <w:pPr>
              <w:pStyle w:val="86"/>
              <w:ind w:left="223" w:hanging="222" w:hangingChars="106"/>
              <w:jc w:val="center"/>
              <w:rPr>
                <w:color w:val="auto"/>
                <w:highlight w:val="none"/>
              </w:rPr>
            </w:pPr>
          </w:p>
        </w:tc>
        <w:tc>
          <w:tcPr>
            <w:tcW w:w="1148" w:type="dxa"/>
            <w:noWrap w:val="0"/>
            <w:vAlign w:val="center"/>
          </w:tcPr>
          <w:p w14:paraId="2DB11756">
            <w:pPr>
              <w:pStyle w:val="86"/>
              <w:ind w:left="223" w:hanging="222" w:hangingChars="106"/>
              <w:jc w:val="center"/>
              <w:rPr>
                <w:color w:val="auto"/>
                <w:highlight w:val="none"/>
              </w:rPr>
            </w:pPr>
          </w:p>
        </w:tc>
        <w:tc>
          <w:tcPr>
            <w:tcW w:w="1148" w:type="dxa"/>
            <w:noWrap w:val="0"/>
            <w:vAlign w:val="center"/>
          </w:tcPr>
          <w:p w14:paraId="0BA556E5">
            <w:pPr>
              <w:pStyle w:val="86"/>
              <w:ind w:left="223" w:hanging="222" w:hangingChars="106"/>
              <w:jc w:val="center"/>
              <w:rPr>
                <w:color w:val="auto"/>
                <w:highlight w:val="none"/>
              </w:rPr>
            </w:pPr>
          </w:p>
        </w:tc>
        <w:tc>
          <w:tcPr>
            <w:tcW w:w="1148" w:type="dxa"/>
            <w:noWrap w:val="0"/>
            <w:vAlign w:val="center"/>
          </w:tcPr>
          <w:p w14:paraId="6CE06E14">
            <w:pPr>
              <w:pStyle w:val="86"/>
              <w:ind w:left="223" w:hanging="222" w:hangingChars="106"/>
              <w:jc w:val="center"/>
              <w:rPr>
                <w:color w:val="auto"/>
                <w:highlight w:val="none"/>
              </w:rPr>
            </w:pPr>
          </w:p>
        </w:tc>
        <w:tc>
          <w:tcPr>
            <w:tcW w:w="1148" w:type="dxa"/>
            <w:noWrap w:val="0"/>
            <w:vAlign w:val="center"/>
          </w:tcPr>
          <w:p w14:paraId="5BE982C7">
            <w:pPr>
              <w:pStyle w:val="86"/>
              <w:ind w:left="223" w:hanging="222" w:hangingChars="106"/>
              <w:jc w:val="center"/>
              <w:rPr>
                <w:color w:val="auto"/>
                <w:highlight w:val="none"/>
              </w:rPr>
            </w:pPr>
          </w:p>
        </w:tc>
        <w:tc>
          <w:tcPr>
            <w:tcW w:w="850" w:type="dxa"/>
            <w:noWrap w:val="0"/>
            <w:vAlign w:val="center"/>
          </w:tcPr>
          <w:p w14:paraId="718C6F0F">
            <w:pPr>
              <w:pStyle w:val="86"/>
              <w:ind w:left="223" w:hanging="222" w:hangingChars="106"/>
              <w:jc w:val="center"/>
              <w:rPr>
                <w:color w:val="auto"/>
                <w:highlight w:val="none"/>
              </w:rPr>
            </w:pPr>
          </w:p>
        </w:tc>
        <w:tc>
          <w:tcPr>
            <w:tcW w:w="1276" w:type="dxa"/>
            <w:noWrap w:val="0"/>
            <w:vAlign w:val="center"/>
          </w:tcPr>
          <w:p w14:paraId="025F014A">
            <w:pPr>
              <w:pStyle w:val="86"/>
              <w:ind w:left="223" w:hanging="222" w:hangingChars="106"/>
              <w:jc w:val="center"/>
              <w:rPr>
                <w:color w:val="auto"/>
                <w:highlight w:val="none"/>
              </w:rPr>
            </w:pPr>
          </w:p>
        </w:tc>
      </w:tr>
      <w:tr w14:paraId="30BD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2A045134">
            <w:pPr>
              <w:pStyle w:val="86"/>
              <w:spacing w:line="360" w:lineRule="auto"/>
              <w:rPr>
                <w:color w:val="auto"/>
                <w:highlight w:val="none"/>
              </w:rPr>
            </w:pPr>
            <w:bookmarkStart w:id="251" w:name="_Toc251052199"/>
            <w:r>
              <w:rPr>
                <w:rFonts w:hint="eastAsia" w:cs="宋体"/>
                <w:color w:val="auto"/>
                <w:highlight w:val="none"/>
              </w:rPr>
              <w:t>一旦我单位中标，将实行项目经理负责制，我方保证并配备上述项目管理机构。上述填报内容真实，若不真实，愿按有关规定接受处理。</w:t>
            </w:r>
            <w:bookmarkEnd w:id="251"/>
          </w:p>
        </w:tc>
      </w:tr>
    </w:tbl>
    <w:p w14:paraId="30B9C597">
      <w:pPr>
        <w:pStyle w:val="85"/>
        <w:jc w:val="center"/>
        <w:rPr>
          <w:rFonts w:hint="eastAsia" w:ascii="宋体" w:hAnsi="宋体" w:cs="宋体"/>
          <w:b/>
          <w:color w:val="auto"/>
          <w:sz w:val="30"/>
          <w:szCs w:val="30"/>
          <w:highlight w:val="none"/>
        </w:rPr>
      </w:pPr>
    </w:p>
    <w:p w14:paraId="6E5EEBF2">
      <w:pPr>
        <w:pStyle w:val="85"/>
        <w:jc w:val="center"/>
        <w:rPr>
          <w:rFonts w:hint="eastAsia" w:ascii="宋体" w:hAnsi="宋体" w:cs="宋体"/>
          <w:b/>
          <w:color w:val="auto"/>
          <w:sz w:val="30"/>
          <w:szCs w:val="30"/>
          <w:highlight w:val="none"/>
        </w:rPr>
      </w:pPr>
    </w:p>
    <w:p w14:paraId="5E4B158E">
      <w:pPr>
        <w:spacing w:line="360" w:lineRule="auto"/>
        <w:rPr>
          <w:rFonts w:hint="eastAsia" w:ascii="宋体" w:hAnsi="宋体" w:cs="宋体"/>
          <w:color w:val="auto"/>
          <w:sz w:val="24"/>
          <w:highlight w:val="none"/>
        </w:rPr>
      </w:pPr>
    </w:p>
    <w:p w14:paraId="0FA50FD1">
      <w:pPr>
        <w:autoSpaceDE w:val="0"/>
        <w:autoSpaceDN w:val="0"/>
        <w:spacing w:line="360" w:lineRule="auto"/>
        <w:ind w:left="4365" w:leftChars="1850" w:hanging="480" w:hangingChars="200"/>
        <w:rPr>
          <w:rFonts w:hint="eastAsia"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60C8007">
      <w:pPr>
        <w:autoSpaceDE w:val="0"/>
        <w:autoSpaceDN w:val="0"/>
        <w:spacing w:line="360" w:lineRule="auto"/>
        <w:ind w:firstLine="6120" w:firstLineChars="25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50E1D6A5">
      <w:pPr>
        <w:pStyle w:val="87"/>
        <w:tabs>
          <w:tab w:val="left" w:pos="742"/>
        </w:tabs>
        <w:rPr>
          <w:rFonts w:hint="eastAsia"/>
          <w:color w:val="auto"/>
          <w:sz w:val="21"/>
          <w:szCs w:val="21"/>
          <w:highlight w:val="none"/>
        </w:rPr>
      </w:pPr>
    </w:p>
    <w:p w14:paraId="14A98C8D">
      <w:pPr>
        <w:pStyle w:val="87"/>
        <w:tabs>
          <w:tab w:val="left" w:pos="742"/>
        </w:tabs>
        <w:rPr>
          <w:rFonts w:hint="eastAsia"/>
          <w:color w:val="auto"/>
          <w:sz w:val="21"/>
          <w:szCs w:val="21"/>
          <w:highlight w:val="none"/>
        </w:rPr>
      </w:pPr>
      <w:r>
        <w:rPr>
          <w:rFonts w:hint="eastAsia"/>
          <w:color w:val="auto"/>
          <w:sz w:val="21"/>
          <w:szCs w:val="21"/>
          <w:highlight w:val="none"/>
        </w:rPr>
        <w:t>注：本表所列岗位的所有管理人员的情况均应如实填写。可按以上格式扩展为多页填写。</w:t>
      </w:r>
    </w:p>
    <w:p w14:paraId="132F89EA">
      <w:pPr>
        <w:keepNext w:val="0"/>
        <w:keepLines w:val="0"/>
        <w:pageBreakBefore w:val="0"/>
        <w:widowControl w:val="0"/>
        <w:kinsoku/>
        <w:wordWrap/>
        <w:overflowPunct/>
        <w:topLinePunct w:val="0"/>
        <w:autoSpaceDE/>
        <w:autoSpaceDN/>
        <w:bidi w:val="0"/>
        <w:adjustRightInd/>
        <w:spacing w:line="360" w:lineRule="auto"/>
        <w:contextualSpacing/>
        <w:jc w:val="left"/>
        <w:textAlignment w:val="auto"/>
        <w:rPr>
          <w:rFonts w:hint="eastAsia" w:ascii="宋体" w:hAnsi="宋体"/>
          <w:color w:val="auto"/>
          <w:sz w:val="24"/>
          <w:szCs w:val="20"/>
          <w:highlight w:val="none"/>
        </w:rPr>
      </w:pPr>
    </w:p>
    <w:p w14:paraId="2003F9E9">
      <w:pPr>
        <w:keepNext w:val="0"/>
        <w:keepLines w:val="0"/>
        <w:pageBreakBefore w:val="0"/>
        <w:widowControl w:val="0"/>
        <w:kinsoku/>
        <w:wordWrap/>
        <w:overflowPunct/>
        <w:topLinePunct w:val="0"/>
        <w:autoSpaceDE/>
        <w:autoSpaceDN/>
        <w:bidi w:val="0"/>
        <w:adjustRightInd/>
        <w:snapToGrid w:val="0"/>
        <w:spacing w:before="120" w:beforeLines="50" w:after="50" w:line="360" w:lineRule="auto"/>
        <w:jc w:val="left"/>
        <w:textAlignment w:val="auto"/>
        <w:rPr>
          <w:rFonts w:ascii="方正小标宋简体" w:hAnsi="方正小标宋简体" w:eastAsia="方正小标宋简体" w:cs="方正小标宋简体"/>
          <w:bCs/>
          <w:color w:val="auto"/>
          <w:szCs w:val="21"/>
          <w:highlight w:val="none"/>
        </w:rPr>
      </w:pPr>
      <w:r>
        <w:rPr>
          <w:rFonts w:ascii="宋体" w:hAnsi="宋体"/>
          <w:color w:val="auto"/>
          <w:sz w:val="24"/>
          <w:szCs w:val="20"/>
          <w:highlight w:val="none"/>
        </w:rPr>
        <w:br w:type="page"/>
      </w:r>
      <w:r>
        <w:rPr>
          <w:rFonts w:hint="eastAsia" w:ascii="方正小标宋简体" w:hAnsi="方正小标宋简体" w:eastAsia="方正小标宋简体" w:cs="方正小标宋简体"/>
          <w:bCs/>
          <w:color w:val="auto"/>
          <w:sz w:val="24"/>
          <w:szCs w:val="24"/>
          <w:highlight w:val="none"/>
        </w:rPr>
        <w:t>代理服务费承诺书</w:t>
      </w:r>
    </w:p>
    <w:p w14:paraId="3E83E128">
      <w:pPr>
        <w:snapToGrid w:val="0"/>
        <w:spacing w:before="120" w:beforeLines="50" w:after="50"/>
        <w:jc w:val="left"/>
        <w:rPr>
          <w:rFonts w:hint="eastAsia" w:ascii="方正小标宋简体" w:hAnsi="方正小标宋简体" w:eastAsia="方正小标宋简体" w:cs="方正小标宋简体"/>
          <w:bCs/>
          <w:color w:val="auto"/>
          <w:szCs w:val="21"/>
          <w:highlight w:val="none"/>
        </w:rPr>
      </w:pPr>
    </w:p>
    <w:p w14:paraId="17AEEDC6">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代理服务费承诺书</w:t>
      </w:r>
    </w:p>
    <w:p w14:paraId="549B7233">
      <w:pPr>
        <w:snapToGrid w:val="0"/>
        <w:spacing w:before="120" w:beforeLines="50" w:after="50"/>
        <w:jc w:val="center"/>
        <w:rPr>
          <w:rFonts w:hint="eastAsia" w:ascii="宋体" w:hAnsi="宋体"/>
          <w:b/>
          <w:color w:val="auto"/>
          <w:sz w:val="24"/>
          <w:highlight w:val="none"/>
        </w:rPr>
      </w:pPr>
    </w:p>
    <w:p w14:paraId="325F3F5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招标代理机构名称</w:t>
      </w:r>
      <w:r>
        <w:rPr>
          <w:rFonts w:hint="eastAsia" w:ascii="宋体" w:hAnsi="宋体"/>
          <w:color w:val="auto"/>
          <w:sz w:val="24"/>
          <w:highlight w:val="none"/>
        </w:rPr>
        <w:t>：</w:t>
      </w:r>
    </w:p>
    <w:p w14:paraId="2EDEE08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7A666E7B">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1.我方承诺，若本单位成交，保证在发出成交通知书之后，按本项目采购文件的规定标准向贵单位一次性足额支付代理服务费, 在领取成交通知书后，由于被质疑、投诉或者其他原因而导致成交结果改变，我方将放弃对已缴纳的成交服务费追还的一切权利。</w:t>
      </w:r>
    </w:p>
    <w:p w14:paraId="0628E0EF">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14:paraId="2A6B4D83">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第一种方式：开具增值税普通发票。开票信息如下：</w:t>
      </w:r>
    </w:p>
    <w:p w14:paraId="3B2C619E">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4111FDB">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7E8E5F90">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第二种方式：开具增值税专用发票，开票信息如下：</w:t>
      </w:r>
    </w:p>
    <w:p w14:paraId="27E5EB3D">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CE1248F">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72DB924">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（3）在税局登记的地址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777663CB">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（4）在税局登记的电话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6E2A2AC0">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716F0160">
      <w:pPr>
        <w:keepNext w:val="0"/>
        <w:keepLines w:val="0"/>
        <w:pageBreakBefore w:val="0"/>
        <w:widowControl w:val="0"/>
        <w:kinsoku/>
        <w:wordWrap/>
        <w:overflowPunct/>
        <w:topLinePunct w:val="0"/>
        <w:autoSpaceDE/>
        <w:autoSpaceDN/>
        <w:bidi w:val="0"/>
        <w:adjustRightInd/>
        <w:spacing w:line="360" w:lineRule="auto"/>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520C205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olor w:val="auto"/>
          <w:sz w:val="24"/>
          <w:highlight w:val="none"/>
        </w:rPr>
      </w:pPr>
    </w:p>
    <w:p w14:paraId="4F07E4A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olor w:val="auto"/>
          <w:sz w:val="24"/>
          <w:highlight w:val="none"/>
        </w:rPr>
      </w:pPr>
    </w:p>
    <w:p w14:paraId="40195B4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olor w:val="auto"/>
          <w:sz w:val="24"/>
          <w:highlight w:val="none"/>
        </w:rPr>
      </w:pPr>
    </w:p>
    <w:p w14:paraId="484F4A37">
      <w:pPr>
        <w:keepNext w:val="0"/>
        <w:keepLines w:val="0"/>
        <w:pageBreakBefore w:val="0"/>
        <w:widowControl w:val="0"/>
        <w:kinsoku/>
        <w:wordWrap/>
        <w:overflowPunct/>
        <w:topLinePunct w:val="0"/>
        <w:autoSpaceDE/>
        <w:autoSpaceDN/>
        <w:bidi w:val="0"/>
        <w:adjustRightInd/>
        <w:snapToGrid w:val="0"/>
        <w:spacing w:line="360" w:lineRule="auto"/>
        <w:ind w:left="-2" w:leftChars="-1" w:right="-817" w:rightChars="-389" w:firstLine="1920" w:firstLineChars="800"/>
        <w:textAlignment w:val="auto"/>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法定代表人或者委托代理人（签字或者电子签名）： </w:t>
      </w:r>
    </w:p>
    <w:p w14:paraId="03CBE1DE">
      <w:pPr>
        <w:keepNext w:val="0"/>
        <w:keepLines w:val="0"/>
        <w:pageBreakBefore w:val="0"/>
        <w:widowControl w:val="0"/>
        <w:kinsoku/>
        <w:wordWrap/>
        <w:overflowPunct/>
        <w:topLinePunct w:val="0"/>
        <w:autoSpaceDE/>
        <w:autoSpaceDN/>
        <w:bidi w:val="0"/>
        <w:adjustRightInd/>
        <w:snapToGrid w:val="0"/>
        <w:spacing w:line="360" w:lineRule="auto"/>
        <w:ind w:left="-3" w:leftChars="-15" w:right="-817" w:rightChars="-389" w:hanging="28" w:hangingChars="12"/>
        <w:textAlignment w:val="auto"/>
        <w:rPr>
          <w:rFonts w:hint="eastAsia" w:ascii="宋体" w:hAnsi="宋体"/>
          <w:color w:val="auto"/>
          <w:sz w:val="24"/>
          <w:highlight w:val="none"/>
        </w:rPr>
      </w:pPr>
      <w:r>
        <w:rPr>
          <w:rFonts w:hint="eastAsia" w:ascii="宋体" w:hAnsi="宋体"/>
          <w:color w:val="auto"/>
          <w:sz w:val="24"/>
          <w:highlight w:val="none"/>
        </w:rPr>
        <w:t xml:space="preserve">                                      供应商公章（电子签章）：</w:t>
      </w:r>
    </w:p>
    <w:p w14:paraId="172AD962">
      <w:pPr>
        <w:keepNext w:val="0"/>
        <w:keepLines w:val="0"/>
        <w:pageBreakBefore w:val="0"/>
        <w:widowControl w:val="0"/>
        <w:kinsoku/>
        <w:wordWrap/>
        <w:overflowPunct/>
        <w:topLinePunct w:val="0"/>
        <w:autoSpaceDE/>
        <w:autoSpaceDN/>
        <w:bidi w:val="0"/>
        <w:adjustRightInd/>
        <w:snapToGrid w:val="0"/>
        <w:spacing w:line="360" w:lineRule="auto"/>
        <w:ind w:right="480" w:firstLine="240" w:firstLineChars="100"/>
        <w:jc w:val="left"/>
        <w:textAlignment w:val="auto"/>
        <w:rPr>
          <w:rFonts w:ascii="宋体" w:hAnsi="宋体"/>
          <w:color w:val="auto"/>
          <w:szCs w:val="21"/>
          <w:highlight w:val="none"/>
        </w:rPr>
        <w:sectPr>
          <w:pgSz w:w="11906" w:h="16838"/>
          <w:pgMar w:top="1134" w:right="1134" w:bottom="1134" w:left="1134" w:header="851" w:footer="992" w:gutter="0"/>
          <w:pgNumType w:fmt="decimal"/>
          <w:cols w:space="720" w:num="1"/>
        </w:sectPr>
      </w:pPr>
      <w:r>
        <w:rPr>
          <w:rFonts w:hint="eastAsia" w:ascii="宋体" w:hAnsi="宋体"/>
          <w:color w:val="auto"/>
          <w:sz w:val="24"/>
          <w:highlight w:val="none"/>
        </w:rPr>
        <w:t xml:space="preserve">                                    日期：    年   月   日</w:t>
      </w:r>
    </w:p>
    <w:p w14:paraId="5847A764">
      <w:pPr>
        <w:spacing w:line="300" w:lineRule="auto"/>
        <w:rPr>
          <w:rFonts w:hint="eastAsia" w:ascii="宋体" w:hAnsi="宋体"/>
          <w:color w:val="auto"/>
          <w:sz w:val="24"/>
          <w:szCs w:val="24"/>
          <w:highlight w:val="none"/>
        </w:rPr>
      </w:pPr>
      <w:r>
        <w:rPr>
          <w:rFonts w:hint="eastAsia" w:ascii="宋体" w:hAnsi="宋体"/>
          <w:b/>
          <w:bCs/>
          <w:color w:val="auto"/>
          <w:sz w:val="24"/>
          <w:szCs w:val="24"/>
          <w:highlight w:val="none"/>
        </w:rPr>
        <w:t>其他文书、文件格式</w:t>
      </w:r>
    </w:p>
    <w:p w14:paraId="68555271">
      <w:pPr>
        <w:pStyle w:val="15"/>
        <w:spacing w:line="500" w:lineRule="exact"/>
        <w:ind w:right="142" w:firstLine="705" w:firstLineChars="294"/>
        <w:rPr>
          <w:rFonts w:ascii="宋体" w:hAnsi="宋体"/>
          <w:color w:val="auto"/>
          <w:sz w:val="24"/>
          <w:highlight w:val="none"/>
        </w:rPr>
      </w:pPr>
      <w:bookmarkStart w:id="252" w:name="_Toc71365926"/>
    </w:p>
    <w:p w14:paraId="6009BFFE">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中小企业声明函（工程）</w:t>
      </w:r>
      <w:bookmarkEnd w:id="252"/>
    </w:p>
    <w:p w14:paraId="3851C657">
      <w:pPr>
        <w:pStyle w:val="15"/>
        <w:spacing w:line="500" w:lineRule="exact"/>
        <w:ind w:right="142" w:firstLine="705" w:firstLineChars="294"/>
        <w:rPr>
          <w:rFonts w:ascii="宋体" w:hAnsi="宋体"/>
          <w:color w:val="auto"/>
          <w:sz w:val="24"/>
          <w:highlight w:val="none"/>
        </w:rPr>
      </w:pPr>
    </w:p>
    <w:p w14:paraId="7102CC32">
      <w:pPr>
        <w:pStyle w:val="15"/>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15AC83A5">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1668BC5">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3E3832ED">
      <w:pPr>
        <w:pStyle w:val="15"/>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31925AA9">
      <w:pPr>
        <w:pStyle w:val="15"/>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6443F8E7">
      <w:pPr>
        <w:pStyle w:val="15"/>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3C40DE0A">
      <w:pPr>
        <w:pStyle w:val="15"/>
        <w:spacing w:before="56" w:line="500" w:lineRule="exact"/>
        <w:ind w:right="650" w:firstLine="5625" w:firstLineChars="2344"/>
        <w:rPr>
          <w:rFonts w:ascii="宋体" w:hAnsi="宋体"/>
          <w:color w:val="auto"/>
          <w:sz w:val="24"/>
          <w:highlight w:val="none"/>
        </w:rPr>
      </w:pPr>
      <w:r>
        <w:rPr>
          <w:rFonts w:ascii="宋体" w:hAnsi="宋体"/>
          <w:color w:val="auto"/>
          <w:sz w:val="24"/>
          <w:highlight w:val="none"/>
        </w:rPr>
        <w:t xml:space="preserve">企业名称（章）： </w:t>
      </w:r>
    </w:p>
    <w:p w14:paraId="02F57C8E">
      <w:pPr>
        <w:pStyle w:val="15"/>
        <w:spacing w:before="56" w:line="500" w:lineRule="exact"/>
        <w:ind w:right="1808" w:firstLine="5625" w:firstLineChars="2344"/>
        <w:rPr>
          <w:rFonts w:ascii="宋体" w:hAnsi="宋体"/>
          <w:color w:val="auto"/>
          <w:sz w:val="24"/>
          <w:highlight w:val="none"/>
        </w:rPr>
      </w:pPr>
      <w:r>
        <w:rPr>
          <w:rFonts w:ascii="宋体" w:hAnsi="宋体"/>
          <w:color w:val="auto"/>
          <w:sz w:val="24"/>
          <w:highlight w:val="none"/>
        </w:rPr>
        <w:t>日 期：</w:t>
      </w:r>
    </w:p>
    <w:p w14:paraId="7D68C9D2">
      <w:pPr>
        <w:spacing w:line="520" w:lineRule="exact"/>
        <w:ind w:firstLine="420" w:firstLineChars="200"/>
        <w:jc w:val="left"/>
        <w:rPr>
          <w:rFonts w:hint="eastAsia" w:ascii="宋体" w:hAnsi="宋体" w:cs="仿宋_GB2312"/>
          <w:color w:val="auto"/>
          <w:szCs w:val="21"/>
          <w:highlight w:val="none"/>
        </w:rPr>
      </w:pPr>
      <w:r>
        <w:rPr>
          <w:rFonts w:hint="eastAsia" w:ascii="宋体" w:hAnsi="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42173B34">
      <w:pPr>
        <w:spacing w:line="520" w:lineRule="exact"/>
        <w:ind w:firstLine="420" w:firstLineChars="200"/>
        <w:jc w:val="left"/>
        <w:rPr>
          <w:rFonts w:hint="eastAsia" w:ascii="宋体" w:hAnsi="宋体" w:cs="仿宋_GB2312"/>
          <w:color w:val="auto"/>
          <w:szCs w:val="21"/>
          <w:highlight w:val="none"/>
        </w:rPr>
      </w:pPr>
      <w:r>
        <w:rPr>
          <w:rFonts w:hint="eastAsia" w:ascii="宋体" w:hAnsi="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B0E6AB6">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残疾人福利性单位声明函</w:t>
      </w:r>
    </w:p>
    <w:p w14:paraId="7F07ABB7">
      <w:pPr>
        <w:spacing w:line="360" w:lineRule="auto"/>
        <w:contextualSpacing/>
        <w:rPr>
          <w:rFonts w:hint="eastAsia" w:ascii="仿宋_GB2312" w:hAnsi="仿宋_GB2312" w:eastAsia="仿宋_GB2312" w:cs="仿宋_GB2312"/>
          <w:color w:val="auto"/>
          <w:sz w:val="32"/>
          <w:szCs w:val="32"/>
          <w:highlight w:val="none"/>
        </w:rPr>
      </w:pPr>
    </w:p>
    <w:p w14:paraId="51F15D3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02B2B0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20036C0C">
      <w:pPr>
        <w:spacing w:line="360" w:lineRule="auto"/>
        <w:contextualSpacing/>
        <w:rPr>
          <w:rFonts w:hint="eastAsia" w:ascii="宋体" w:hAnsi="宋体" w:cs="仿宋_GB2312"/>
          <w:color w:val="auto"/>
          <w:sz w:val="24"/>
          <w:highlight w:val="none"/>
        </w:rPr>
      </w:pPr>
    </w:p>
    <w:p w14:paraId="7C5D435F">
      <w:pPr>
        <w:spacing w:line="360" w:lineRule="auto"/>
        <w:contextualSpacing/>
        <w:rPr>
          <w:rFonts w:hint="eastAsia" w:ascii="宋体" w:hAnsi="宋体" w:cs="仿宋_GB2312"/>
          <w:color w:val="auto"/>
          <w:sz w:val="24"/>
          <w:highlight w:val="none"/>
        </w:rPr>
      </w:pPr>
    </w:p>
    <w:p w14:paraId="33572870">
      <w:pPr>
        <w:spacing w:line="360" w:lineRule="auto"/>
        <w:contextualSpacing/>
        <w:rPr>
          <w:rFonts w:hint="eastAsia" w:ascii="宋体" w:hAnsi="宋体" w:cs="仿宋_GB2312"/>
          <w:color w:val="auto"/>
          <w:sz w:val="24"/>
          <w:highlight w:val="none"/>
        </w:rPr>
      </w:pPr>
    </w:p>
    <w:p w14:paraId="68D6DAF0">
      <w:pPr>
        <w:spacing w:line="360" w:lineRule="auto"/>
        <w:ind w:firstLine="2400" w:firstLineChars="10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14:paraId="6C243C2E">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758C0728">
      <w:pPr>
        <w:spacing w:line="360" w:lineRule="auto"/>
        <w:contextualSpacing/>
        <w:rPr>
          <w:rFonts w:hint="eastAsia" w:ascii="宋体" w:hAnsi="宋体" w:cs="仿宋_GB2312"/>
          <w:color w:val="auto"/>
          <w:sz w:val="24"/>
          <w:highlight w:val="none"/>
        </w:rPr>
      </w:pPr>
    </w:p>
    <w:p w14:paraId="7AB9E6E8">
      <w:pPr>
        <w:spacing w:line="360" w:lineRule="auto"/>
        <w:contextualSpacing/>
        <w:rPr>
          <w:rFonts w:hint="eastAsia" w:ascii="宋体" w:hAnsi="宋体" w:cs="仿宋_GB2312"/>
          <w:color w:val="auto"/>
          <w:sz w:val="24"/>
          <w:highlight w:val="none"/>
        </w:rPr>
      </w:pPr>
    </w:p>
    <w:p w14:paraId="2F8CBB67">
      <w:pPr>
        <w:spacing w:line="360" w:lineRule="auto"/>
        <w:contextualSpacing/>
        <w:rPr>
          <w:rFonts w:hint="eastAsia" w:ascii="宋体" w:hAnsi="宋体" w:cs="仿宋_GB2312"/>
          <w:color w:val="auto"/>
          <w:sz w:val="24"/>
          <w:highlight w:val="none"/>
        </w:rPr>
      </w:pPr>
    </w:p>
    <w:p w14:paraId="556810E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9EA6AC7">
      <w:pPr>
        <w:spacing w:line="360" w:lineRule="auto"/>
        <w:jc w:val="center"/>
        <w:rPr>
          <w:rFonts w:ascii="宋体" w:hAnsi="宋体" w:cs="仿宋_GB2312"/>
          <w:color w:val="auto"/>
          <w:sz w:val="24"/>
          <w:highlight w:val="none"/>
        </w:rPr>
      </w:pPr>
      <w:r>
        <w:rPr>
          <w:rFonts w:ascii="宋体" w:hAnsi="宋体" w:cs="仿宋_GB2312"/>
          <w:color w:val="auto"/>
          <w:sz w:val="24"/>
          <w:highlight w:val="none"/>
        </w:rPr>
        <w:br w:type="page"/>
      </w:r>
    </w:p>
    <w:p w14:paraId="45A556BF">
      <w:pPr>
        <w:pStyle w:val="3"/>
        <w:jc w:val="center"/>
        <w:rPr>
          <w:rFonts w:hint="eastAsia"/>
          <w:color w:val="auto"/>
          <w:highlight w:val="none"/>
          <w:lang w:eastAsia="zh-CN"/>
        </w:rPr>
      </w:pPr>
      <w:bookmarkStart w:id="253" w:name="_Toc17843"/>
      <w:r>
        <w:rPr>
          <w:rFonts w:hint="eastAsia"/>
          <w:color w:val="auto"/>
          <w:highlight w:val="none"/>
        </w:rPr>
        <w:t>第六章 合同文本</w:t>
      </w:r>
      <w:r>
        <w:rPr>
          <w:rFonts w:hint="eastAsia"/>
          <w:color w:val="auto"/>
          <w:highlight w:val="none"/>
          <w:lang w:eastAsia="zh-CN"/>
        </w:rPr>
        <w:t>（</w:t>
      </w:r>
      <w:r>
        <w:rPr>
          <w:rFonts w:hint="eastAsia"/>
          <w:color w:val="auto"/>
          <w:highlight w:val="none"/>
          <w:lang w:val="en-US" w:eastAsia="zh-CN"/>
        </w:rPr>
        <w:t>格式</w:t>
      </w:r>
      <w:r>
        <w:rPr>
          <w:rFonts w:hint="eastAsia"/>
          <w:color w:val="auto"/>
          <w:highlight w:val="none"/>
          <w:lang w:eastAsia="zh-CN"/>
        </w:rPr>
        <w:t>）</w:t>
      </w:r>
      <w:bookmarkEnd w:id="253"/>
    </w:p>
    <w:p w14:paraId="36D588F7">
      <w:pPr>
        <w:spacing w:line="360" w:lineRule="auto"/>
        <w:jc w:val="center"/>
        <w:rPr>
          <w:rFonts w:hint="eastAsia" w:ascii="宋体" w:hAnsi="宋体" w:eastAsia="宋体" w:cs="宋体"/>
          <w:b/>
          <w:bCs/>
          <w:color w:val="auto"/>
          <w:sz w:val="52"/>
          <w:highlight w:val="none"/>
        </w:rPr>
      </w:pPr>
      <w:r>
        <w:rPr>
          <w:rFonts w:hint="eastAsia" w:ascii="宋体" w:hAnsi="宋体" w:eastAsia="宋体" w:cs="宋体"/>
          <w:b/>
          <w:bCs/>
          <w:color w:val="auto"/>
          <w:sz w:val="52"/>
          <w:highlight w:val="none"/>
        </w:rPr>
        <w:t>广西壮族自治区政府采购</w:t>
      </w:r>
    </w:p>
    <w:p w14:paraId="5213F680">
      <w:pPr>
        <w:spacing w:line="360" w:lineRule="auto"/>
        <w:ind w:firstLine="420" w:firstLineChars="200"/>
        <w:rPr>
          <w:rFonts w:hint="eastAsia" w:ascii="宋体" w:hAnsi="宋体" w:eastAsia="宋体" w:cs="宋体"/>
          <w:color w:val="auto"/>
          <w:highlight w:val="none"/>
        </w:rPr>
      </w:pPr>
    </w:p>
    <w:p w14:paraId="7C2A682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1A64119C">
      <w:pPr>
        <w:spacing w:line="360" w:lineRule="auto"/>
        <w:jc w:val="center"/>
        <w:rPr>
          <w:rFonts w:hint="eastAsia" w:ascii="宋体" w:hAnsi="宋体" w:eastAsia="宋体" w:cs="宋体"/>
          <w:b/>
          <w:bCs/>
          <w:color w:val="auto"/>
          <w:sz w:val="44"/>
          <w:highlight w:val="none"/>
        </w:rPr>
      </w:pPr>
      <w:r>
        <w:rPr>
          <w:rFonts w:hint="eastAsia" w:ascii="宋体" w:hAnsi="宋体" w:eastAsia="宋体" w:cs="宋体"/>
          <w:b/>
          <w:bCs/>
          <w:color w:val="auto"/>
          <w:sz w:val="44"/>
          <w:highlight w:val="none"/>
          <w:u w:val="single"/>
        </w:rPr>
        <w:t xml:space="preserve">         （项目名称）         </w:t>
      </w:r>
      <w:r>
        <w:rPr>
          <w:rFonts w:hint="eastAsia" w:ascii="宋体" w:hAnsi="宋体" w:eastAsia="宋体" w:cs="宋体"/>
          <w:b/>
          <w:bCs/>
          <w:color w:val="auto"/>
          <w:sz w:val="44"/>
          <w:highlight w:val="none"/>
        </w:rPr>
        <w:t>合同</w:t>
      </w:r>
    </w:p>
    <w:p w14:paraId="0EB96656">
      <w:pPr>
        <w:spacing w:line="360" w:lineRule="auto"/>
        <w:jc w:val="center"/>
        <w:rPr>
          <w:rFonts w:hint="eastAsia" w:ascii="宋体" w:hAnsi="宋体" w:eastAsia="宋体" w:cs="宋体"/>
          <w:b/>
          <w:bCs/>
          <w:color w:val="auto"/>
          <w:sz w:val="44"/>
          <w:highlight w:val="none"/>
        </w:rPr>
      </w:pPr>
    </w:p>
    <w:p w14:paraId="57377499">
      <w:pPr>
        <w:spacing w:line="360" w:lineRule="auto"/>
        <w:jc w:val="center"/>
        <w:rPr>
          <w:rFonts w:hint="eastAsia" w:ascii="宋体" w:hAnsi="宋体" w:eastAsia="宋体" w:cs="宋体"/>
          <w:b/>
          <w:bCs/>
          <w:color w:val="auto"/>
          <w:sz w:val="44"/>
          <w:highlight w:val="none"/>
        </w:rPr>
      </w:pPr>
    </w:p>
    <w:p w14:paraId="39AB46B5">
      <w:pPr>
        <w:spacing w:line="360" w:lineRule="auto"/>
        <w:ind w:firstLine="3507" w:firstLineChars="794"/>
        <w:rPr>
          <w:rFonts w:hint="eastAsia" w:ascii="宋体" w:hAnsi="宋体" w:eastAsia="宋体" w:cs="宋体"/>
          <w:b/>
          <w:bCs/>
          <w:color w:val="auto"/>
          <w:sz w:val="44"/>
          <w:highlight w:val="none"/>
        </w:rPr>
      </w:pPr>
    </w:p>
    <w:p w14:paraId="4994CFE3">
      <w:pPr>
        <w:spacing w:line="360" w:lineRule="auto"/>
        <w:ind w:firstLine="3507" w:firstLineChars="794"/>
        <w:rPr>
          <w:rFonts w:hint="eastAsia" w:ascii="宋体" w:hAnsi="宋体" w:eastAsia="宋体" w:cs="宋体"/>
          <w:b/>
          <w:bCs/>
          <w:color w:val="auto"/>
          <w:sz w:val="44"/>
          <w:highlight w:val="none"/>
        </w:rPr>
      </w:pPr>
    </w:p>
    <w:p w14:paraId="0E27D1DF">
      <w:pPr>
        <w:ind w:firstLine="1995" w:firstLineChars="552"/>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项目编号：</w:t>
      </w:r>
      <w:r>
        <w:rPr>
          <w:rFonts w:hint="eastAsia" w:ascii="宋体" w:hAnsi="宋体" w:eastAsia="宋体" w:cs="宋体"/>
          <w:b/>
          <w:color w:val="auto"/>
          <w:sz w:val="36"/>
          <w:szCs w:val="36"/>
          <w:highlight w:val="none"/>
          <w:u w:val="single"/>
        </w:rPr>
        <w:t xml:space="preserve">                     </w:t>
      </w:r>
    </w:p>
    <w:p w14:paraId="343865B7">
      <w:pPr>
        <w:ind w:firstLine="1995" w:firstLineChars="552"/>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计划编号：</w:t>
      </w:r>
      <w:r>
        <w:rPr>
          <w:rFonts w:hint="eastAsia" w:ascii="宋体" w:hAnsi="宋体" w:eastAsia="宋体" w:cs="宋体"/>
          <w:b/>
          <w:color w:val="auto"/>
          <w:sz w:val="36"/>
          <w:szCs w:val="36"/>
          <w:highlight w:val="none"/>
          <w:u w:val="single"/>
        </w:rPr>
        <w:t xml:space="preserve">                     </w:t>
      </w:r>
    </w:p>
    <w:p w14:paraId="487D632D">
      <w:pPr>
        <w:ind w:firstLine="1970" w:firstLineChars="545"/>
        <w:rPr>
          <w:rFonts w:hint="eastAsia" w:ascii="宋体" w:hAnsi="宋体" w:eastAsia="宋体" w:cs="宋体"/>
          <w:b/>
          <w:color w:val="auto"/>
          <w:sz w:val="36"/>
          <w:szCs w:val="36"/>
          <w:highlight w:val="none"/>
          <w:u w:val="single"/>
        </w:rPr>
      </w:pPr>
    </w:p>
    <w:p w14:paraId="63F85B9E">
      <w:pPr>
        <w:ind w:firstLine="1995" w:firstLineChars="552"/>
        <w:rPr>
          <w:rFonts w:hint="eastAsia" w:ascii="宋体" w:hAnsi="宋体" w:eastAsia="宋体" w:cs="宋体"/>
          <w:b/>
          <w:color w:val="auto"/>
          <w:sz w:val="36"/>
          <w:szCs w:val="36"/>
          <w:highlight w:val="none"/>
          <w:u w:val="single"/>
        </w:rPr>
      </w:pPr>
    </w:p>
    <w:p w14:paraId="414AFAE0">
      <w:pPr>
        <w:ind w:firstLine="1995" w:firstLineChars="552"/>
        <w:rPr>
          <w:rFonts w:hint="eastAsia" w:ascii="宋体" w:hAnsi="宋体" w:eastAsia="宋体" w:cs="宋体"/>
          <w:b/>
          <w:color w:val="auto"/>
          <w:sz w:val="36"/>
          <w:szCs w:val="36"/>
          <w:highlight w:val="none"/>
          <w:u w:val="single"/>
        </w:rPr>
      </w:pPr>
    </w:p>
    <w:p w14:paraId="157DE116">
      <w:pPr>
        <w:tabs>
          <w:tab w:val="left" w:pos="7200"/>
        </w:tabs>
        <w:spacing w:line="360" w:lineRule="auto"/>
        <w:ind w:firstLine="1995" w:firstLineChars="552"/>
        <w:rPr>
          <w:rFonts w:hint="eastAsia" w:ascii="宋体" w:hAnsi="宋体" w:eastAsia="宋体" w:cs="宋体"/>
          <w:b/>
          <w:color w:val="auto"/>
          <w:sz w:val="36"/>
          <w:szCs w:val="36"/>
          <w:highlight w:val="none"/>
          <w:u w:val="single"/>
        </w:rPr>
      </w:pPr>
      <w:r>
        <w:rPr>
          <w:rFonts w:hint="eastAsia" w:ascii="宋体" w:hAnsi="宋体" w:eastAsia="宋体" w:cs="宋体"/>
          <w:b/>
          <w:color w:val="auto"/>
          <w:sz w:val="36"/>
          <w:szCs w:val="36"/>
          <w:highlight w:val="none"/>
        </w:rPr>
        <w:t>采购人：</w:t>
      </w:r>
      <w:r>
        <w:rPr>
          <w:rFonts w:hint="eastAsia" w:ascii="宋体" w:hAnsi="宋体" w:eastAsia="宋体" w:cs="宋体"/>
          <w:b/>
          <w:color w:val="auto"/>
          <w:sz w:val="36"/>
          <w:szCs w:val="36"/>
          <w:highlight w:val="none"/>
          <w:u w:val="single"/>
        </w:rPr>
        <w:t xml:space="preserve">                       </w:t>
      </w:r>
    </w:p>
    <w:p w14:paraId="360BABF0">
      <w:pPr>
        <w:tabs>
          <w:tab w:val="left" w:pos="7380"/>
        </w:tabs>
        <w:spacing w:line="360" w:lineRule="auto"/>
        <w:ind w:firstLine="1995" w:firstLineChars="552"/>
        <w:rPr>
          <w:rFonts w:hint="eastAsia" w:ascii="宋体" w:hAnsi="宋体" w:eastAsia="宋体" w:cs="宋体"/>
          <w:b/>
          <w:bCs/>
          <w:color w:val="auto"/>
          <w:sz w:val="44"/>
          <w:highlight w:val="none"/>
        </w:rPr>
      </w:pPr>
      <w:r>
        <w:rPr>
          <w:rFonts w:hint="eastAsia" w:ascii="宋体" w:hAnsi="宋体" w:cs="宋体"/>
          <w:b/>
          <w:color w:val="auto"/>
          <w:sz w:val="36"/>
          <w:szCs w:val="36"/>
          <w:highlight w:val="none"/>
          <w:lang w:eastAsia="zh-CN"/>
        </w:rPr>
        <w:t>中标人</w:t>
      </w:r>
      <w:r>
        <w:rPr>
          <w:rFonts w:hint="eastAsia" w:ascii="宋体" w:hAnsi="宋体" w:eastAsia="宋体" w:cs="宋体"/>
          <w:b/>
          <w:color w:val="auto"/>
          <w:sz w:val="36"/>
          <w:szCs w:val="36"/>
          <w:highlight w:val="none"/>
        </w:rPr>
        <w:t>：</w:t>
      </w:r>
      <w:r>
        <w:rPr>
          <w:rFonts w:hint="eastAsia" w:ascii="宋体" w:hAnsi="宋体" w:eastAsia="宋体" w:cs="宋体"/>
          <w:b/>
          <w:color w:val="auto"/>
          <w:sz w:val="36"/>
          <w:szCs w:val="36"/>
          <w:highlight w:val="none"/>
          <w:u w:val="single"/>
        </w:rPr>
        <w:t xml:space="preserve">                   </w:t>
      </w:r>
    </w:p>
    <w:p w14:paraId="07E815F0">
      <w:pPr>
        <w:tabs>
          <w:tab w:val="left" w:pos="7380"/>
        </w:tabs>
        <w:spacing w:line="360" w:lineRule="auto"/>
        <w:rPr>
          <w:rFonts w:hint="eastAsia" w:ascii="宋体" w:hAnsi="宋体" w:eastAsia="宋体" w:cs="宋体"/>
          <w:b/>
          <w:bCs/>
          <w:color w:val="auto"/>
          <w:sz w:val="44"/>
          <w:highlight w:val="none"/>
        </w:rPr>
      </w:pPr>
    </w:p>
    <w:p w14:paraId="21D1ABDF">
      <w:pPr>
        <w:spacing w:before="120" w:line="360" w:lineRule="auto"/>
        <w:ind w:firstLine="960" w:firstLineChars="400"/>
        <w:rPr>
          <w:rFonts w:hint="eastAsia" w:ascii="宋体" w:hAnsi="宋体" w:eastAsia="宋体" w:cs="宋体"/>
          <w:color w:val="auto"/>
          <w:sz w:val="24"/>
          <w:highlight w:val="none"/>
        </w:rPr>
      </w:pPr>
    </w:p>
    <w:p w14:paraId="0878B397">
      <w:pPr>
        <w:spacing w:before="120" w:line="360" w:lineRule="auto"/>
        <w:ind w:firstLine="960" w:firstLineChars="400"/>
        <w:rPr>
          <w:rFonts w:hint="eastAsia" w:ascii="宋体" w:hAnsi="宋体" w:eastAsia="宋体" w:cs="宋体"/>
          <w:color w:val="auto"/>
          <w:sz w:val="24"/>
          <w:highlight w:val="none"/>
        </w:rPr>
      </w:pPr>
    </w:p>
    <w:p w14:paraId="2CDA28D0">
      <w:pPr>
        <w:spacing w:before="120" w:line="360" w:lineRule="auto"/>
        <w:ind w:firstLine="2280" w:firstLineChars="95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71D45172">
      <w:pPr>
        <w:widowControl/>
        <w:kinsoku w:val="0"/>
        <w:autoSpaceDE w:val="0"/>
        <w:autoSpaceDN w:val="0"/>
        <w:adjustRightInd w:val="0"/>
        <w:snapToGrid w:val="0"/>
        <w:spacing w:line="480" w:lineRule="auto"/>
        <w:jc w:val="center"/>
        <w:textAlignment w:val="baseline"/>
        <w:rPr>
          <w:rFonts w:ascii="宋体" w:hAnsi="宋体" w:cs="Arial"/>
          <w:snapToGrid w:val="0"/>
          <w:color w:val="auto"/>
          <w:kern w:val="0"/>
          <w:szCs w:val="21"/>
          <w:highlight w:val="none"/>
        </w:rPr>
      </w:pPr>
      <w:r>
        <w:rPr>
          <w:rFonts w:hint="eastAsia" w:ascii="宋体" w:hAnsi="宋体" w:eastAsia="宋体" w:cs="宋体"/>
          <w:b/>
          <w:bCs/>
          <w:color w:val="auto"/>
          <w:sz w:val="44"/>
          <w:highlight w:val="none"/>
        </w:rPr>
        <w:br w:type="page"/>
      </w:r>
    </w:p>
    <w:p w14:paraId="317FD2D0">
      <w:pPr>
        <w:widowControl/>
        <w:kinsoku w:val="0"/>
        <w:autoSpaceDE w:val="0"/>
        <w:autoSpaceDN w:val="0"/>
        <w:adjustRightInd w:val="0"/>
        <w:snapToGrid w:val="0"/>
        <w:spacing w:line="480" w:lineRule="auto"/>
        <w:jc w:val="center"/>
        <w:textAlignment w:val="baseline"/>
        <w:rPr>
          <w:rFonts w:ascii="宋体" w:hAnsi="宋体" w:cs="Arial"/>
          <w:snapToGrid w:val="0"/>
          <w:color w:val="auto"/>
          <w:kern w:val="0"/>
          <w:szCs w:val="21"/>
          <w:highlight w:val="none"/>
        </w:rPr>
      </w:pPr>
    </w:p>
    <w:p w14:paraId="643A8298">
      <w:pPr>
        <w:widowControl/>
        <w:kinsoku w:val="0"/>
        <w:autoSpaceDE w:val="0"/>
        <w:autoSpaceDN w:val="0"/>
        <w:adjustRightInd w:val="0"/>
        <w:snapToGrid w:val="0"/>
        <w:spacing w:line="480" w:lineRule="auto"/>
        <w:jc w:val="center"/>
        <w:textAlignment w:val="baseline"/>
        <w:rPr>
          <w:rFonts w:ascii="宋体" w:hAnsi="宋体" w:cs="Arial"/>
          <w:snapToGrid w:val="0"/>
          <w:color w:val="auto"/>
          <w:kern w:val="0"/>
          <w:szCs w:val="21"/>
          <w:highlight w:val="none"/>
        </w:rPr>
      </w:pPr>
    </w:p>
    <w:p w14:paraId="4F7BBA63">
      <w:pPr>
        <w:widowControl/>
        <w:kinsoku w:val="0"/>
        <w:autoSpaceDE w:val="0"/>
        <w:autoSpaceDN w:val="0"/>
        <w:adjustRightInd w:val="0"/>
        <w:snapToGrid w:val="0"/>
        <w:spacing w:line="480" w:lineRule="auto"/>
        <w:jc w:val="center"/>
        <w:textAlignment w:val="baseline"/>
        <w:rPr>
          <w:rFonts w:ascii="宋体" w:hAnsi="宋体" w:cs="Arial"/>
          <w:snapToGrid w:val="0"/>
          <w:color w:val="auto"/>
          <w:kern w:val="0"/>
          <w:szCs w:val="21"/>
          <w:highlight w:val="none"/>
        </w:rPr>
      </w:pPr>
    </w:p>
    <w:p w14:paraId="341D3541">
      <w:pPr>
        <w:widowControl/>
        <w:kinsoku w:val="0"/>
        <w:autoSpaceDE w:val="0"/>
        <w:autoSpaceDN w:val="0"/>
        <w:adjustRightInd w:val="0"/>
        <w:snapToGrid w:val="0"/>
        <w:spacing w:line="480" w:lineRule="auto"/>
        <w:jc w:val="center"/>
        <w:textAlignment w:val="baseline"/>
        <w:rPr>
          <w:rFonts w:ascii="宋体" w:hAnsi="宋体" w:eastAsia="宋体" w:cs="新宋体"/>
          <w:snapToGrid w:val="0"/>
          <w:color w:val="auto"/>
          <w:kern w:val="0"/>
          <w:sz w:val="44"/>
          <w:szCs w:val="44"/>
          <w:highlight w:val="none"/>
        </w:rPr>
      </w:pPr>
      <w:r>
        <w:rPr>
          <w:rFonts w:hint="eastAsia" w:ascii="宋体" w:hAnsi="宋体" w:cs="新宋体"/>
          <w:snapToGrid w:val="0"/>
          <w:color w:val="auto"/>
          <w:kern w:val="0"/>
          <w:sz w:val="44"/>
          <w:szCs w:val="44"/>
          <w:highlight w:val="none"/>
          <w:lang w:eastAsia="zh-CN"/>
        </w:rPr>
        <w:t>广西物流职业技术学院灾后装饰装修修缮项目</w:t>
      </w:r>
      <w:r>
        <w:rPr>
          <w:rFonts w:ascii="宋体" w:hAnsi="宋体" w:eastAsia="宋体" w:cs="新宋体"/>
          <w:snapToGrid w:val="0"/>
          <w:color w:val="auto"/>
          <w:kern w:val="0"/>
          <w:sz w:val="44"/>
          <w:szCs w:val="44"/>
          <w:highlight w:val="none"/>
        </w:rPr>
        <w:t>施工合同</w:t>
      </w:r>
    </w:p>
    <w:p w14:paraId="4C0DF9B5">
      <w:pPr>
        <w:widowControl/>
        <w:kinsoku w:val="0"/>
        <w:autoSpaceDE w:val="0"/>
        <w:autoSpaceDN w:val="0"/>
        <w:adjustRightInd w:val="0"/>
        <w:snapToGrid w:val="0"/>
        <w:spacing w:line="480" w:lineRule="auto"/>
        <w:jc w:val="center"/>
        <w:textAlignment w:val="baseline"/>
        <w:rPr>
          <w:rFonts w:hint="eastAsia" w:ascii="宋体" w:hAnsi="宋体" w:eastAsia="宋体" w:cs="新宋体"/>
          <w:snapToGrid w:val="0"/>
          <w:color w:val="auto"/>
          <w:kern w:val="0"/>
          <w:sz w:val="32"/>
          <w:szCs w:val="32"/>
          <w:highlight w:val="none"/>
          <w:lang w:eastAsia="zh-CN"/>
        </w:rPr>
      </w:pPr>
    </w:p>
    <w:p w14:paraId="3D26BE6B">
      <w:pPr>
        <w:widowControl/>
        <w:kinsoku w:val="0"/>
        <w:autoSpaceDE w:val="0"/>
        <w:autoSpaceDN w:val="0"/>
        <w:adjustRightInd w:val="0"/>
        <w:snapToGrid w:val="0"/>
        <w:spacing w:line="480" w:lineRule="auto"/>
        <w:jc w:val="center"/>
        <w:textAlignment w:val="baseline"/>
        <w:rPr>
          <w:rFonts w:ascii="宋体" w:hAnsi="宋体" w:eastAsia="宋体" w:cs="新宋体"/>
          <w:snapToGrid w:val="0"/>
          <w:color w:val="auto"/>
          <w:kern w:val="0"/>
          <w:sz w:val="32"/>
          <w:szCs w:val="32"/>
          <w:highlight w:val="none"/>
        </w:rPr>
      </w:pPr>
    </w:p>
    <w:p w14:paraId="15FD1414">
      <w:pPr>
        <w:widowControl/>
        <w:kinsoku w:val="0"/>
        <w:autoSpaceDE w:val="0"/>
        <w:autoSpaceDN w:val="0"/>
        <w:adjustRightInd w:val="0"/>
        <w:snapToGrid w:val="0"/>
        <w:spacing w:line="254" w:lineRule="auto"/>
        <w:jc w:val="left"/>
        <w:textAlignment w:val="baseline"/>
        <w:rPr>
          <w:rFonts w:ascii="宋体" w:hAnsi="宋体" w:eastAsia="宋体" w:cs="Arial"/>
          <w:snapToGrid w:val="0"/>
          <w:color w:val="auto"/>
          <w:kern w:val="0"/>
          <w:sz w:val="32"/>
          <w:szCs w:val="32"/>
          <w:highlight w:val="none"/>
        </w:rPr>
      </w:pPr>
    </w:p>
    <w:p w14:paraId="0D59FEE0">
      <w:pPr>
        <w:widowControl/>
        <w:kinsoku w:val="0"/>
        <w:autoSpaceDE w:val="0"/>
        <w:autoSpaceDN w:val="0"/>
        <w:adjustRightInd w:val="0"/>
        <w:snapToGrid w:val="0"/>
        <w:spacing w:line="254" w:lineRule="auto"/>
        <w:jc w:val="left"/>
        <w:textAlignment w:val="baseline"/>
        <w:rPr>
          <w:rFonts w:ascii="宋体" w:hAnsi="宋体" w:eastAsia="宋体" w:cs="Arial"/>
          <w:snapToGrid w:val="0"/>
          <w:color w:val="auto"/>
          <w:kern w:val="0"/>
          <w:sz w:val="32"/>
          <w:szCs w:val="32"/>
          <w:highlight w:val="none"/>
        </w:rPr>
      </w:pPr>
    </w:p>
    <w:p w14:paraId="345D87E2">
      <w:pPr>
        <w:widowControl/>
        <w:kinsoku w:val="0"/>
        <w:autoSpaceDE w:val="0"/>
        <w:autoSpaceDN w:val="0"/>
        <w:adjustRightInd w:val="0"/>
        <w:snapToGrid w:val="0"/>
        <w:spacing w:line="600" w:lineRule="exact"/>
        <w:ind w:right="1234"/>
        <w:jc w:val="center"/>
        <w:textAlignment w:val="baseline"/>
        <w:rPr>
          <w:rFonts w:hint="default" w:ascii="宋体" w:hAnsi="宋体" w:eastAsia="宋体" w:cs="Times New Roman"/>
          <w:color w:val="auto"/>
          <w:sz w:val="32"/>
          <w:szCs w:val="32"/>
          <w:highlight w:val="none"/>
          <w:lang w:val="en-US" w:eastAsia="zh-CN"/>
        </w:rPr>
      </w:pPr>
      <w:r>
        <w:rPr>
          <w:rFonts w:hint="eastAsia" w:ascii="宋体" w:hAnsi="宋体" w:eastAsia="宋体" w:cs="Times New Roman"/>
          <w:color w:val="auto"/>
          <w:sz w:val="32"/>
          <w:szCs w:val="32"/>
          <w:highlight w:val="none"/>
        </w:rPr>
        <w:t>采购项目编号：</w:t>
      </w:r>
    </w:p>
    <w:p w14:paraId="1C0EB038">
      <w:pPr>
        <w:widowControl/>
        <w:kinsoku w:val="0"/>
        <w:autoSpaceDE w:val="0"/>
        <w:autoSpaceDN w:val="0"/>
        <w:adjustRightInd w:val="0"/>
        <w:snapToGrid w:val="0"/>
        <w:spacing w:line="600" w:lineRule="exact"/>
        <w:ind w:right="1234"/>
        <w:jc w:val="center"/>
        <w:textAlignment w:val="baseline"/>
        <w:rPr>
          <w:rFonts w:hint="default" w:ascii="宋体" w:hAnsi="宋体" w:eastAsia="宋体" w:cs="Times New Roman"/>
          <w:color w:val="auto"/>
          <w:sz w:val="32"/>
          <w:szCs w:val="32"/>
          <w:highlight w:val="none"/>
          <w:lang w:val="en-US"/>
        </w:rPr>
      </w:pPr>
      <w:r>
        <w:rPr>
          <w:rFonts w:hint="eastAsia" w:ascii="宋体" w:hAnsi="宋体" w:eastAsia="宋体" w:cs="Times New Roman"/>
          <w:color w:val="auto"/>
          <w:sz w:val="32"/>
          <w:szCs w:val="32"/>
          <w:highlight w:val="none"/>
        </w:rPr>
        <w:t>采购计划编号</w:t>
      </w:r>
      <w:r>
        <w:rPr>
          <w:rFonts w:hint="eastAsia" w:ascii="宋体" w:hAnsi="宋体" w:eastAsia="宋体" w:cs="Times New Roman"/>
          <w:color w:val="auto"/>
          <w:sz w:val="32"/>
          <w:szCs w:val="32"/>
          <w:highlight w:val="none"/>
          <w:lang w:eastAsia="zh-CN"/>
        </w:rPr>
        <w:t>：</w:t>
      </w:r>
      <w:r>
        <w:rPr>
          <w:rFonts w:hint="eastAsia" w:ascii="宋体" w:hAnsi="宋体" w:cs="Times New Roman"/>
          <w:color w:val="auto"/>
          <w:sz w:val="32"/>
          <w:szCs w:val="32"/>
          <w:highlight w:val="none"/>
          <w:lang w:val="en-US" w:eastAsia="zh-CN"/>
        </w:rPr>
        <w:t xml:space="preserve"> </w:t>
      </w:r>
    </w:p>
    <w:p w14:paraId="72935A28">
      <w:pPr>
        <w:widowControl/>
        <w:kinsoku w:val="0"/>
        <w:autoSpaceDE w:val="0"/>
        <w:autoSpaceDN w:val="0"/>
        <w:adjustRightInd w:val="0"/>
        <w:snapToGrid w:val="0"/>
        <w:spacing w:line="600" w:lineRule="exact"/>
        <w:ind w:right="1234"/>
        <w:jc w:val="left"/>
        <w:textAlignment w:val="baseline"/>
        <w:rPr>
          <w:rFonts w:ascii="宋体" w:hAnsi="宋体" w:eastAsia="宋体" w:cs="Times New Roman"/>
          <w:color w:val="auto"/>
          <w:sz w:val="32"/>
          <w:szCs w:val="32"/>
          <w:highlight w:val="none"/>
        </w:rPr>
      </w:pPr>
    </w:p>
    <w:p w14:paraId="3CC0CE57">
      <w:pPr>
        <w:widowControl/>
        <w:kinsoku w:val="0"/>
        <w:autoSpaceDE w:val="0"/>
        <w:autoSpaceDN w:val="0"/>
        <w:adjustRightInd w:val="0"/>
        <w:snapToGrid w:val="0"/>
        <w:spacing w:line="254" w:lineRule="auto"/>
        <w:jc w:val="left"/>
        <w:textAlignment w:val="baseline"/>
        <w:rPr>
          <w:rFonts w:ascii="宋体" w:hAnsi="宋体" w:eastAsia="宋体" w:cs="Arial"/>
          <w:snapToGrid w:val="0"/>
          <w:color w:val="auto"/>
          <w:kern w:val="0"/>
          <w:sz w:val="32"/>
          <w:szCs w:val="32"/>
          <w:highlight w:val="none"/>
        </w:rPr>
      </w:pPr>
    </w:p>
    <w:p w14:paraId="439C8198">
      <w:pPr>
        <w:widowControl/>
        <w:kinsoku w:val="0"/>
        <w:autoSpaceDE w:val="0"/>
        <w:autoSpaceDN w:val="0"/>
        <w:adjustRightInd w:val="0"/>
        <w:snapToGrid w:val="0"/>
        <w:spacing w:line="254" w:lineRule="auto"/>
        <w:jc w:val="left"/>
        <w:textAlignment w:val="baseline"/>
        <w:rPr>
          <w:rFonts w:ascii="宋体" w:hAnsi="宋体" w:eastAsia="宋体" w:cs="Arial"/>
          <w:snapToGrid w:val="0"/>
          <w:color w:val="auto"/>
          <w:kern w:val="0"/>
          <w:sz w:val="32"/>
          <w:szCs w:val="32"/>
          <w:highlight w:val="none"/>
        </w:rPr>
      </w:pPr>
    </w:p>
    <w:p w14:paraId="6DF0AE58">
      <w:pPr>
        <w:widowControl/>
        <w:kinsoku w:val="0"/>
        <w:autoSpaceDE w:val="0"/>
        <w:autoSpaceDN w:val="0"/>
        <w:adjustRightInd w:val="0"/>
        <w:snapToGrid w:val="0"/>
        <w:spacing w:line="254" w:lineRule="auto"/>
        <w:jc w:val="left"/>
        <w:textAlignment w:val="baseline"/>
        <w:rPr>
          <w:rFonts w:ascii="宋体" w:hAnsi="宋体" w:eastAsia="宋体" w:cs="Arial"/>
          <w:snapToGrid w:val="0"/>
          <w:color w:val="auto"/>
          <w:kern w:val="0"/>
          <w:sz w:val="32"/>
          <w:szCs w:val="32"/>
          <w:highlight w:val="none"/>
        </w:rPr>
      </w:pPr>
    </w:p>
    <w:p w14:paraId="367495EC">
      <w:pPr>
        <w:widowControl/>
        <w:kinsoku w:val="0"/>
        <w:autoSpaceDE w:val="0"/>
        <w:autoSpaceDN w:val="0"/>
        <w:adjustRightInd w:val="0"/>
        <w:snapToGrid w:val="0"/>
        <w:spacing w:line="254" w:lineRule="auto"/>
        <w:jc w:val="left"/>
        <w:textAlignment w:val="baseline"/>
        <w:rPr>
          <w:rFonts w:ascii="宋体" w:hAnsi="宋体" w:eastAsia="宋体" w:cs="Arial"/>
          <w:snapToGrid w:val="0"/>
          <w:color w:val="auto"/>
          <w:kern w:val="0"/>
          <w:sz w:val="32"/>
          <w:szCs w:val="32"/>
          <w:highlight w:val="none"/>
        </w:rPr>
      </w:pPr>
    </w:p>
    <w:p w14:paraId="15BFCE37">
      <w:pPr>
        <w:widowControl/>
        <w:kinsoku w:val="0"/>
        <w:autoSpaceDE w:val="0"/>
        <w:autoSpaceDN w:val="0"/>
        <w:adjustRightInd w:val="0"/>
        <w:snapToGrid w:val="0"/>
        <w:spacing w:line="600" w:lineRule="exact"/>
        <w:ind w:right="1234"/>
        <w:jc w:val="left"/>
        <w:textAlignment w:val="baseline"/>
        <w:rPr>
          <w:rFonts w:hint="eastAsia" w:ascii="宋体" w:hAnsi="宋体" w:eastAsia="宋体" w:cs="Times New Roman"/>
          <w:color w:val="auto"/>
          <w:sz w:val="32"/>
          <w:szCs w:val="32"/>
          <w:highlight w:val="none"/>
          <w:lang w:eastAsia="zh-CN"/>
        </w:rPr>
      </w:pPr>
      <w:r>
        <w:rPr>
          <w:rFonts w:hint="eastAsia" w:ascii="宋体" w:hAnsi="宋体" w:eastAsia="宋体" w:cs="Times New Roman"/>
          <w:color w:val="auto"/>
          <w:sz w:val="32"/>
          <w:szCs w:val="32"/>
          <w:highlight w:val="none"/>
        </w:rPr>
        <w:t>采购单位(甲方)：</w:t>
      </w:r>
      <w:r>
        <w:rPr>
          <w:rFonts w:hint="eastAsia" w:ascii="宋体" w:hAnsi="宋体" w:eastAsia="宋体" w:cs="Times New Roman"/>
          <w:color w:val="auto"/>
          <w:sz w:val="32"/>
          <w:szCs w:val="32"/>
          <w:highlight w:val="none"/>
          <w:u w:val="single"/>
          <w:lang w:eastAsia="zh-CN"/>
        </w:rPr>
        <w:t>广西物流职业技术学院</w:t>
      </w:r>
    </w:p>
    <w:p w14:paraId="567F594C">
      <w:pPr>
        <w:widowControl/>
        <w:kinsoku w:val="0"/>
        <w:autoSpaceDE w:val="0"/>
        <w:autoSpaceDN w:val="0"/>
        <w:adjustRightInd w:val="0"/>
        <w:snapToGrid w:val="0"/>
        <w:spacing w:line="600" w:lineRule="exact"/>
        <w:ind w:right="1134"/>
        <w:jc w:val="left"/>
        <w:textAlignment w:val="baseline"/>
        <w:rPr>
          <w:rFonts w:hint="eastAsia" w:ascii="宋体" w:hAnsi="宋体" w:eastAsia="宋体" w:cs="Times New Roman"/>
          <w:color w:val="auto"/>
          <w:kern w:val="2"/>
          <w:sz w:val="21"/>
          <w:szCs w:val="20"/>
          <w:highlight w:val="none"/>
          <w:lang w:val="en-US" w:eastAsia="zh-CN" w:bidi="ar-SA"/>
        </w:rPr>
      </w:pPr>
      <w:r>
        <w:rPr>
          <w:rFonts w:hint="eastAsia" w:ascii="宋体" w:hAnsi="宋体" w:eastAsia="宋体" w:cs="Times New Roman"/>
          <w:color w:val="auto"/>
          <w:sz w:val="32"/>
          <w:szCs w:val="32"/>
          <w:highlight w:val="none"/>
          <w:lang w:eastAsia="zh-CN"/>
        </w:rPr>
        <w:t>施工</w:t>
      </w:r>
      <w:r>
        <w:rPr>
          <w:rFonts w:hint="eastAsia" w:ascii="宋体" w:hAnsi="宋体" w:eastAsia="宋体" w:cs="Times New Roman"/>
          <w:color w:val="auto"/>
          <w:sz w:val="32"/>
          <w:szCs w:val="32"/>
          <w:highlight w:val="none"/>
        </w:rPr>
        <w:t>单位(乙方)：</w:t>
      </w:r>
    </w:p>
    <w:p w14:paraId="5C3A65F3">
      <w:pPr>
        <w:widowControl w:val="0"/>
        <w:jc w:val="center"/>
        <w:rPr>
          <w:rFonts w:hint="eastAsia" w:ascii="宋体" w:hAnsi="宋体" w:eastAsia="宋体" w:cs="Times New Roman"/>
          <w:color w:val="auto"/>
          <w:kern w:val="2"/>
          <w:sz w:val="21"/>
          <w:szCs w:val="20"/>
          <w:highlight w:val="none"/>
          <w:lang w:val="en-US" w:eastAsia="zh-CN" w:bidi="ar-SA"/>
        </w:rPr>
      </w:pPr>
    </w:p>
    <w:p w14:paraId="0AE06C44">
      <w:pPr>
        <w:widowControl w:val="0"/>
        <w:jc w:val="center"/>
        <w:rPr>
          <w:rFonts w:hint="eastAsia" w:ascii="宋体" w:hAnsi="宋体" w:eastAsia="宋体" w:cs="宋体"/>
          <w:color w:val="auto"/>
          <w:szCs w:val="21"/>
          <w:highlight w:val="none"/>
        </w:rPr>
      </w:pPr>
      <w:r>
        <w:rPr>
          <w:rFonts w:hint="eastAsia" w:ascii="宋体" w:hAnsi="宋体" w:eastAsia="宋体" w:cs="Times New Roman"/>
          <w:color w:val="auto"/>
          <w:kern w:val="2"/>
          <w:sz w:val="21"/>
          <w:szCs w:val="20"/>
          <w:highlight w:val="none"/>
          <w:lang w:val="en-US" w:eastAsia="zh-CN" w:bidi="ar-SA"/>
        </w:rPr>
        <w:t>合同使用说明：根据《中华人民共和国政府采购法》、《中华人民共和国民法典》等法律、法规规定，按</w:t>
      </w:r>
      <w:r>
        <w:rPr>
          <w:rFonts w:hint="eastAsia" w:ascii="Times New Roman" w:hAnsi="Times New Roman" w:eastAsia="宋体" w:cs="Times New Roman"/>
          <w:color w:val="auto"/>
          <w:szCs w:val="21"/>
          <w:highlight w:val="none"/>
        </w:rPr>
        <w:t>照竞争性</w:t>
      </w:r>
      <w:r>
        <w:rPr>
          <w:rFonts w:hint="eastAsia" w:ascii="Times New Roman" w:hAnsi="Times New Roman" w:eastAsia="宋体" w:cs="Times New Roman"/>
          <w:color w:val="auto"/>
          <w:szCs w:val="21"/>
          <w:highlight w:val="none"/>
          <w:lang w:eastAsia="zh-CN"/>
        </w:rPr>
        <w:t>磋商</w:t>
      </w:r>
      <w:r>
        <w:rPr>
          <w:rFonts w:hint="eastAsia" w:ascii="Times New Roman" w:hAnsi="Times New Roman" w:eastAsia="宋体" w:cs="Times New Roman"/>
          <w:color w:val="auto"/>
          <w:szCs w:val="21"/>
          <w:highlight w:val="none"/>
        </w:rPr>
        <w:t>文件规定条款和成交供应商竞争性</w:t>
      </w:r>
      <w:r>
        <w:rPr>
          <w:rFonts w:hint="eastAsia" w:ascii="Times New Roman" w:hAnsi="Times New Roman" w:eastAsia="宋体" w:cs="Times New Roman"/>
          <w:color w:val="auto"/>
          <w:szCs w:val="21"/>
          <w:highlight w:val="none"/>
          <w:lang w:eastAsia="zh-CN"/>
        </w:rPr>
        <w:t>磋商</w:t>
      </w:r>
      <w:r>
        <w:rPr>
          <w:rFonts w:hint="eastAsia" w:ascii="Times New Roman" w:hAnsi="Times New Roman" w:eastAsia="宋体" w:cs="Times New Roman"/>
          <w:color w:val="auto"/>
          <w:szCs w:val="21"/>
          <w:highlight w:val="none"/>
        </w:rPr>
        <w:t>响应文件及其承诺，甲乙双方签订本合同。</w:t>
      </w:r>
    </w:p>
    <w:p w14:paraId="72EBAC8E">
      <w:pPr>
        <w:pStyle w:val="2"/>
        <w:rPr>
          <w:rFonts w:hint="eastAsia" w:ascii="宋体" w:hAnsi="宋体" w:eastAsia="宋体" w:cs="宋体"/>
          <w:color w:val="auto"/>
          <w:szCs w:val="21"/>
          <w:highlight w:val="none"/>
        </w:rPr>
      </w:pPr>
    </w:p>
    <w:p w14:paraId="4B2683DA">
      <w:pPr>
        <w:rPr>
          <w:rFonts w:hint="eastAsia" w:ascii="Times New Roman" w:hAnsi="Times New Roman" w:eastAsia="宋体" w:cs="黑体"/>
          <w:b/>
          <w:bCs/>
          <w:color w:val="auto"/>
          <w:kern w:val="44"/>
          <w:sz w:val="44"/>
          <w:szCs w:val="44"/>
          <w:highlight w:val="none"/>
          <w:lang w:val="en-US" w:eastAsia="zh-CN" w:bidi="ar-SA"/>
        </w:rPr>
      </w:pPr>
      <w:r>
        <w:rPr>
          <w:rFonts w:hint="eastAsia" w:ascii="Times New Roman" w:hAnsi="Times New Roman" w:eastAsia="宋体" w:cs="黑体"/>
          <w:b/>
          <w:bCs/>
          <w:color w:val="auto"/>
          <w:kern w:val="44"/>
          <w:sz w:val="44"/>
          <w:szCs w:val="44"/>
          <w:highlight w:val="none"/>
          <w:lang w:val="en-US" w:eastAsia="zh-CN" w:bidi="ar-SA"/>
        </w:rPr>
        <w:br w:type="page"/>
      </w:r>
    </w:p>
    <w:p w14:paraId="01B86566">
      <w:pPr>
        <w:pStyle w:val="3"/>
        <w:spacing w:before="0" w:after="0" w:line="240" w:lineRule="auto"/>
        <w:jc w:val="center"/>
        <w:rPr>
          <w:rFonts w:ascii="宋体" w:hAnsi="宋体" w:cs="仿宋"/>
          <w:snapToGrid w:val="0"/>
          <w:color w:val="auto"/>
          <w:kern w:val="0"/>
          <w:sz w:val="28"/>
          <w:szCs w:val="28"/>
          <w:highlight w:val="none"/>
        </w:rPr>
      </w:pPr>
      <w:bookmarkStart w:id="254" w:name="_Toc28233"/>
      <w:r>
        <w:rPr>
          <w:rFonts w:ascii="宋体" w:hAnsi="宋体" w:cs="仿宋"/>
          <w:snapToGrid w:val="0"/>
          <w:color w:val="auto"/>
          <w:kern w:val="0"/>
          <w:sz w:val="28"/>
          <w:szCs w:val="28"/>
          <w:highlight w:val="none"/>
        </w:rPr>
        <w:t>政府采购政府投资工程施工合同</w:t>
      </w:r>
      <w:bookmarkEnd w:id="254"/>
    </w:p>
    <w:p w14:paraId="57DFFA3C">
      <w:pPr>
        <w:widowControl/>
        <w:kinsoku w:val="0"/>
        <w:autoSpaceDE w:val="0"/>
        <w:autoSpaceDN w:val="0"/>
        <w:adjustRightInd w:val="0"/>
        <w:snapToGrid w:val="0"/>
        <w:spacing w:line="261" w:lineRule="auto"/>
        <w:jc w:val="left"/>
        <w:textAlignment w:val="baseline"/>
        <w:rPr>
          <w:rFonts w:ascii="宋体" w:hAnsi="宋体" w:cs="Arial"/>
          <w:snapToGrid w:val="0"/>
          <w:color w:val="auto"/>
          <w:kern w:val="0"/>
          <w:szCs w:val="21"/>
          <w:highlight w:val="none"/>
        </w:rPr>
      </w:pPr>
    </w:p>
    <w:p w14:paraId="5B72DD25">
      <w:pPr>
        <w:widowControl/>
        <w:kinsoku w:val="0"/>
        <w:wordWrap w:val="0"/>
        <w:autoSpaceDE w:val="0"/>
        <w:autoSpaceDN w:val="0"/>
        <w:adjustRightInd w:val="0"/>
        <w:snapToGrid w:val="0"/>
        <w:spacing w:before="58" w:line="229" w:lineRule="auto"/>
        <w:jc w:val="right"/>
        <w:textAlignment w:val="baseline"/>
        <w:rPr>
          <w:rFonts w:ascii="宋体" w:hAnsi="宋体" w:cs="Arial"/>
          <w:snapToGrid w:val="0"/>
          <w:color w:val="auto"/>
          <w:kern w:val="0"/>
          <w:szCs w:val="21"/>
          <w:highlight w:val="none"/>
        </w:rPr>
      </w:pPr>
      <w:r>
        <w:rPr>
          <w:rFonts w:ascii="宋体" w:hAnsi="宋体" w:cs="仿宋"/>
          <w:snapToGrid w:val="0"/>
          <w:color w:val="auto"/>
          <w:kern w:val="0"/>
          <w:sz w:val="18"/>
          <w:szCs w:val="18"/>
          <w:highlight w:val="none"/>
        </w:rPr>
        <w:t>合同编号：</w:t>
      </w:r>
      <w:r>
        <w:rPr>
          <w:rFonts w:hint="eastAsia" w:ascii="宋体" w:hAnsi="宋体" w:cs="仿宋"/>
          <w:snapToGrid w:val="0"/>
          <w:color w:val="auto"/>
          <w:kern w:val="0"/>
          <w:sz w:val="18"/>
          <w:szCs w:val="18"/>
          <w:highlight w:val="none"/>
          <w:u w:val="single"/>
        </w:rPr>
        <w:t xml:space="preserve">按学校序号 </w:t>
      </w:r>
    </w:p>
    <w:p w14:paraId="3AF984F3">
      <w:pPr>
        <w:widowControl/>
        <w:kinsoku w:val="0"/>
        <w:autoSpaceDE w:val="0"/>
        <w:autoSpaceDN w:val="0"/>
        <w:adjustRightInd w:val="0"/>
        <w:snapToGrid w:val="0"/>
        <w:spacing w:line="500" w:lineRule="exact"/>
        <w:jc w:val="left"/>
        <w:textAlignment w:val="baseline"/>
        <w:rPr>
          <w:rFonts w:hint="eastAsia" w:ascii="宋体" w:hAnsi="宋体" w:eastAsia="宋体" w:cs="宋体"/>
          <w:snapToGrid w:val="0"/>
          <w:color w:val="auto"/>
          <w:kern w:val="0"/>
          <w:szCs w:val="21"/>
          <w:highlight w:val="none"/>
          <w:lang w:eastAsia="zh-CN"/>
        </w:rPr>
      </w:pPr>
      <w:r>
        <w:rPr>
          <w:rFonts w:ascii="宋体" w:hAnsi="宋体" w:cs="宋体"/>
          <w:snapToGrid w:val="0"/>
          <w:color w:val="auto"/>
          <w:kern w:val="0"/>
          <w:szCs w:val="21"/>
          <w:highlight w:val="none"/>
        </w:rPr>
        <w:t>采购单位(甲方)：</w:t>
      </w:r>
      <w:r>
        <w:rPr>
          <w:rFonts w:hint="eastAsia" w:ascii="宋体" w:hAnsi="宋体" w:cs="宋体"/>
          <w:snapToGrid w:val="0"/>
          <w:color w:val="auto"/>
          <w:kern w:val="0"/>
          <w:szCs w:val="21"/>
          <w:highlight w:val="none"/>
          <w:u w:val="single"/>
          <w:lang w:eastAsia="zh-CN"/>
        </w:rPr>
        <w:t>广西物流职业技术学院</w:t>
      </w:r>
    </w:p>
    <w:p w14:paraId="294052AD">
      <w:pPr>
        <w:widowControl/>
        <w:kinsoku w:val="0"/>
        <w:autoSpaceDE w:val="0"/>
        <w:autoSpaceDN w:val="0"/>
        <w:adjustRightInd w:val="0"/>
        <w:snapToGrid w:val="0"/>
        <w:spacing w:line="500" w:lineRule="exact"/>
        <w:jc w:val="left"/>
        <w:textAlignment w:val="baseline"/>
        <w:rPr>
          <w:rFonts w:ascii="宋体" w:hAnsi="宋体" w:cs="宋体"/>
          <w:snapToGrid w:val="0"/>
          <w:color w:val="auto"/>
          <w:kern w:val="0"/>
          <w:szCs w:val="21"/>
          <w:highlight w:val="none"/>
        </w:rPr>
      </w:pPr>
      <w:r>
        <w:rPr>
          <w:rFonts w:ascii="宋体" w:hAnsi="宋体" w:cs="宋体"/>
          <w:snapToGrid w:val="0"/>
          <w:color w:val="auto"/>
          <w:kern w:val="0"/>
          <w:szCs w:val="21"/>
          <w:highlight w:val="none"/>
        </w:rPr>
        <w:t>施工单位(乙方)：</w:t>
      </w:r>
    </w:p>
    <w:p w14:paraId="4B18FDEA">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为了维护甲乙双方合法权益，根据《中华人民共和国政府采购法》、《中华人民共和国民法典》、《中华人民共和国建筑法》等相关法律法规的规定，签订本合同，以资共同遵守。</w:t>
      </w:r>
    </w:p>
    <w:p w14:paraId="39D90936">
      <w:pPr>
        <w:widowControl/>
        <w:kinsoku w:val="0"/>
        <w:autoSpaceDE w:val="0"/>
        <w:autoSpaceDN w:val="0"/>
        <w:adjustRightInd w:val="0"/>
        <w:snapToGrid w:val="0"/>
        <w:spacing w:line="500" w:lineRule="exact"/>
        <w:ind w:firstLine="420" w:firstLineChars="200"/>
        <w:textAlignment w:val="baseline"/>
        <w:rPr>
          <w:rFonts w:ascii="宋体" w:hAnsi="宋体"/>
          <w:color w:val="auto"/>
          <w:szCs w:val="22"/>
          <w:highlight w:val="none"/>
        </w:rPr>
      </w:pPr>
      <w:r>
        <w:rPr>
          <w:rFonts w:ascii="宋体" w:hAnsi="宋体"/>
          <w:color w:val="auto"/>
          <w:szCs w:val="22"/>
          <w:highlight w:val="none"/>
        </w:rPr>
        <w:t>一、</w:t>
      </w:r>
      <w:r>
        <w:rPr>
          <w:rFonts w:ascii="宋体" w:hAnsi="宋体" w:cs="宋体"/>
          <w:snapToGrid w:val="0"/>
          <w:color w:val="auto"/>
          <w:kern w:val="0"/>
          <w:szCs w:val="21"/>
          <w:highlight w:val="none"/>
        </w:rPr>
        <w:t>工程</w:t>
      </w:r>
      <w:r>
        <w:rPr>
          <w:rFonts w:ascii="宋体" w:hAnsi="宋体"/>
          <w:color w:val="auto"/>
          <w:szCs w:val="22"/>
          <w:highlight w:val="none"/>
        </w:rPr>
        <w:t>概况</w:t>
      </w:r>
    </w:p>
    <w:p w14:paraId="594956A5">
      <w:pPr>
        <w:spacing w:line="440" w:lineRule="exact"/>
        <w:ind w:firstLine="420" w:firstLineChars="200"/>
        <w:rPr>
          <w:rFonts w:ascii="宋体" w:hAnsi="宋体" w:cs="宋体"/>
          <w:snapToGrid w:val="0"/>
          <w:color w:val="auto"/>
          <w:kern w:val="0"/>
          <w:szCs w:val="21"/>
          <w:highlight w:val="none"/>
          <w:u w:val="single"/>
        </w:rPr>
      </w:pPr>
      <w:r>
        <w:rPr>
          <w:rFonts w:ascii="宋体" w:hAnsi="宋体" w:cs="Arial"/>
          <w:snapToGrid w:val="0"/>
          <w:color w:val="auto"/>
          <w:kern w:val="0"/>
          <w:szCs w:val="21"/>
          <w:highlight w:val="none"/>
        </w:rPr>
        <w:t>1</w:t>
      </w:r>
      <w:r>
        <w:rPr>
          <w:rFonts w:ascii="宋体" w:hAnsi="宋体" w:cs="宋体"/>
          <w:snapToGrid w:val="0"/>
          <w:color w:val="auto"/>
          <w:kern w:val="0"/>
          <w:szCs w:val="21"/>
          <w:highlight w:val="none"/>
        </w:rPr>
        <w:t>、工程名称：</w:t>
      </w:r>
      <w:r>
        <w:rPr>
          <w:rFonts w:hint="eastAsia" w:ascii="宋体" w:hAnsi="宋体" w:cs="宋体"/>
          <w:snapToGrid w:val="0"/>
          <w:color w:val="auto"/>
          <w:kern w:val="0"/>
          <w:szCs w:val="21"/>
          <w:highlight w:val="none"/>
          <w:u w:val="single"/>
          <w:lang w:eastAsia="zh-CN"/>
        </w:rPr>
        <w:t>广西物流职业技术学院灾后装饰装修修缮项目</w:t>
      </w:r>
      <w:r>
        <w:rPr>
          <w:rFonts w:hint="eastAsia" w:ascii="宋体" w:hAnsi="宋体" w:cs="宋体"/>
          <w:snapToGrid w:val="0"/>
          <w:color w:val="auto"/>
          <w:kern w:val="0"/>
          <w:szCs w:val="21"/>
          <w:highlight w:val="none"/>
          <w:u w:val="single"/>
        </w:rPr>
        <w:t>施工合同</w:t>
      </w:r>
    </w:p>
    <w:p w14:paraId="7406691D">
      <w:pPr>
        <w:spacing w:line="440" w:lineRule="exact"/>
        <w:ind w:firstLine="420" w:firstLineChars="200"/>
        <w:rPr>
          <w:rFonts w:hint="default" w:ascii="宋体" w:hAnsi="宋体" w:eastAsia="宋体" w:cs="宋体"/>
          <w:snapToGrid w:val="0"/>
          <w:color w:val="auto"/>
          <w:kern w:val="0"/>
          <w:szCs w:val="21"/>
          <w:highlight w:val="none"/>
          <w:u w:val="single"/>
          <w:lang w:val="en-US" w:eastAsia="zh-CN"/>
        </w:rPr>
      </w:pPr>
      <w:r>
        <w:rPr>
          <w:rFonts w:ascii="宋体" w:hAnsi="宋体" w:cs="Arial"/>
          <w:snapToGrid w:val="0"/>
          <w:color w:val="auto"/>
          <w:kern w:val="0"/>
          <w:szCs w:val="21"/>
          <w:highlight w:val="none"/>
        </w:rPr>
        <w:t>2</w:t>
      </w:r>
      <w:r>
        <w:rPr>
          <w:rFonts w:ascii="宋体" w:hAnsi="宋体" w:cs="宋体"/>
          <w:snapToGrid w:val="0"/>
          <w:color w:val="auto"/>
          <w:kern w:val="0"/>
          <w:szCs w:val="21"/>
          <w:highlight w:val="none"/>
        </w:rPr>
        <w:t>、</w:t>
      </w:r>
      <w:r>
        <w:rPr>
          <w:rFonts w:ascii="宋体" w:hAnsi="宋体" w:cs="Arial"/>
          <w:snapToGrid w:val="0"/>
          <w:color w:val="auto"/>
          <w:kern w:val="0"/>
          <w:szCs w:val="21"/>
          <w:highlight w:val="none"/>
        </w:rPr>
        <w:t>工程</w:t>
      </w:r>
      <w:r>
        <w:rPr>
          <w:rFonts w:ascii="宋体" w:hAnsi="宋体" w:cs="宋体"/>
          <w:snapToGrid w:val="0"/>
          <w:color w:val="auto"/>
          <w:kern w:val="0"/>
          <w:szCs w:val="21"/>
          <w:highlight w:val="none"/>
        </w:rPr>
        <w:t>地点：</w:t>
      </w:r>
      <w:r>
        <w:rPr>
          <w:rFonts w:hint="eastAsia" w:ascii="宋体" w:hAnsi="宋体" w:cs="宋体"/>
          <w:snapToGrid w:val="0"/>
          <w:color w:val="auto"/>
          <w:kern w:val="0"/>
          <w:szCs w:val="21"/>
          <w:highlight w:val="none"/>
          <w:u w:val="single"/>
          <w:lang w:val="en-US" w:eastAsia="zh-CN"/>
        </w:rPr>
        <w:t xml:space="preserve">                                </w:t>
      </w:r>
    </w:p>
    <w:p w14:paraId="48418ED8">
      <w:pPr>
        <w:spacing w:line="440" w:lineRule="exact"/>
        <w:ind w:firstLine="420" w:firstLineChars="200"/>
        <w:rPr>
          <w:rFonts w:ascii="宋体" w:hAnsi="宋体" w:cs="宋体"/>
          <w:snapToGrid w:val="0"/>
          <w:color w:val="auto"/>
          <w:kern w:val="0"/>
          <w:szCs w:val="21"/>
          <w:highlight w:val="none"/>
        </w:rPr>
      </w:pPr>
      <w:r>
        <w:rPr>
          <w:rFonts w:ascii="宋体" w:hAnsi="宋体" w:cs="Arial"/>
          <w:snapToGrid w:val="0"/>
          <w:color w:val="auto"/>
          <w:kern w:val="0"/>
          <w:szCs w:val="21"/>
          <w:highlight w:val="none"/>
        </w:rPr>
        <w:t>3</w:t>
      </w:r>
      <w:r>
        <w:rPr>
          <w:rFonts w:ascii="宋体" w:hAnsi="宋体" w:cs="宋体"/>
          <w:snapToGrid w:val="0"/>
          <w:color w:val="auto"/>
          <w:kern w:val="0"/>
          <w:szCs w:val="21"/>
          <w:highlight w:val="none"/>
        </w:rPr>
        <w:t>、承包范围：</w:t>
      </w:r>
      <w:r>
        <w:rPr>
          <w:rFonts w:ascii="宋体" w:hAnsi="宋体" w:cs="宋体"/>
          <w:snapToGrid w:val="0"/>
          <w:color w:val="auto"/>
          <w:kern w:val="0"/>
          <w:szCs w:val="21"/>
          <w:highlight w:val="none"/>
          <w:u w:val="single"/>
        </w:rPr>
        <w:t>工程量清单或预算书(详见附件)范围内所有工作内容</w:t>
      </w:r>
    </w:p>
    <w:p w14:paraId="177546DF">
      <w:pPr>
        <w:spacing w:line="440" w:lineRule="exact"/>
        <w:ind w:firstLine="420" w:firstLineChars="200"/>
        <w:rPr>
          <w:rFonts w:ascii="宋体" w:hAnsi="宋体" w:cs="宋体"/>
          <w:snapToGrid w:val="0"/>
          <w:color w:val="auto"/>
          <w:kern w:val="0"/>
          <w:szCs w:val="21"/>
          <w:highlight w:val="none"/>
        </w:rPr>
      </w:pPr>
      <w:r>
        <w:rPr>
          <w:rFonts w:ascii="宋体" w:hAnsi="宋体" w:cs="Arial"/>
          <w:snapToGrid w:val="0"/>
          <w:color w:val="auto"/>
          <w:kern w:val="0"/>
          <w:szCs w:val="21"/>
          <w:highlight w:val="none"/>
        </w:rPr>
        <w:t>4</w:t>
      </w:r>
      <w:r>
        <w:rPr>
          <w:rFonts w:ascii="宋体" w:hAnsi="宋体" w:cs="宋体"/>
          <w:snapToGrid w:val="0"/>
          <w:color w:val="auto"/>
          <w:kern w:val="0"/>
          <w:szCs w:val="21"/>
          <w:highlight w:val="none"/>
        </w:rPr>
        <w:t>、承包方式：选择以下第</w:t>
      </w:r>
      <w:r>
        <w:rPr>
          <w:rFonts w:ascii="宋体" w:hAnsi="宋体" w:cs="宋体"/>
          <w:snapToGrid w:val="0"/>
          <w:color w:val="auto"/>
          <w:kern w:val="0"/>
          <w:szCs w:val="21"/>
          <w:highlight w:val="none"/>
          <w:u w:val="single"/>
        </w:rPr>
        <w:t>（1）</w:t>
      </w:r>
      <w:r>
        <w:rPr>
          <w:rFonts w:ascii="宋体" w:hAnsi="宋体" w:cs="宋体"/>
          <w:snapToGrid w:val="0"/>
          <w:color w:val="auto"/>
          <w:kern w:val="0"/>
          <w:szCs w:val="21"/>
          <w:highlight w:val="none"/>
        </w:rPr>
        <w:t>种承包方式。</w:t>
      </w:r>
    </w:p>
    <w:p w14:paraId="3D3D85D5">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（1）包工包料，即乙方负责施工及采购工程所需的全部主材、辅材。</w:t>
      </w:r>
    </w:p>
    <w:p w14:paraId="2F139B1F">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（2）包工包辅料，即甲方负责采购主材，详见《材料交接单》，乙方负责施工及全部辅料的采购。</w:t>
      </w:r>
    </w:p>
    <w:p w14:paraId="692182F0">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（3）包清工，即乙方包工不包料，由甲方自行购买所有材料，详见《材料交接单》。</w:t>
      </w:r>
    </w:p>
    <w:p w14:paraId="2056C8E0">
      <w:pPr>
        <w:spacing w:line="440" w:lineRule="exact"/>
        <w:ind w:firstLine="420" w:firstLineChars="200"/>
        <w:rPr>
          <w:rFonts w:ascii="宋体" w:hAnsi="宋体"/>
          <w:color w:val="auto"/>
          <w:szCs w:val="22"/>
          <w:highlight w:val="none"/>
        </w:rPr>
      </w:pPr>
      <w:r>
        <w:rPr>
          <w:rFonts w:ascii="宋体" w:hAnsi="宋体"/>
          <w:color w:val="auto"/>
          <w:szCs w:val="22"/>
          <w:highlight w:val="none"/>
        </w:rPr>
        <w:t>二、</w:t>
      </w:r>
      <w:r>
        <w:rPr>
          <w:rFonts w:ascii="宋体" w:hAnsi="宋体" w:cs="宋体"/>
          <w:snapToGrid w:val="0"/>
          <w:color w:val="auto"/>
          <w:kern w:val="0"/>
          <w:szCs w:val="21"/>
          <w:highlight w:val="none"/>
        </w:rPr>
        <w:t>资金来源</w:t>
      </w:r>
      <w:r>
        <w:rPr>
          <w:rFonts w:ascii="宋体" w:hAnsi="宋体"/>
          <w:color w:val="auto"/>
          <w:szCs w:val="22"/>
          <w:highlight w:val="none"/>
        </w:rPr>
        <w:t>及支付方式</w:t>
      </w:r>
    </w:p>
    <w:p w14:paraId="023CDC77">
      <w:pPr>
        <w:widowControl/>
        <w:kinsoku w:val="0"/>
        <w:autoSpaceDE w:val="0"/>
        <w:autoSpaceDN w:val="0"/>
        <w:adjustRightInd w:val="0"/>
        <w:snapToGrid w:val="0"/>
        <w:spacing w:line="500" w:lineRule="exact"/>
        <w:ind w:right="624"/>
        <w:textAlignment w:val="baseline"/>
        <w:rPr>
          <w:rFonts w:ascii="宋体" w:hAnsi="宋体" w:cs="宋体"/>
          <w:snapToGrid w:val="0"/>
          <w:color w:val="auto"/>
          <w:kern w:val="0"/>
          <w:szCs w:val="21"/>
          <w:highlight w:val="none"/>
        </w:rPr>
      </w:pPr>
      <w:r>
        <w:rPr>
          <w:rFonts w:ascii="宋体" w:hAnsi="宋体" w:cs="宋体"/>
          <w:snapToGrid w:val="0"/>
          <w:color w:val="auto"/>
          <w:kern w:val="0"/>
          <w:szCs w:val="21"/>
          <w:highlight w:val="none"/>
        </w:rPr>
        <w:t>金额单位：元</w:t>
      </w:r>
    </w:p>
    <w:tbl>
      <w:tblPr>
        <w:tblStyle w:val="29"/>
        <w:tblW w:w="88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1496"/>
        <w:gridCol w:w="1319"/>
        <w:gridCol w:w="623"/>
        <w:gridCol w:w="1598"/>
        <w:gridCol w:w="1711"/>
        <w:gridCol w:w="1492"/>
      </w:tblGrid>
      <w:tr w14:paraId="45F33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638"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022192F9">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ascii="宋体" w:hAnsi="宋体" w:cs="仿宋"/>
                <w:snapToGrid w:val="0"/>
                <w:color w:val="auto"/>
                <w:kern w:val="0"/>
                <w:szCs w:val="21"/>
                <w:highlight w:val="none"/>
              </w:rPr>
              <w:t>序号</w:t>
            </w:r>
          </w:p>
        </w:tc>
        <w:tc>
          <w:tcPr>
            <w:tcW w:w="1496"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5D938D4E">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ascii="宋体" w:hAnsi="宋体" w:cs="仿宋"/>
                <w:snapToGrid w:val="0"/>
                <w:color w:val="auto"/>
                <w:kern w:val="0"/>
                <w:szCs w:val="21"/>
                <w:highlight w:val="none"/>
              </w:rPr>
              <w:t>采购计划文号</w:t>
            </w:r>
          </w:p>
        </w:tc>
        <w:tc>
          <w:tcPr>
            <w:tcW w:w="1319"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7806DA50">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ascii="宋体" w:hAnsi="宋体" w:cs="仿宋"/>
                <w:snapToGrid w:val="0"/>
                <w:color w:val="auto"/>
                <w:kern w:val="0"/>
                <w:szCs w:val="21"/>
                <w:highlight w:val="none"/>
              </w:rPr>
              <w:t>采购目录</w:t>
            </w:r>
          </w:p>
        </w:tc>
        <w:tc>
          <w:tcPr>
            <w:tcW w:w="623"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22A97932">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ascii="宋体" w:hAnsi="宋体" w:cs="仿宋"/>
                <w:snapToGrid w:val="0"/>
                <w:color w:val="auto"/>
                <w:kern w:val="0"/>
                <w:szCs w:val="21"/>
                <w:highlight w:val="none"/>
              </w:rPr>
              <w:t>数量</w:t>
            </w:r>
          </w:p>
        </w:tc>
        <w:tc>
          <w:tcPr>
            <w:tcW w:w="1598"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0E758527">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ascii="宋体" w:hAnsi="宋体" w:cs="仿宋"/>
                <w:snapToGrid w:val="0"/>
                <w:color w:val="auto"/>
                <w:kern w:val="0"/>
                <w:szCs w:val="21"/>
                <w:highlight w:val="none"/>
              </w:rPr>
              <w:t>本次使用金额</w:t>
            </w:r>
          </w:p>
        </w:tc>
        <w:tc>
          <w:tcPr>
            <w:tcW w:w="1711"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5D9288E4">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ascii="宋体" w:hAnsi="宋体" w:cs="仿宋"/>
                <w:snapToGrid w:val="0"/>
                <w:color w:val="auto"/>
                <w:kern w:val="0"/>
                <w:szCs w:val="21"/>
                <w:highlight w:val="none"/>
              </w:rPr>
              <w:t>资金来源性质</w:t>
            </w:r>
          </w:p>
        </w:tc>
        <w:tc>
          <w:tcPr>
            <w:tcW w:w="1492"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0CBAF4B6">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ascii="宋体" w:hAnsi="宋体" w:cs="仿宋"/>
                <w:snapToGrid w:val="0"/>
                <w:color w:val="auto"/>
                <w:kern w:val="0"/>
                <w:szCs w:val="21"/>
                <w:highlight w:val="none"/>
              </w:rPr>
              <w:t>资金支付方式</w:t>
            </w:r>
          </w:p>
        </w:tc>
      </w:tr>
      <w:tr w14:paraId="04AEA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638"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427FC02D">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ascii="宋体" w:hAnsi="宋体" w:cs="仿宋"/>
                <w:snapToGrid w:val="0"/>
                <w:color w:val="auto"/>
                <w:kern w:val="0"/>
                <w:szCs w:val="21"/>
                <w:highlight w:val="none"/>
              </w:rPr>
              <w:t>1</w:t>
            </w:r>
          </w:p>
        </w:tc>
        <w:tc>
          <w:tcPr>
            <w:tcW w:w="1496"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5405CCAF">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ascii="宋体" w:hAnsi="宋体" w:cs="仿宋"/>
                <w:snapToGrid w:val="0"/>
                <w:color w:val="auto"/>
                <w:kern w:val="0"/>
                <w:szCs w:val="21"/>
                <w:highlight w:val="none"/>
              </w:rPr>
              <w:t>广西政采[202</w:t>
            </w:r>
            <w:r>
              <w:rPr>
                <w:rFonts w:hint="eastAsia" w:ascii="宋体" w:hAnsi="宋体" w:cs="仿宋"/>
                <w:snapToGrid w:val="0"/>
                <w:color w:val="auto"/>
                <w:kern w:val="0"/>
                <w:szCs w:val="21"/>
                <w:highlight w:val="none"/>
                <w:lang w:val="en-US" w:eastAsia="zh-CN"/>
              </w:rPr>
              <w:t>6</w:t>
            </w:r>
            <w:r>
              <w:rPr>
                <w:rFonts w:ascii="宋体" w:hAnsi="宋体" w:cs="仿宋"/>
                <w:snapToGrid w:val="0"/>
                <w:color w:val="auto"/>
                <w:kern w:val="0"/>
                <w:szCs w:val="21"/>
                <w:highlight w:val="none"/>
              </w:rPr>
              <w:t>]</w:t>
            </w:r>
            <w:r>
              <w:rPr>
                <w:rFonts w:hint="eastAsia" w:ascii="宋体" w:hAnsi="宋体" w:cs="仿宋"/>
                <w:snapToGrid w:val="0"/>
                <w:color w:val="auto"/>
                <w:kern w:val="0"/>
                <w:szCs w:val="21"/>
                <w:highlight w:val="none"/>
              </w:rPr>
              <w:t>***</w:t>
            </w:r>
            <w:r>
              <w:rPr>
                <w:rFonts w:ascii="宋体" w:hAnsi="宋体" w:cs="仿宋"/>
                <w:snapToGrid w:val="0"/>
                <w:color w:val="auto"/>
                <w:kern w:val="0"/>
                <w:szCs w:val="21"/>
                <w:highlight w:val="none"/>
              </w:rPr>
              <w:t>号</w:t>
            </w:r>
          </w:p>
        </w:tc>
        <w:tc>
          <w:tcPr>
            <w:tcW w:w="1319"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59AD64F7">
            <w:pPr>
              <w:widowControl/>
              <w:kinsoku w:val="0"/>
              <w:autoSpaceDE w:val="0"/>
              <w:autoSpaceDN w:val="0"/>
              <w:adjustRightInd w:val="0"/>
              <w:snapToGrid w:val="0"/>
              <w:spacing w:line="400" w:lineRule="exact"/>
              <w:jc w:val="center"/>
              <w:textAlignment w:val="baseline"/>
              <w:rPr>
                <w:rFonts w:ascii="宋体" w:hAnsi="宋体" w:cs="仿宋"/>
                <w:b/>
                <w:snapToGrid w:val="0"/>
                <w:color w:val="auto"/>
                <w:kern w:val="0"/>
                <w:szCs w:val="21"/>
                <w:highlight w:val="none"/>
              </w:rPr>
            </w:pPr>
          </w:p>
        </w:tc>
        <w:tc>
          <w:tcPr>
            <w:tcW w:w="623"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1AACE2A6">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hint="eastAsia" w:ascii="宋体" w:hAnsi="宋体" w:cs="仿宋"/>
                <w:snapToGrid w:val="0"/>
                <w:color w:val="auto"/>
                <w:kern w:val="0"/>
                <w:szCs w:val="21"/>
                <w:highlight w:val="none"/>
              </w:rPr>
              <w:t>1</w:t>
            </w:r>
          </w:p>
        </w:tc>
        <w:tc>
          <w:tcPr>
            <w:tcW w:w="1598"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6F7A5FD9">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hint="eastAsia" w:ascii="宋体" w:hAnsi="宋体" w:cs="仿宋"/>
                <w:snapToGrid w:val="0"/>
                <w:color w:val="auto"/>
                <w:kern w:val="0"/>
                <w:szCs w:val="21"/>
                <w:highlight w:val="none"/>
              </w:rPr>
              <w:t>***万元</w:t>
            </w:r>
          </w:p>
        </w:tc>
        <w:tc>
          <w:tcPr>
            <w:tcW w:w="1711"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38A35D17">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hint="eastAsia" w:ascii="宋体" w:hAnsi="宋体" w:cs="仿宋"/>
                <w:snapToGrid w:val="0"/>
                <w:color w:val="auto"/>
                <w:kern w:val="0"/>
                <w:szCs w:val="21"/>
                <w:highlight w:val="none"/>
              </w:rPr>
              <w:t>***</w:t>
            </w:r>
          </w:p>
        </w:tc>
        <w:tc>
          <w:tcPr>
            <w:tcW w:w="1492" w:type="dxa"/>
            <w:tcBorders>
              <w:top w:val="single" w:color="000000" w:sz="2" w:space="0"/>
              <w:left w:val="single" w:color="000000" w:sz="2" w:space="0"/>
              <w:bottom w:val="single" w:color="000000" w:sz="2" w:space="0"/>
              <w:right w:val="single" w:color="000000" w:sz="2" w:space="0"/>
              <w:tl2br w:val="nil"/>
              <w:tr2bl w:val="nil"/>
            </w:tcBorders>
            <w:shd w:val="clear" w:color="auto" w:fill="F6F6F6"/>
            <w:noWrap w:val="0"/>
            <w:vAlign w:val="center"/>
          </w:tcPr>
          <w:p w14:paraId="2883FCA5">
            <w:pPr>
              <w:widowControl/>
              <w:kinsoku w:val="0"/>
              <w:autoSpaceDE w:val="0"/>
              <w:autoSpaceDN w:val="0"/>
              <w:adjustRightInd w:val="0"/>
              <w:snapToGrid w:val="0"/>
              <w:spacing w:line="400" w:lineRule="exact"/>
              <w:jc w:val="center"/>
              <w:textAlignment w:val="baseline"/>
              <w:rPr>
                <w:rFonts w:ascii="宋体" w:hAnsi="宋体" w:cs="仿宋"/>
                <w:snapToGrid w:val="0"/>
                <w:color w:val="auto"/>
                <w:kern w:val="0"/>
                <w:szCs w:val="21"/>
                <w:highlight w:val="none"/>
              </w:rPr>
            </w:pPr>
            <w:r>
              <w:rPr>
                <w:rFonts w:hint="eastAsia" w:ascii="宋体" w:hAnsi="宋体" w:cs="仿宋"/>
                <w:snapToGrid w:val="0"/>
                <w:color w:val="auto"/>
                <w:kern w:val="0"/>
                <w:szCs w:val="21"/>
                <w:highlight w:val="none"/>
              </w:rPr>
              <w:t>授权支付</w:t>
            </w:r>
          </w:p>
        </w:tc>
      </w:tr>
    </w:tbl>
    <w:p w14:paraId="74F61FC0">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注：</w:t>
      </w:r>
      <w:r>
        <w:rPr>
          <w:rFonts w:ascii="宋体" w:hAnsi="宋体" w:cs="Arial"/>
          <w:snapToGrid w:val="0"/>
          <w:color w:val="auto"/>
          <w:kern w:val="0"/>
          <w:szCs w:val="21"/>
          <w:highlight w:val="none"/>
        </w:rPr>
        <w:t>1</w:t>
      </w:r>
      <w:r>
        <w:rPr>
          <w:rFonts w:ascii="宋体" w:hAnsi="宋体" w:cs="宋体"/>
          <w:snapToGrid w:val="0"/>
          <w:color w:val="auto"/>
          <w:kern w:val="0"/>
          <w:szCs w:val="21"/>
          <w:highlight w:val="none"/>
        </w:rPr>
        <w:t>、资金来源性质包括预算内资金、专户资金、其它、核算其它、预算内暂存、专户资金暂存、核算其它暂存等，根据采购计划核定的性质填写。</w:t>
      </w:r>
    </w:p>
    <w:p w14:paraId="2705CA2D">
      <w:pPr>
        <w:spacing w:line="440" w:lineRule="exact"/>
        <w:ind w:firstLine="420" w:firstLineChars="200"/>
        <w:rPr>
          <w:rFonts w:ascii="宋体" w:hAnsi="宋体" w:cs="宋体"/>
          <w:snapToGrid w:val="0"/>
          <w:color w:val="auto"/>
          <w:kern w:val="0"/>
          <w:szCs w:val="21"/>
          <w:highlight w:val="none"/>
        </w:rPr>
      </w:pPr>
      <w:r>
        <w:rPr>
          <w:rFonts w:ascii="宋体" w:hAnsi="宋体" w:cs="Arial"/>
          <w:snapToGrid w:val="0"/>
          <w:color w:val="auto"/>
          <w:kern w:val="0"/>
          <w:szCs w:val="21"/>
          <w:highlight w:val="none"/>
        </w:rPr>
        <w:t>2</w:t>
      </w:r>
      <w:r>
        <w:rPr>
          <w:rFonts w:ascii="宋体" w:hAnsi="宋体" w:cs="宋体"/>
          <w:snapToGrid w:val="0"/>
          <w:color w:val="auto"/>
          <w:kern w:val="0"/>
          <w:szCs w:val="21"/>
          <w:highlight w:val="none"/>
        </w:rPr>
        <w:t>、资金支付方式包括财政直接支付或财政授权支付、单位自行支付，根据采购计划核定的方式填写。</w:t>
      </w:r>
    </w:p>
    <w:p w14:paraId="5A096FF9">
      <w:pPr>
        <w:spacing w:line="500" w:lineRule="exact"/>
        <w:ind w:firstLine="525" w:firstLineChars="250"/>
        <w:rPr>
          <w:rFonts w:ascii="宋体" w:hAnsi="宋体"/>
          <w:color w:val="auto"/>
          <w:szCs w:val="22"/>
          <w:highlight w:val="none"/>
        </w:rPr>
      </w:pPr>
      <w:r>
        <w:rPr>
          <w:rFonts w:ascii="宋体" w:hAnsi="宋体"/>
          <w:color w:val="auto"/>
          <w:szCs w:val="22"/>
          <w:highlight w:val="none"/>
        </w:rPr>
        <w:t>三、工程款及结算</w:t>
      </w:r>
    </w:p>
    <w:p w14:paraId="57B46590">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w:t>
      </w:r>
      <w:r>
        <w:rPr>
          <w:rFonts w:ascii="宋体" w:hAnsi="宋体" w:cs="宋体"/>
          <w:snapToGrid w:val="0"/>
          <w:color w:val="auto"/>
          <w:kern w:val="0"/>
          <w:szCs w:val="21"/>
          <w:highlight w:val="none"/>
        </w:rPr>
        <w:t>、本合同工程款按下列第</w:t>
      </w:r>
      <w:r>
        <w:rPr>
          <w:rFonts w:ascii="宋体" w:hAnsi="宋体" w:cs="宋体"/>
          <w:snapToGrid w:val="0"/>
          <w:color w:val="auto"/>
          <w:kern w:val="0"/>
          <w:szCs w:val="21"/>
          <w:highlight w:val="none"/>
          <w:u w:val="single"/>
        </w:rPr>
        <w:t>（2）</w:t>
      </w:r>
      <w:r>
        <w:rPr>
          <w:rFonts w:ascii="宋体" w:hAnsi="宋体" w:cs="宋体"/>
          <w:snapToGrid w:val="0"/>
          <w:color w:val="auto"/>
          <w:kern w:val="0"/>
          <w:szCs w:val="21"/>
          <w:highlight w:val="none"/>
        </w:rPr>
        <w:t>种方式确定</w:t>
      </w:r>
      <w:r>
        <w:rPr>
          <w:rFonts w:ascii="宋体" w:hAnsi="宋体" w:cs="Arial"/>
          <w:snapToGrid w:val="0"/>
          <w:color w:val="auto"/>
          <w:kern w:val="0"/>
          <w:szCs w:val="21"/>
          <w:highlight w:val="none"/>
        </w:rPr>
        <w:t>:</w:t>
      </w:r>
    </w:p>
    <w:p w14:paraId="3813140F">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（1）固定总价：</w:t>
      </w:r>
      <w:r>
        <w:rPr>
          <w:rFonts w:ascii="宋体" w:hAnsi="宋体" w:cs="Arial"/>
          <w:snapToGrid w:val="0"/>
          <w:color w:val="auto"/>
          <w:kern w:val="0"/>
          <w:szCs w:val="21"/>
          <w:highlight w:val="none"/>
          <w:u w:val="single"/>
        </w:rPr>
        <w:t>/</w:t>
      </w:r>
      <w:r>
        <w:rPr>
          <w:rFonts w:ascii="宋体" w:hAnsi="宋体" w:cs="宋体"/>
          <w:snapToGrid w:val="0"/>
          <w:color w:val="auto"/>
          <w:kern w:val="0"/>
          <w:szCs w:val="21"/>
          <w:highlight w:val="none"/>
        </w:rPr>
        <w:t>元(大写：</w:t>
      </w:r>
      <w:r>
        <w:rPr>
          <w:rFonts w:ascii="宋体" w:hAnsi="宋体" w:cs="Arial"/>
          <w:snapToGrid w:val="0"/>
          <w:color w:val="auto"/>
          <w:kern w:val="0"/>
          <w:szCs w:val="21"/>
          <w:highlight w:val="none"/>
          <w:u w:val="single"/>
        </w:rPr>
        <w:t>/</w:t>
      </w:r>
      <w:r>
        <w:rPr>
          <w:rFonts w:ascii="宋体" w:hAnsi="宋体" w:cs="宋体"/>
          <w:snapToGrid w:val="0"/>
          <w:color w:val="auto"/>
          <w:kern w:val="0"/>
          <w:szCs w:val="21"/>
          <w:highlight w:val="none"/>
        </w:rPr>
        <w:t>元整)。</w:t>
      </w:r>
      <w:r>
        <w:rPr>
          <w:rFonts w:ascii="宋体" w:hAnsi="宋体" w:cs="宋体"/>
          <w:snapToGrid w:val="0"/>
          <w:color w:val="auto"/>
          <w:kern w:val="0"/>
          <w:szCs w:val="21"/>
          <w:highlight w:val="none"/>
          <w:u w:val="single"/>
        </w:rPr>
        <w:t>总价包干内容包含</w:t>
      </w:r>
      <w:r>
        <w:rPr>
          <w:rFonts w:hint="eastAsia" w:ascii="宋体" w:hAnsi="宋体" w:cs="宋体"/>
          <w:snapToGrid w:val="0"/>
          <w:color w:val="auto"/>
          <w:kern w:val="0"/>
          <w:szCs w:val="21"/>
          <w:highlight w:val="none"/>
          <w:u w:val="single"/>
        </w:rPr>
        <w:t xml:space="preserve"> /  </w:t>
      </w:r>
      <w:r>
        <w:rPr>
          <w:rFonts w:ascii="宋体" w:hAnsi="宋体" w:cs="宋体"/>
          <w:snapToGrid w:val="0"/>
          <w:color w:val="auto"/>
          <w:kern w:val="0"/>
          <w:szCs w:val="21"/>
          <w:highlight w:val="none"/>
          <w:u w:val="single"/>
        </w:rPr>
        <w:t>。</w:t>
      </w:r>
    </w:p>
    <w:p w14:paraId="76061D0C">
      <w:pPr>
        <w:spacing w:line="440" w:lineRule="exact"/>
        <w:ind w:left="630" w:leftChars="200" w:hanging="210" w:hangingChars="100"/>
        <w:rPr>
          <w:rFonts w:ascii="宋体" w:hAnsi="宋体" w:cs="宋体"/>
          <w:snapToGrid w:val="0"/>
          <w:color w:val="auto"/>
          <w:kern w:val="0"/>
          <w:szCs w:val="21"/>
          <w:highlight w:val="none"/>
        </w:rPr>
      </w:pPr>
      <w:r>
        <w:rPr>
          <w:rFonts w:ascii="宋体" w:hAnsi="宋体" w:cs="宋体"/>
          <w:snapToGrid w:val="0"/>
          <w:color w:val="auto"/>
          <w:kern w:val="0"/>
          <w:szCs w:val="21"/>
          <w:highlight w:val="none"/>
        </w:rPr>
        <w:t>（2）固定单价。采用该种方式计价的，本合同价款暂定为：</w:t>
      </w:r>
      <w:r>
        <w:rPr>
          <w:rFonts w:ascii="宋体" w:hAnsi="宋体" w:cs="宋体"/>
          <w:snapToGrid w:val="0"/>
          <w:color w:val="auto"/>
          <w:kern w:val="0"/>
          <w:szCs w:val="21"/>
          <w:highlight w:val="none"/>
          <w:u w:val="single"/>
        </w:rPr>
        <w:t>￥</w:t>
      </w:r>
      <w:r>
        <w:rPr>
          <w:rFonts w:hint="eastAsia" w:ascii="宋体" w:hAnsi="宋体" w:cs="宋体"/>
          <w:snapToGrid w:val="0"/>
          <w:color w:val="auto"/>
          <w:kern w:val="0"/>
          <w:szCs w:val="21"/>
          <w:highlight w:val="none"/>
          <w:u w:val="single"/>
          <w:lang w:val="en-US" w:eastAsia="zh-CN"/>
        </w:rPr>
        <w:t xml:space="preserve">       </w:t>
      </w:r>
      <w:r>
        <w:rPr>
          <w:rFonts w:ascii="宋体" w:hAnsi="宋体" w:cs="宋体"/>
          <w:snapToGrid w:val="0"/>
          <w:color w:val="auto"/>
          <w:kern w:val="0"/>
          <w:szCs w:val="21"/>
          <w:highlight w:val="none"/>
        </w:rPr>
        <w:t>元(大写：人民币</w:t>
      </w:r>
      <w:r>
        <w:rPr>
          <w:rFonts w:hint="eastAsia" w:ascii="宋体" w:hAnsi="宋体" w:cs="宋体"/>
          <w:snapToGrid w:val="0"/>
          <w:color w:val="auto"/>
          <w:kern w:val="0"/>
          <w:szCs w:val="21"/>
          <w:highlight w:val="none"/>
        </w:rPr>
        <w:t xml:space="preserve">             </w:t>
      </w:r>
      <w:r>
        <w:rPr>
          <w:rFonts w:ascii="宋体" w:hAnsi="宋体" w:cs="宋体"/>
          <w:snapToGrid w:val="0"/>
          <w:color w:val="auto"/>
          <w:kern w:val="0"/>
          <w:szCs w:val="21"/>
          <w:highlight w:val="none"/>
        </w:rPr>
        <w:t>)。</w:t>
      </w:r>
    </w:p>
    <w:p w14:paraId="7DD4155C">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①按本合同承包范围内的固定单价包干，届时按照工程量据实结算。</w:t>
      </w:r>
    </w:p>
    <w:p w14:paraId="698EAEAC">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②允许调整的主要材料:</w:t>
      </w:r>
      <w:r>
        <w:rPr>
          <w:rStyle w:val="35"/>
          <w:rFonts w:hint="eastAsia" w:ascii="宋体"/>
          <w:color w:val="auto"/>
          <w:szCs w:val="24"/>
          <w:highlight w:val="none"/>
          <w:u w:val="single"/>
        </w:rPr>
        <w:t xml:space="preserve">          </w:t>
      </w:r>
      <w:r>
        <w:rPr>
          <w:rFonts w:ascii="宋体" w:hAnsi="宋体" w:cs="宋体"/>
          <w:snapToGrid w:val="0"/>
          <w:color w:val="auto"/>
          <w:kern w:val="0"/>
          <w:szCs w:val="21"/>
          <w:highlight w:val="none"/>
        </w:rPr>
        <w:t>。该部分主要材料价格按施工期间《</w:t>
      </w:r>
      <w:r>
        <w:rPr>
          <w:rFonts w:hint="eastAsia" w:ascii="宋体" w:hAnsi="宋体" w:cs="宋体"/>
          <w:snapToGrid w:val="0"/>
          <w:color w:val="auto"/>
          <w:kern w:val="0"/>
          <w:szCs w:val="21"/>
          <w:highlight w:val="none"/>
          <w:lang w:eastAsia="zh-CN"/>
        </w:rPr>
        <w:t>贵港市建设工程造价信息</w:t>
      </w:r>
      <w:r>
        <w:rPr>
          <w:rFonts w:ascii="宋体" w:hAnsi="宋体" w:cs="宋体"/>
          <w:snapToGrid w:val="0"/>
          <w:color w:val="auto"/>
          <w:kern w:val="0"/>
          <w:szCs w:val="21"/>
          <w:highlight w:val="none"/>
        </w:rPr>
        <w:t>》算术平均计算，信息价没有的按本合同第九条第4点确定。价差计算方法：对于主要由市场价格波动导致的价格风险，乙方应承担5%以内（含5%）的材料基期价格风险，甲方承担5%幅度以外的材料基期价格风险。编制招标控制价时使用的《</w:t>
      </w:r>
      <w:r>
        <w:rPr>
          <w:rFonts w:hint="eastAsia" w:ascii="宋体" w:hAnsi="宋体" w:cs="宋体"/>
          <w:snapToGrid w:val="0"/>
          <w:color w:val="auto"/>
          <w:kern w:val="0"/>
          <w:szCs w:val="21"/>
          <w:highlight w:val="none"/>
          <w:lang w:eastAsia="zh-CN"/>
        </w:rPr>
        <w:t>贵港市建设工程造价信息</w:t>
      </w:r>
      <w:r>
        <w:rPr>
          <w:rFonts w:ascii="宋体" w:hAnsi="宋体" w:cs="宋体"/>
          <w:snapToGrid w:val="0"/>
          <w:color w:val="auto"/>
          <w:kern w:val="0"/>
          <w:szCs w:val="21"/>
          <w:highlight w:val="none"/>
        </w:rPr>
        <w:t>》上发布的市场价格信息确定为基准材料价格。在施工过程中，若《</w:t>
      </w:r>
      <w:r>
        <w:rPr>
          <w:rFonts w:hint="eastAsia" w:ascii="宋体" w:hAnsi="宋体" w:cs="宋体"/>
          <w:snapToGrid w:val="0"/>
          <w:color w:val="auto"/>
          <w:kern w:val="0"/>
          <w:szCs w:val="21"/>
          <w:highlight w:val="none"/>
          <w:lang w:eastAsia="zh-CN"/>
        </w:rPr>
        <w:t>贵港市建设工程造价信息</w:t>
      </w:r>
      <w:r>
        <w:rPr>
          <w:rFonts w:ascii="宋体" w:hAnsi="宋体" w:cs="宋体"/>
          <w:snapToGrid w:val="0"/>
          <w:color w:val="auto"/>
          <w:kern w:val="0"/>
          <w:szCs w:val="21"/>
          <w:highlight w:val="none"/>
        </w:rPr>
        <w:t>》上发布的市场价格算术平均值上涨（或下跌）幅度超过材料基准价格的5%时，合同中约定的可调整材料可以调整价格。具体调整办法为：在施工过程中，按施工期信息价算数平均值x结算后计算出该材料的使用量。调整部分仅计差额及相应的税金。</w:t>
      </w:r>
    </w:p>
    <w:p w14:paraId="1CBA72FB">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但是，发生合同工程工期延误的，应按照下列规定确定合同履行期的价格调整：</w:t>
      </w:r>
    </w:p>
    <w:p w14:paraId="2FD76229">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因非乙方原因导致工期延误的，计划进度日期后续工程的价格，应采用计划进度日期与实际进度日期两者的较高者；</w:t>
      </w:r>
    </w:p>
    <w:p w14:paraId="033B16CA">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因乙方原因导致工期延误的，计划进度日期后续工程的价格，应采用计划进度日期与实际进度日期两者的较低者。</w:t>
      </w:r>
    </w:p>
    <w:p w14:paraId="3B698C1A">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（A）《乙方提供主要材料和设备一览表》中载明的材料</w:t>
      </w:r>
      <w:r>
        <w:rPr>
          <w:rFonts w:hint="eastAsia" w:ascii="宋体" w:hAnsi="宋体" w:cs="仿宋_GB2312"/>
          <w:color w:val="auto"/>
          <w:kern w:val="0"/>
          <w:szCs w:val="21"/>
          <w:highlight w:val="none"/>
          <w:lang w:val="zh-CN"/>
        </w:rPr>
        <w:t>竞标</w:t>
      </w:r>
      <w:r>
        <w:rPr>
          <w:rFonts w:ascii="宋体" w:hAnsi="宋体" w:cs="宋体"/>
          <w:snapToGrid w:val="0"/>
          <w:color w:val="auto"/>
          <w:kern w:val="0"/>
          <w:szCs w:val="21"/>
          <w:highlight w:val="none"/>
        </w:rPr>
        <w:t>报价低于基准价格的：合同履行期间材料和设备单价涨幅以基准价格为基础超过约定的风险范围时，或材料和设备单价跌幅以</w:t>
      </w:r>
      <w:r>
        <w:rPr>
          <w:rFonts w:hint="eastAsia" w:ascii="宋体" w:hAnsi="宋体" w:cs="仿宋_GB2312"/>
          <w:color w:val="auto"/>
          <w:kern w:val="0"/>
          <w:szCs w:val="21"/>
          <w:highlight w:val="none"/>
          <w:lang w:val="zh-CN"/>
        </w:rPr>
        <w:t>竞标</w:t>
      </w:r>
      <w:r>
        <w:rPr>
          <w:rFonts w:ascii="宋体" w:hAnsi="宋体" w:cs="宋体"/>
          <w:snapToGrid w:val="0"/>
          <w:color w:val="auto"/>
          <w:kern w:val="0"/>
          <w:szCs w:val="21"/>
          <w:highlight w:val="none"/>
        </w:rPr>
        <w:t>报价为基础超过约定的风险范围时，其超过部分据实调整。</w:t>
      </w:r>
    </w:p>
    <w:p w14:paraId="09310E15">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（B）《乙方提供主要材料和设备一览表》中载明的材料和设备</w:t>
      </w:r>
      <w:r>
        <w:rPr>
          <w:rFonts w:hint="eastAsia" w:ascii="宋体" w:hAnsi="宋体" w:cs="仿宋_GB2312"/>
          <w:color w:val="auto"/>
          <w:kern w:val="0"/>
          <w:szCs w:val="21"/>
          <w:highlight w:val="none"/>
          <w:lang w:val="zh-CN"/>
        </w:rPr>
        <w:t>竞标</w:t>
      </w:r>
      <w:r>
        <w:rPr>
          <w:rFonts w:ascii="宋体" w:hAnsi="宋体" w:cs="宋体"/>
          <w:snapToGrid w:val="0"/>
          <w:color w:val="auto"/>
          <w:kern w:val="0"/>
          <w:szCs w:val="21"/>
          <w:highlight w:val="none"/>
        </w:rPr>
        <w:t>报价高于基准价格的：专用合同条款合同履行期间材料和设备单价跌幅以基准价格为基础超过约定的风险范围时，材料和设备单价涨幅以</w:t>
      </w:r>
      <w:r>
        <w:rPr>
          <w:rFonts w:hint="eastAsia" w:ascii="宋体" w:hAnsi="宋体" w:cs="宋体"/>
          <w:snapToGrid w:val="0"/>
          <w:color w:val="auto"/>
          <w:kern w:val="0"/>
          <w:szCs w:val="21"/>
          <w:highlight w:val="none"/>
        </w:rPr>
        <w:t>竞标</w:t>
      </w:r>
      <w:r>
        <w:rPr>
          <w:rFonts w:ascii="宋体" w:hAnsi="宋体" w:cs="宋体"/>
          <w:snapToGrid w:val="0"/>
          <w:color w:val="auto"/>
          <w:kern w:val="0"/>
          <w:szCs w:val="21"/>
          <w:highlight w:val="none"/>
        </w:rPr>
        <w:t>报价为基础超过约定的风险范围时，其超过部分据实调整。</w:t>
      </w:r>
    </w:p>
    <w:p w14:paraId="1EE41B97">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（C）《乙方提供主要材料和设备一览表》中载明的材料和设备单价等于基准单价的：合同履行期间材料和设备单价涨跌幅以基准单价为基础超过约定的风险范围时，其超过部分据实调整。</w:t>
      </w:r>
    </w:p>
    <w:p w14:paraId="2126ECC3">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③工程质量保修金：结算经甲方选定的工程造价咨询机构审定后，乙方按经审定的工程价款结算总额的</w:t>
      </w:r>
      <w:r>
        <w:rPr>
          <w:rFonts w:ascii="宋体" w:hAnsi="宋体" w:cs="宋体"/>
          <w:snapToGrid w:val="0"/>
          <w:color w:val="auto"/>
          <w:kern w:val="0"/>
          <w:szCs w:val="21"/>
          <w:highlight w:val="none"/>
          <w:u w:val="single"/>
        </w:rPr>
        <w:t xml:space="preserve">  3%  </w:t>
      </w:r>
      <w:r>
        <w:rPr>
          <w:rFonts w:ascii="宋体" w:hAnsi="宋体" w:cs="宋体"/>
          <w:snapToGrid w:val="0"/>
          <w:color w:val="auto"/>
          <w:kern w:val="0"/>
          <w:szCs w:val="21"/>
          <w:highlight w:val="none"/>
        </w:rPr>
        <w:t>缴纳工程质量保修金；工程质量保修金在工程竣工验收合格之日起至质量保修期满</w:t>
      </w:r>
      <w:r>
        <w:rPr>
          <w:rFonts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u w:val="single"/>
        </w:rPr>
        <w:t xml:space="preserve"> </w:t>
      </w:r>
      <w:r>
        <w:rPr>
          <w:rFonts w:ascii="宋体" w:hAnsi="宋体" w:cs="宋体"/>
          <w:snapToGrid w:val="0"/>
          <w:color w:val="auto"/>
          <w:kern w:val="0"/>
          <w:szCs w:val="21"/>
          <w:highlight w:val="none"/>
          <w:u w:val="single"/>
        </w:rPr>
        <w:t xml:space="preserve"> </w:t>
      </w:r>
      <w:r>
        <w:rPr>
          <w:rFonts w:ascii="宋体" w:hAnsi="宋体" w:cs="宋体"/>
          <w:snapToGrid w:val="0"/>
          <w:color w:val="auto"/>
          <w:kern w:val="0"/>
          <w:szCs w:val="21"/>
          <w:highlight w:val="none"/>
        </w:rPr>
        <w:t>年并经甲方验收合格后退还（含已扣除应该扣除的费用后，不含息）。</w:t>
      </w:r>
    </w:p>
    <w:p w14:paraId="4CDA57EC">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④履约担保：合同价款（扣除养老、失业、医疗保险费）的</w:t>
      </w:r>
      <w:r>
        <w:rPr>
          <w:rFonts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u w:val="single"/>
          <w:lang w:val="en-US" w:eastAsia="zh-CN"/>
        </w:rPr>
        <w:t>2</w:t>
      </w:r>
      <w:r>
        <w:rPr>
          <w:rFonts w:ascii="宋体" w:hAnsi="宋体" w:cs="宋体"/>
          <w:snapToGrid w:val="0"/>
          <w:color w:val="auto"/>
          <w:kern w:val="0"/>
          <w:szCs w:val="21"/>
          <w:highlight w:val="none"/>
          <w:u w:val="single"/>
        </w:rPr>
        <w:t xml:space="preserve">%  </w:t>
      </w:r>
      <w:r>
        <w:rPr>
          <w:rFonts w:ascii="宋体" w:hAnsi="宋体" w:cs="宋体"/>
          <w:snapToGrid w:val="0"/>
          <w:color w:val="auto"/>
          <w:kern w:val="0"/>
          <w:szCs w:val="21"/>
          <w:highlight w:val="none"/>
        </w:rPr>
        <w:t>的履约担保金</w:t>
      </w:r>
      <w:r>
        <w:rPr>
          <w:rFonts w:hint="eastAsia" w:ascii="宋体" w:hAnsi="宋体" w:cs="宋体"/>
          <w:snapToGrid w:val="0"/>
          <w:color w:val="auto"/>
          <w:kern w:val="0"/>
          <w:szCs w:val="21"/>
          <w:highlight w:val="none"/>
        </w:rPr>
        <w:t>（如中标单位是中</w:t>
      </w:r>
      <w:r>
        <w:rPr>
          <w:rFonts w:hint="eastAsia" w:ascii="宋体" w:hAnsi="宋体" w:cs="宋体"/>
          <w:snapToGrid w:val="0"/>
          <w:color w:val="auto"/>
          <w:kern w:val="0"/>
          <w:szCs w:val="21"/>
          <w:highlight w:val="none"/>
          <w:lang w:val="en-US" w:eastAsia="zh-CN"/>
        </w:rPr>
        <w:t>小微</w:t>
      </w:r>
      <w:r>
        <w:rPr>
          <w:rFonts w:hint="eastAsia" w:ascii="宋体" w:hAnsi="宋体" w:cs="宋体"/>
          <w:snapToGrid w:val="0"/>
          <w:color w:val="auto"/>
          <w:kern w:val="0"/>
          <w:szCs w:val="21"/>
          <w:highlight w:val="none"/>
        </w:rPr>
        <w:t>型企业，则履约担保的比例变成</w:t>
      </w:r>
      <w:r>
        <w:rPr>
          <w:rFonts w:hint="eastAsia" w:ascii="宋体" w:hAnsi="宋体" w:cs="宋体"/>
          <w:snapToGrid w:val="0"/>
          <w:color w:val="auto"/>
          <w:kern w:val="0"/>
          <w:szCs w:val="21"/>
          <w:highlight w:val="none"/>
          <w:u w:val="single"/>
        </w:rPr>
        <w:t xml:space="preserve"> 2% </w:t>
      </w:r>
      <w:r>
        <w:rPr>
          <w:rFonts w:hint="eastAsia" w:ascii="宋体" w:hAnsi="宋体" w:cs="宋体"/>
          <w:snapToGrid w:val="0"/>
          <w:color w:val="auto"/>
          <w:kern w:val="0"/>
          <w:szCs w:val="21"/>
          <w:highlight w:val="none"/>
        </w:rPr>
        <w:t>）</w:t>
      </w:r>
      <w:r>
        <w:rPr>
          <w:rFonts w:ascii="宋体" w:hAnsi="宋体" w:cs="宋体"/>
          <w:snapToGrid w:val="0"/>
          <w:color w:val="auto"/>
          <w:kern w:val="0"/>
          <w:szCs w:val="21"/>
          <w:highlight w:val="none"/>
        </w:rPr>
        <w:t>。履约担保金的有效期应当自本合同生效之日起至工程竣工验收合格且乙方递交完整的竣工资料及结算资料之日止。甲方对工程无任何异议或对乙方的施工工作没有任何异议，甲方应在递交完整的竣工资料及结算之日资料后14个工作日内无息返还100%履约担保金。</w:t>
      </w:r>
    </w:p>
    <w:p w14:paraId="0EC458B8">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⑤乙方应如实编制竣工结算，送审结算总价按合同约定执行，甲方委托有资质的造价公司进行审核，审核费承担方法：如乙方报送的工程结算总价过高，造成该结算审减率超过6%以上的，则超出6%以上部分的审核费由乙方承担，费用由甲方从乙方工程结算款中扣除。计算公式如下：审减率=（送审造价－审定造价）/送审造价×100%；当审减率大于6%时，乙方应承担的审核费=（净审减额－送审额×6%）×3.75%。</w:t>
      </w:r>
    </w:p>
    <w:p w14:paraId="3019D62D">
      <w:pPr>
        <w:pStyle w:val="15"/>
        <w:spacing w:line="360" w:lineRule="auto"/>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⑥因工期短，政策性调整不予调整。</w:t>
      </w:r>
    </w:p>
    <w:p w14:paraId="5D534316">
      <w:pPr>
        <w:spacing w:line="360" w:lineRule="auto"/>
        <w:ind w:firstLine="420" w:firstLineChars="200"/>
        <w:rPr>
          <w:color w:val="auto"/>
          <w:highlight w:val="none"/>
        </w:rPr>
      </w:pPr>
      <w:r>
        <w:rPr>
          <w:color w:val="auto"/>
          <w:highlight w:val="none"/>
        </w:rPr>
        <w:t>⑦</w:t>
      </w:r>
      <w:r>
        <w:rPr>
          <w:rFonts w:ascii="宋体" w:hAnsi="宋体" w:cs="宋体"/>
          <w:snapToGrid w:val="0"/>
          <w:color w:val="auto"/>
          <w:kern w:val="0"/>
          <w:szCs w:val="21"/>
          <w:highlight w:val="none"/>
        </w:rPr>
        <w:t>本项目按招标控制价《总说明》中所列的消耗量定额及费用定额执行，结算时不因国家和自治区更新的消耗量定额进行调整。上述计价费用定额中属于有区间的费率有规定的按规定计取，无规定的按中值计取，其余费率按规定计取。</w:t>
      </w:r>
    </w:p>
    <w:p w14:paraId="00A6F57C">
      <w:pPr>
        <w:spacing w:line="440" w:lineRule="exact"/>
        <w:ind w:firstLine="420"/>
        <w:rPr>
          <w:rFonts w:ascii="宋体" w:hAnsi="宋体" w:cs="宋体"/>
          <w:snapToGrid w:val="0"/>
          <w:color w:val="auto"/>
          <w:kern w:val="0"/>
          <w:szCs w:val="21"/>
          <w:highlight w:val="none"/>
        </w:rPr>
      </w:pPr>
      <w:r>
        <w:rPr>
          <w:rFonts w:ascii="宋体" w:hAnsi="宋体" w:cs="宋体"/>
          <w:snapToGrid w:val="0"/>
          <w:color w:val="auto"/>
          <w:kern w:val="0"/>
          <w:szCs w:val="21"/>
          <w:highlight w:val="none"/>
        </w:rPr>
        <w:t>(</w:t>
      </w:r>
      <w:r>
        <w:rPr>
          <w:rFonts w:ascii="宋体" w:hAnsi="宋体" w:cs="Arial"/>
          <w:snapToGrid w:val="0"/>
          <w:color w:val="auto"/>
          <w:kern w:val="0"/>
          <w:szCs w:val="21"/>
          <w:highlight w:val="none"/>
        </w:rPr>
        <w:t>3</w:t>
      </w:r>
      <w:r>
        <w:rPr>
          <w:rFonts w:ascii="宋体" w:hAnsi="宋体" w:cs="宋体"/>
          <w:snapToGrid w:val="0"/>
          <w:color w:val="auto"/>
          <w:kern w:val="0"/>
          <w:szCs w:val="21"/>
          <w:highlight w:val="none"/>
        </w:rPr>
        <w:t>)其他：</w:t>
      </w:r>
    </w:p>
    <w:p w14:paraId="122E0B95">
      <w:pPr>
        <w:spacing w:line="440" w:lineRule="exact"/>
        <w:ind w:firstLine="420"/>
        <w:rPr>
          <w:rFonts w:ascii="宋体" w:hAnsi="宋体" w:cs="宋体"/>
          <w:snapToGrid w:val="0"/>
          <w:color w:val="auto"/>
          <w:kern w:val="0"/>
          <w:szCs w:val="21"/>
          <w:highlight w:val="none"/>
        </w:rPr>
      </w:pPr>
      <w:r>
        <w:rPr>
          <w:rFonts w:ascii="宋体" w:hAnsi="宋体" w:cs="宋体"/>
          <w:snapToGrid w:val="0"/>
          <w:color w:val="auto"/>
          <w:kern w:val="0"/>
          <w:szCs w:val="21"/>
          <w:highlight w:val="none"/>
        </w:rPr>
        <w:t>对发包人在招标工程量清单中有“参照或相当于**品牌、型号、规格等级”约定的材料或设备，承包人必须按图纸或发包人招标工程量清单中的要求提供。承包人无法按要求提供的，拟更换品牌比参考品牌价高的，结算时不予调价；拟更换品牌如经发包人确认其单价低于参考品牌的，发包人有权要求承包人按清单要求提供。承包人无法提供的，发包人有权根据承包人提供的品牌自行市场询价并按询价结果进行结算。</w:t>
      </w:r>
    </w:p>
    <w:p w14:paraId="499FDBA3">
      <w:pPr>
        <w:spacing w:line="440" w:lineRule="exact"/>
        <w:ind w:firstLine="420"/>
        <w:rPr>
          <w:rFonts w:ascii="宋体" w:hAnsi="宋体" w:cs="宋体"/>
          <w:snapToGrid w:val="0"/>
          <w:color w:val="auto"/>
          <w:kern w:val="0"/>
          <w:szCs w:val="21"/>
          <w:highlight w:val="none"/>
        </w:rPr>
      </w:pPr>
      <w:r>
        <w:rPr>
          <w:rFonts w:ascii="宋体" w:hAnsi="宋体" w:cs="宋体"/>
          <w:snapToGrid w:val="0"/>
          <w:color w:val="auto"/>
          <w:kern w:val="0"/>
          <w:szCs w:val="21"/>
          <w:highlight w:val="none"/>
        </w:rPr>
        <w:t>市场无法供应或技术原因必须更换主材或设备的，</w:t>
      </w:r>
      <w:r>
        <w:rPr>
          <w:rFonts w:hint="eastAsia" w:ascii="宋体" w:hAnsi="宋体" w:cs="宋体"/>
          <w:snapToGrid w:val="0"/>
          <w:color w:val="auto"/>
          <w:kern w:val="0"/>
          <w:szCs w:val="21"/>
          <w:highlight w:val="none"/>
        </w:rPr>
        <w:t>须发包人同意，并</w:t>
      </w:r>
      <w:r>
        <w:rPr>
          <w:rFonts w:ascii="宋体" w:hAnsi="宋体" w:cs="宋体"/>
          <w:snapToGrid w:val="0"/>
          <w:color w:val="auto"/>
          <w:kern w:val="0"/>
          <w:szCs w:val="21"/>
          <w:highlight w:val="none"/>
        </w:rPr>
        <w:t>以发包人审定价格为准。</w:t>
      </w:r>
    </w:p>
    <w:p w14:paraId="61D1DE2B">
      <w:pPr>
        <w:spacing w:line="440" w:lineRule="exact"/>
        <w:ind w:firstLine="420"/>
        <w:rPr>
          <w:rFonts w:ascii="宋体" w:hAnsi="宋体" w:cs="宋体"/>
          <w:snapToGrid w:val="0"/>
          <w:color w:val="auto"/>
          <w:kern w:val="0"/>
          <w:szCs w:val="21"/>
          <w:highlight w:val="none"/>
        </w:rPr>
      </w:pPr>
      <w:r>
        <w:rPr>
          <w:rFonts w:ascii="宋体" w:hAnsi="宋体" w:cs="宋体"/>
          <w:snapToGrid w:val="0"/>
          <w:color w:val="auto"/>
          <w:kern w:val="0"/>
          <w:szCs w:val="21"/>
          <w:highlight w:val="none"/>
        </w:rPr>
        <w:t>不按以上规定擅自更换主材或设备的，每发现一次按（人民币）5000元/次的标准向承包人计收违约金，且承包人必须将相应主材或设备清退出场，同时须按照清单要求提供相应主材或设备，并承担由此延误的工期和损失。如不退场，发包人有权在工程进度款或结算款扣除涉及此主材或设备的相应清单项目的全部费用，承包人还须承担由此产生的相应后果。</w:t>
      </w:r>
    </w:p>
    <w:p w14:paraId="2BFF3D36">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w:t>
      </w:r>
      <w:r>
        <w:rPr>
          <w:rFonts w:ascii="宋体" w:hAnsi="宋体" w:cs="宋体"/>
          <w:snapToGrid w:val="0"/>
          <w:color w:val="auto"/>
          <w:kern w:val="0"/>
          <w:szCs w:val="21"/>
          <w:highlight w:val="none"/>
        </w:rPr>
        <w:t>、乙方已充分勘察现场，对现场所存在一切现有或隐形风险均已充分考虑并预估到位，一切相关费用已含入报价中。</w:t>
      </w:r>
    </w:p>
    <w:p w14:paraId="17F967B4">
      <w:pPr>
        <w:spacing w:line="440" w:lineRule="exact"/>
        <w:ind w:firstLine="420" w:firstLineChars="200"/>
        <w:jc w:val="left"/>
        <w:rPr>
          <w:rFonts w:ascii="宋体" w:hAnsi="宋体" w:cs="宋体"/>
          <w:snapToGrid w:val="0"/>
          <w:color w:val="auto"/>
          <w:kern w:val="0"/>
          <w:szCs w:val="21"/>
          <w:highlight w:val="none"/>
        </w:rPr>
      </w:pPr>
      <w:r>
        <w:rPr>
          <w:rFonts w:ascii="宋体" w:hAnsi="宋体" w:cs="Arial"/>
          <w:snapToGrid w:val="0"/>
          <w:color w:val="auto"/>
          <w:kern w:val="0"/>
          <w:szCs w:val="21"/>
          <w:highlight w:val="none"/>
        </w:rPr>
        <w:t>3</w:t>
      </w:r>
      <w:r>
        <w:rPr>
          <w:rFonts w:ascii="宋体" w:hAnsi="宋体" w:cs="宋体"/>
          <w:snapToGrid w:val="0"/>
          <w:color w:val="auto"/>
          <w:kern w:val="0"/>
          <w:szCs w:val="21"/>
          <w:highlight w:val="none"/>
        </w:rPr>
        <w:t>、工程款支付：</w:t>
      </w:r>
      <w:r>
        <w:rPr>
          <w:rFonts w:hint="eastAsia" w:ascii="宋体" w:hAnsi="宋体" w:cs="宋体"/>
          <w:snapToGrid w:val="0"/>
          <w:color w:val="auto"/>
          <w:kern w:val="0"/>
          <w:szCs w:val="21"/>
          <w:highlight w:val="none"/>
          <w:u w:val="single"/>
        </w:rPr>
        <w:t xml:space="preserve"> </w:t>
      </w:r>
      <w:r>
        <w:rPr>
          <w:rFonts w:hint="eastAsia" w:ascii="宋体" w:hAnsi="宋体" w:eastAsia="宋体" w:cs="宋体"/>
          <w:color w:val="auto"/>
          <w:szCs w:val="22"/>
          <w:highlight w:val="none"/>
          <w:u w:val="single"/>
          <w:lang w:eastAsia="zh-CN"/>
        </w:rPr>
        <w:t>无预付款，竣工验收合格之后，支付金额总额至合同价款（扣除暂列金额）的</w:t>
      </w:r>
      <w:r>
        <w:rPr>
          <w:rFonts w:hint="eastAsia" w:ascii="宋体" w:hAnsi="宋体" w:eastAsia="宋体" w:cs="宋体"/>
          <w:color w:val="auto"/>
          <w:szCs w:val="22"/>
          <w:highlight w:val="none"/>
          <w:u w:val="single"/>
          <w:lang w:val="en-US" w:eastAsia="zh-CN"/>
        </w:rPr>
        <w:t>8</w:t>
      </w:r>
      <w:r>
        <w:rPr>
          <w:rFonts w:hint="eastAsia" w:ascii="宋体" w:hAnsi="宋体" w:eastAsia="宋体" w:cs="宋体"/>
          <w:color w:val="auto"/>
          <w:szCs w:val="22"/>
          <w:highlight w:val="none"/>
          <w:u w:val="single"/>
          <w:lang w:eastAsia="zh-CN"/>
        </w:rPr>
        <w:t>0%，中标人提交竣工资料及结算资料，结算经发包人选定的工程造价咨询机构审定后，工程款支付至结算总价的100%（含已支付的），同时承包人按工程价款结算总额的3% 缴纳工程质量保修金。工程质量保修金在工程竣工验收合格之日起至质量保修期满1年并经甲方验收合格后退还（含已扣除应该扣除的费用后，不含息）。中标人在向采购人申请工程款时，须开具同等金额发票给</w:t>
      </w:r>
      <w:r>
        <w:rPr>
          <w:rFonts w:hint="eastAsia" w:ascii="宋体" w:hAnsi="宋体" w:eastAsia="宋体" w:cs="宋体"/>
          <w:color w:val="auto"/>
          <w:szCs w:val="22"/>
          <w:highlight w:val="none"/>
          <w:u w:val="single"/>
          <w:lang w:val="en-US" w:eastAsia="zh-CN"/>
        </w:rPr>
        <w:t>采购</w:t>
      </w:r>
      <w:r>
        <w:rPr>
          <w:rFonts w:hint="eastAsia" w:ascii="宋体" w:hAnsi="宋体" w:eastAsia="宋体" w:cs="宋体"/>
          <w:color w:val="auto"/>
          <w:szCs w:val="22"/>
          <w:highlight w:val="none"/>
          <w:u w:val="single"/>
          <w:lang w:eastAsia="zh-CN"/>
        </w:rPr>
        <w:t>人，</w:t>
      </w:r>
      <w:r>
        <w:rPr>
          <w:rFonts w:hint="eastAsia" w:ascii="宋体" w:hAnsi="宋体" w:eastAsia="宋体" w:cs="宋体"/>
          <w:color w:val="auto"/>
          <w:szCs w:val="22"/>
          <w:highlight w:val="none"/>
          <w:u w:val="single"/>
          <w:lang w:val="en-US" w:eastAsia="zh-CN"/>
        </w:rPr>
        <w:t>采购</w:t>
      </w:r>
      <w:r>
        <w:rPr>
          <w:rFonts w:hint="eastAsia" w:ascii="宋体" w:hAnsi="宋体" w:eastAsia="宋体" w:cs="宋体"/>
          <w:color w:val="auto"/>
          <w:szCs w:val="22"/>
          <w:highlight w:val="none"/>
          <w:u w:val="single"/>
          <w:lang w:eastAsia="zh-CN"/>
        </w:rPr>
        <w:t>人在收到发票后30个日历日内按规定提交财政支付</w:t>
      </w:r>
      <w:r>
        <w:rPr>
          <w:rFonts w:ascii="宋体" w:hAnsi="宋体" w:cs="宋体"/>
          <w:snapToGrid w:val="0"/>
          <w:color w:val="auto"/>
          <w:kern w:val="0"/>
          <w:szCs w:val="21"/>
          <w:highlight w:val="none"/>
        </w:rPr>
        <w:t>。</w:t>
      </w:r>
    </w:p>
    <w:p w14:paraId="4579BCEF">
      <w:pPr>
        <w:spacing w:line="440" w:lineRule="exact"/>
        <w:ind w:firstLine="420" w:firstLineChars="200"/>
        <w:rPr>
          <w:snapToGrid w:val="0"/>
          <w:color w:val="auto"/>
          <w:kern w:val="0"/>
          <w:szCs w:val="21"/>
          <w:highlight w:val="none"/>
        </w:rPr>
      </w:pPr>
      <w:r>
        <w:rPr>
          <w:rFonts w:hint="eastAsia"/>
          <w:color w:val="auto"/>
          <w:highlight w:val="none"/>
        </w:rPr>
        <w:t>4、施工用水、电等所产生的费用由乙方承担。由乙方承担的，乙方进场前应与甲方做好原始数据的书面确认。甲方按自来水公司和供电局等相关部门的规章制度收费，乙方在甲方支付最后一笔工程款之前，将施工用水、电所产生的费用全部缴纳到甲方相应账户。若现场不具备水电表安装条件的，则按照审定的结算书中的水电费进行缴纳。</w:t>
      </w:r>
    </w:p>
    <w:p w14:paraId="79203D70">
      <w:pPr>
        <w:widowControl/>
        <w:kinsoku w:val="0"/>
        <w:autoSpaceDE w:val="0"/>
        <w:autoSpaceDN w:val="0"/>
        <w:adjustRightInd w:val="0"/>
        <w:snapToGrid w:val="0"/>
        <w:spacing w:line="500" w:lineRule="exact"/>
        <w:ind w:firstLine="525" w:firstLineChars="250"/>
        <w:jc w:val="left"/>
        <w:textAlignment w:val="baseline"/>
        <w:rPr>
          <w:rFonts w:ascii="宋体" w:hAnsi="宋体" w:cs="Arial"/>
          <w:snapToGrid w:val="0"/>
          <w:color w:val="auto"/>
          <w:kern w:val="0"/>
          <w:szCs w:val="21"/>
          <w:highlight w:val="none"/>
        </w:rPr>
      </w:pPr>
      <w:r>
        <w:rPr>
          <w:rFonts w:ascii="宋体" w:hAnsi="宋体" w:cs="Arial"/>
          <w:snapToGrid w:val="0"/>
          <w:color w:val="auto"/>
          <w:kern w:val="0"/>
          <w:szCs w:val="21"/>
          <w:highlight w:val="none"/>
        </w:rPr>
        <w:t>四、工期要求</w:t>
      </w:r>
    </w:p>
    <w:p w14:paraId="329FE7EA">
      <w:pPr>
        <w:widowControl/>
        <w:kinsoku w:val="0"/>
        <w:autoSpaceDE w:val="0"/>
        <w:autoSpaceDN w:val="0"/>
        <w:adjustRightInd w:val="0"/>
        <w:snapToGrid w:val="0"/>
        <w:spacing w:line="500" w:lineRule="exact"/>
        <w:ind w:firstLine="420" w:firstLineChars="200"/>
        <w:jc w:val="left"/>
        <w:textAlignment w:val="baseline"/>
        <w:rPr>
          <w:rFonts w:ascii="宋体" w:hAnsi="宋体" w:cs="Arial"/>
          <w:snapToGrid w:val="0"/>
          <w:color w:val="auto"/>
          <w:kern w:val="0"/>
          <w:szCs w:val="21"/>
          <w:highlight w:val="none"/>
        </w:rPr>
      </w:pPr>
      <w:r>
        <w:rPr>
          <w:rFonts w:ascii="宋体" w:hAnsi="宋体" w:cs="Arial"/>
          <w:snapToGrid w:val="0"/>
          <w:color w:val="auto"/>
          <w:kern w:val="0"/>
          <w:szCs w:val="21"/>
          <w:highlight w:val="none"/>
        </w:rPr>
        <w:t>1、工期：</w:t>
      </w:r>
    </w:p>
    <w:p w14:paraId="28A0A7BD">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计划开工日期：</w:t>
      </w:r>
      <w:r>
        <w:rPr>
          <w:rFonts w:ascii="宋体" w:hAnsi="宋体" w:cs="Arial"/>
          <w:snapToGrid w:val="0"/>
          <w:color w:val="auto"/>
          <w:kern w:val="0"/>
          <w:szCs w:val="21"/>
          <w:highlight w:val="none"/>
          <w:u w:val="single"/>
        </w:rPr>
        <w:t>202</w:t>
      </w:r>
      <w:r>
        <w:rPr>
          <w:rFonts w:hint="eastAsia" w:ascii="宋体" w:hAnsi="宋体" w:cs="Arial"/>
          <w:snapToGrid w:val="0"/>
          <w:color w:val="auto"/>
          <w:kern w:val="0"/>
          <w:szCs w:val="21"/>
          <w:highlight w:val="none"/>
          <w:u w:val="single"/>
          <w:lang w:val="en-US" w:eastAsia="zh-CN"/>
        </w:rPr>
        <w:t xml:space="preserve">   </w:t>
      </w:r>
      <w:r>
        <w:rPr>
          <w:rFonts w:ascii="宋体" w:hAnsi="宋体" w:cs="Arial"/>
          <w:snapToGrid w:val="0"/>
          <w:color w:val="auto"/>
          <w:kern w:val="0"/>
          <w:szCs w:val="21"/>
          <w:highlight w:val="none"/>
        </w:rPr>
        <w:t>年</w:t>
      </w:r>
      <w:r>
        <w:rPr>
          <w:rFonts w:ascii="宋体" w:hAnsi="宋体" w:cs="Arial"/>
          <w:snapToGrid w:val="0"/>
          <w:color w:val="auto"/>
          <w:kern w:val="0"/>
          <w:szCs w:val="21"/>
          <w:highlight w:val="none"/>
          <w:u w:val="single"/>
        </w:rPr>
        <w:t xml:space="preserve">  </w:t>
      </w:r>
      <w:r>
        <w:rPr>
          <w:rFonts w:hint="eastAsia" w:ascii="宋体" w:hAnsi="宋体" w:cs="Arial"/>
          <w:snapToGrid w:val="0"/>
          <w:color w:val="auto"/>
          <w:kern w:val="0"/>
          <w:szCs w:val="21"/>
          <w:highlight w:val="none"/>
          <w:u w:val="single"/>
        </w:rPr>
        <w:t xml:space="preserve">  </w:t>
      </w:r>
      <w:r>
        <w:rPr>
          <w:rFonts w:ascii="宋体" w:hAnsi="宋体" w:cs="Arial"/>
          <w:snapToGrid w:val="0"/>
          <w:color w:val="auto"/>
          <w:kern w:val="0"/>
          <w:szCs w:val="21"/>
          <w:highlight w:val="none"/>
          <w:u w:val="single"/>
        </w:rPr>
        <w:t xml:space="preserve"> </w:t>
      </w:r>
      <w:r>
        <w:rPr>
          <w:rFonts w:ascii="宋体" w:hAnsi="宋体" w:cs="Arial"/>
          <w:snapToGrid w:val="0"/>
          <w:color w:val="auto"/>
          <w:kern w:val="0"/>
          <w:szCs w:val="21"/>
          <w:highlight w:val="none"/>
        </w:rPr>
        <w:t>月</w:t>
      </w:r>
      <w:r>
        <w:rPr>
          <w:rFonts w:ascii="宋体" w:hAnsi="宋体" w:cs="Arial"/>
          <w:snapToGrid w:val="0"/>
          <w:color w:val="auto"/>
          <w:kern w:val="0"/>
          <w:szCs w:val="21"/>
          <w:highlight w:val="none"/>
          <w:u w:val="single"/>
        </w:rPr>
        <w:t xml:space="preserve">   </w:t>
      </w:r>
      <w:r>
        <w:rPr>
          <w:rFonts w:ascii="宋体" w:hAnsi="宋体" w:cs="Arial"/>
          <w:snapToGrid w:val="0"/>
          <w:color w:val="auto"/>
          <w:kern w:val="0"/>
          <w:szCs w:val="21"/>
          <w:highlight w:val="none"/>
        </w:rPr>
        <w:t>日，计划竣工日期：</w:t>
      </w:r>
      <w:r>
        <w:rPr>
          <w:rFonts w:ascii="宋体" w:hAnsi="宋体" w:cs="Arial"/>
          <w:snapToGrid w:val="0"/>
          <w:color w:val="auto"/>
          <w:kern w:val="0"/>
          <w:szCs w:val="21"/>
          <w:highlight w:val="none"/>
          <w:u w:val="single"/>
        </w:rPr>
        <w:t>202</w:t>
      </w:r>
      <w:r>
        <w:rPr>
          <w:rFonts w:hint="eastAsia" w:ascii="宋体" w:hAnsi="宋体" w:cs="Arial"/>
          <w:snapToGrid w:val="0"/>
          <w:color w:val="auto"/>
          <w:kern w:val="0"/>
          <w:szCs w:val="21"/>
          <w:highlight w:val="none"/>
          <w:u w:val="single"/>
          <w:lang w:val="en-US" w:eastAsia="zh-CN"/>
        </w:rPr>
        <w:t xml:space="preserve">   </w:t>
      </w:r>
      <w:r>
        <w:rPr>
          <w:rFonts w:ascii="宋体" w:hAnsi="宋体" w:cs="Arial"/>
          <w:snapToGrid w:val="0"/>
          <w:color w:val="auto"/>
          <w:kern w:val="0"/>
          <w:szCs w:val="21"/>
          <w:highlight w:val="none"/>
        </w:rPr>
        <w:t>年</w:t>
      </w:r>
      <w:r>
        <w:rPr>
          <w:rFonts w:ascii="宋体" w:hAnsi="宋体" w:cs="Arial"/>
          <w:snapToGrid w:val="0"/>
          <w:color w:val="auto"/>
          <w:kern w:val="0"/>
          <w:szCs w:val="21"/>
          <w:highlight w:val="none"/>
          <w:u w:val="single"/>
        </w:rPr>
        <w:t xml:space="preserve"> </w:t>
      </w:r>
      <w:r>
        <w:rPr>
          <w:rFonts w:hint="eastAsia" w:ascii="宋体" w:hAnsi="宋体" w:cs="Arial"/>
          <w:snapToGrid w:val="0"/>
          <w:color w:val="auto"/>
          <w:kern w:val="0"/>
          <w:szCs w:val="21"/>
          <w:highlight w:val="none"/>
          <w:u w:val="single"/>
        </w:rPr>
        <w:t xml:space="preserve">   </w:t>
      </w:r>
      <w:r>
        <w:rPr>
          <w:rFonts w:ascii="宋体" w:hAnsi="宋体" w:cs="Arial"/>
          <w:snapToGrid w:val="0"/>
          <w:color w:val="auto"/>
          <w:kern w:val="0"/>
          <w:szCs w:val="21"/>
          <w:highlight w:val="none"/>
          <w:u w:val="single"/>
        </w:rPr>
        <w:t xml:space="preserve">  </w:t>
      </w:r>
      <w:r>
        <w:rPr>
          <w:rFonts w:ascii="宋体" w:hAnsi="宋体" w:cs="Arial"/>
          <w:snapToGrid w:val="0"/>
          <w:color w:val="auto"/>
          <w:kern w:val="0"/>
          <w:szCs w:val="21"/>
          <w:highlight w:val="none"/>
        </w:rPr>
        <w:t>月</w:t>
      </w:r>
      <w:r>
        <w:rPr>
          <w:rFonts w:ascii="宋体" w:hAnsi="宋体" w:cs="Arial"/>
          <w:snapToGrid w:val="0"/>
          <w:color w:val="auto"/>
          <w:kern w:val="0"/>
          <w:szCs w:val="21"/>
          <w:highlight w:val="none"/>
          <w:u w:val="single"/>
        </w:rPr>
        <w:t xml:space="preserve"> </w:t>
      </w:r>
      <w:r>
        <w:rPr>
          <w:rFonts w:hint="eastAsia" w:ascii="宋体" w:hAnsi="宋体" w:cs="Arial"/>
          <w:snapToGrid w:val="0"/>
          <w:color w:val="auto"/>
          <w:kern w:val="0"/>
          <w:szCs w:val="21"/>
          <w:highlight w:val="none"/>
          <w:u w:val="single"/>
        </w:rPr>
        <w:t xml:space="preserve">  </w:t>
      </w:r>
      <w:r>
        <w:rPr>
          <w:rFonts w:ascii="宋体" w:hAnsi="宋体" w:cs="Arial"/>
          <w:snapToGrid w:val="0"/>
          <w:color w:val="auto"/>
          <w:kern w:val="0"/>
          <w:szCs w:val="21"/>
          <w:highlight w:val="none"/>
          <w:u w:val="single"/>
        </w:rPr>
        <w:t xml:space="preserve">  </w:t>
      </w:r>
      <w:r>
        <w:rPr>
          <w:rFonts w:ascii="宋体" w:hAnsi="宋体" w:cs="Arial"/>
          <w:snapToGrid w:val="0"/>
          <w:color w:val="auto"/>
          <w:kern w:val="0"/>
          <w:szCs w:val="21"/>
          <w:highlight w:val="none"/>
        </w:rPr>
        <w:t>日，具体开工日期以甲方书面通知为准；合同总工期：</w:t>
      </w:r>
      <w:r>
        <w:rPr>
          <w:rFonts w:hint="eastAsia" w:ascii="宋体" w:hAnsi="宋体" w:cs="Arial"/>
          <w:snapToGrid w:val="0"/>
          <w:color w:val="auto"/>
          <w:kern w:val="0"/>
          <w:szCs w:val="21"/>
          <w:highlight w:val="none"/>
          <w:u w:val="single"/>
        </w:rPr>
        <w:t xml:space="preserve">**   </w:t>
      </w:r>
      <w:r>
        <w:rPr>
          <w:rFonts w:ascii="宋体" w:hAnsi="宋体" w:cs="Arial"/>
          <w:snapToGrid w:val="0"/>
          <w:color w:val="auto"/>
          <w:kern w:val="0"/>
          <w:szCs w:val="21"/>
          <w:highlight w:val="none"/>
        </w:rPr>
        <w:t>日历天。工期总日历天数与根据前述计划开竣工日期计算的工期天数不一致的，以工期总日历天数为准。</w:t>
      </w:r>
    </w:p>
    <w:p w14:paraId="5B1B7D08">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w:t>
      </w:r>
      <w:r>
        <w:rPr>
          <w:rFonts w:ascii="宋体" w:hAnsi="宋体" w:cs="宋体"/>
          <w:snapToGrid w:val="0"/>
          <w:color w:val="auto"/>
          <w:kern w:val="0"/>
          <w:szCs w:val="21"/>
          <w:highlight w:val="none"/>
        </w:rPr>
        <w:t>竣工</w:t>
      </w:r>
      <w:r>
        <w:rPr>
          <w:rFonts w:ascii="宋体" w:hAnsi="宋体" w:cs="Arial"/>
          <w:snapToGrid w:val="0"/>
          <w:color w:val="auto"/>
          <w:kern w:val="0"/>
          <w:szCs w:val="21"/>
          <w:highlight w:val="none"/>
        </w:rPr>
        <w:t>日以符合下列条件并获甲方签具竣工验收单之日为准。</w:t>
      </w:r>
    </w:p>
    <w:p w14:paraId="5C2704CD">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w:t>
      </w:r>
      <w:r>
        <w:rPr>
          <w:rFonts w:ascii="宋体" w:hAnsi="宋体" w:cs="宋体"/>
          <w:snapToGrid w:val="0"/>
          <w:color w:val="auto"/>
          <w:kern w:val="0"/>
          <w:szCs w:val="21"/>
          <w:highlight w:val="none"/>
        </w:rPr>
        <w:t>全部</w:t>
      </w:r>
      <w:r>
        <w:rPr>
          <w:rFonts w:ascii="宋体" w:hAnsi="宋体" w:cs="Arial"/>
          <w:snapToGrid w:val="0"/>
          <w:color w:val="auto"/>
          <w:kern w:val="0"/>
          <w:szCs w:val="21"/>
          <w:highlight w:val="none"/>
        </w:rPr>
        <w:t>竣工图纸和本合同范围的项目已全部完工；通过甲方、乙方共同验收并完成整改。</w:t>
      </w:r>
    </w:p>
    <w:p w14:paraId="15B5C5CB">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退场，施工场地腾空，移交完毕。</w:t>
      </w:r>
    </w:p>
    <w:p w14:paraId="370CCDD6">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3、甲方</w:t>
      </w:r>
      <w:r>
        <w:rPr>
          <w:rFonts w:ascii="宋体" w:hAnsi="宋体" w:cs="宋体"/>
          <w:snapToGrid w:val="0"/>
          <w:color w:val="auto"/>
          <w:kern w:val="0"/>
          <w:szCs w:val="21"/>
          <w:highlight w:val="none"/>
        </w:rPr>
        <w:t>要求</w:t>
      </w:r>
      <w:r>
        <w:rPr>
          <w:rFonts w:ascii="宋体" w:hAnsi="宋体" w:cs="Arial"/>
          <w:snapToGrid w:val="0"/>
          <w:color w:val="auto"/>
          <w:kern w:val="0"/>
          <w:szCs w:val="21"/>
          <w:highlight w:val="none"/>
        </w:rPr>
        <w:t>提前完工的，</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应无条件满足甲方的要求。</w:t>
      </w:r>
    </w:p>
    <w:p w14:paraId="6687CFCA">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4、在施工</w:t>
      </w:r>
      <w:r>
        <w:rPr>
          <w:rFonts w:ascii="宋体" w:hAnsi="宋体" w:cs="宋体"/>
          <w:snapToGrid w:val="0"/>
          <w:color w:val="auto"/>
          <w:kern w:val="0"/>
          <w:szCs w:val="21"/>
          <w:highlight w:val="none"/>
        </w:rPr>
        <w:t>工期</w:t>
      </w:r>
      <w:r>
        <w:rPr>
          <w:rFonts w:ascii="宋体" w:hAnsi="宋体" w:cs="Arial"/>
          <w:snapToGrid w:val="0"/>
          <w:color w:val="auto"/>
          <w:kern w:val="0"/>
          <w:szCs w:val="21"/>
          <w:highlight w:val="none"/>
        </w:rPr>
        <w:t>内如遇下列情况，以联系单签证为准，工期方可顺延</w:t>
      </w:r>
      <w:r>
        <w:rPr>
          <w:rFonts w:hint="eastAsia" w:ascii="宋体" w:hAnsi="宋体" w:cs="Arial"/>
          <w:snapToGrid w:val="0"/>
          <w:color w:val="auto"/>
          <w:kern w:val="0"/>
          <w:szCs w:val="21"/>
          <w:highlight w:val="none"/>
        </w:rPr>
        <w:t>，但不产生因工期延误的其他费用</w:t>
      </w:r>
      <w:r>
        <w:rPr>
          <w:rFonts w:ascii="宋体" w:hAnsi="宋体" w:cs="Arial"/>
          <w:snapToGrid w:val="0"/>
          <w:color w:val="auto"/>
          <w:kern w:val="0"/>
          <w:szCs w:val="21"/>
          <w:highlight w:val="none"/>
        </w:rPr>
        <w:t>；除此之外，工期均不得顺延：</w:t>
      </w:r>
    </w:p>
    <w:p w14:paraId="0B2A25C3">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（1）合同</w:t>
      </w:r>
      <w:r>
        <w:rPr>
          <w:rFonts w:ascii="宋体" w:hAnsi="宋体" w:cs="宋体"/>
          <w:snapToGrid w:val="0"/>
          <w:color w:val="auto"/>
          <w:kern w:val="0"/>
          <w:szCs w:val="21"/>
          <w:highlight w:val="none"/>
        </w:rPr>
        <w:t>履行</w:t>
      </w:r>
      <w:r>
        <w:rPr>
          <w:rFonts w:ascii="宋体" w:hAnsi="宋体" w:cs="Arial"/>
          <w:snapToGrid w:val="0"/>
          <w:color w:val="auto"/>
          <w:kern w:val="0"/>
          <w:szCs w:val="21"/>
          <w:highlight w:val="none"/>
        </w:rPr>
        <w:t>中发生重大设计变更(变更工程量超过</w:t>
      </w:r>
      <w:r>
        <w:rPr>
          <w:rFonts w:hint="eastAsia" w:ascii="宋体" w:hAnsi="宋体" w:cs="Arial"/>
          <w:snapToGrid w:val="0"/>
          <w:color w:val="auto"/>
          <w:kern w:val="0"/>
          <w:szCs w:val="21"/>
          <w:highlight w:val="none"/>
          <w:lang w:val="en-US" w:eastAsia="zh-CN"/>
        </w:rPr>
        <w:t>原</w:t>
      </w:r>
      <w:r>
        <w:rPr>
          <w:rFonts w:ascii="宋体" w:hAnsi="宋体" w:cs="Arial"/>
          <w:snapToGrid w:val="0"/>
          <w:color w:val="auto"/>
          <w:kern w:val="0"/>
          <w:szCs w:val="21"/>
          <w:highlight w:val="none"/>
        </w:rPr>
        <w:t>工程量的5%)直接影响施工进度；</w:t>
      </w:r>
    </w:p>
    <w:p w14:paraId="340DFF79">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w:t>
      </w:r>
      <w:r>
        <w:rPr>
          <w:rFonts w:ascii="宋体" w:hAnsi="宋体" w:cs="宋体"/>
          <w:snapToGrid w:val="0"/>
          <w:color w:val="auto"/>
          <w:kern w:val="0"/>
          <w:szCs w:val="21"/>
          <w:highlight w:val="none"/>
        </w:rPr>
        <w:t>不可抗力</w:t>
      </w:r>
      <w:r>
        <w:rPr>
          <w:rFonts w:ascii="宋体" w:hAnsi="宋体" w:cs="Arial"/>
          <w:snapToGrid w:val="0"/>
          <w:color w:val="auto"/>
          <w:kern w:val="0"/>
          <w:szCs w:val="21"/>
          <w:highlight w:val="none"/>
        </w:rPr>
        <w:t>因素；</w:t>
      </w:r>
    </w:p>
    <w:p w14:paraId="43ADD516">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（3）</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按要求提交甲供材料供应计划而甲方材料供应不及时的；</w:t>
      </w:r>
    </w:p>
    <w:p w14:paraId="5FEE9ECC">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（4）甲方同意顺延工期的其他原因。</w:t>
      </w:r>
    </w:p>
    <w:p w14:paraId="5D232DCB">
      <w:pPr>
        <w:widowControl/>
        <w:kinsoku w:val="0"/>
        <w:autoSpaceDE w:val="0"/>
        <w:autoSpaceDN w:val="0"/>
        <w:adjustRightInd w:val="0"/>
        <w:snapToGrid w:val="0"/>
        <w:spacing w:line="500" w:lineRule="exact"/>
        <w:ind w:firstLine="420" w:firstLineChars="200"/>
        <w:jc w:val="left"/>
        <w:textAlignment w:val="baseline"/>
        <w:rPr>
          <w:rFonts w:ascii="宋体" w:hAnsi="宋体" w:cs="Arial"/>
          <w:snapToGrid w:val="0"/>
          <w:color w:val="auto"/>
          <w:kern w:val="0"/>
          <w:szCs w:val="21"/>
          <w:highlight w:val="none"/>
        </w:rPr>
      </w:pPr>
      <w:r>
        <w:rPr>
          <w:rFonts w:ascii="宋体" w:hAnsi="宋体" w:cs="Arial"/>
          <w:snapToGrid w:val="0"/>
          <w:color w:val="auto"/>
          <w:kern w:val="0"/>
          <w:szCs w:val="21"/>
          <w:highlight w:val="none"/>
        </w:rPr>
        <w:t>五、工程质量</w:t>
      </w:r>
    </w:p>
    <w:p w14:paraId="625FF2C5">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1、本工程以甲方提供的规范文件、甲乙双方确认的施工图纸、效果图、做法说明、设计变更、封样样品及《建筑工程质量管理条例》等国家制定的现行有关施工质量验收规范及标准为质量评定标准。</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不按照上述规范施工的，甲方有权要求乙方自费返工，工期不顺延。</w:t>
      </w:r>
    </w:p>
    <w:p w14:paraId="55AE316F">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2、本</w:t>
      </w:r>
      <w:r>
        <w:rPr>
          <w:rFonts w:ascii="宋体" w:hAnsi="宋体" w:cs="宋体"/>
          <w:snapToGrid w:val="0"/>
          <w:color w:val="auto"/>
          <w:kern w:val="0"/>
          <w:szCs w:val="21"/>
          <w:highlight w:val="none"/>
        </w:rPr>
        <w:t>工程</w:t>
      </w:r>
      <w:r>
        <w:rPr>
          <w:rFonts w:ascii="宋体" w:hAnsi="宋体" w:cs="Arial"/>
          <w:snapToGrid w:val="0"/>
          <w:color w:val="auto"/>
          <w:kern w:val="0"/>
          <w:szCs w:val="21"/>
          <w:highlight w:val="none"/>
        </w:rPr>
        <w:t>质量应达到国家规定的验收合格标准。</w:t>
      </w:r>
    </w:p>
    <w:p w14:paraId="2A9DA9D7">
      <w:pPr>
        <w:widowControl/>
        <w:kinsoku w:val="0"/>
        <w:autoSpaceDE w:val="0"/>
        <w:autoSpaceDN w:val="0"/>
        <w:adjustRightInd w:val="0"/>
        <w:snapToGrid w:val="0"/>
        <w:spacing w:line="500" w:lineRule="exact"/>
        <w:ind w:firstLine="420" w:firstLineChars="200"/>
        <w:jc w:val="left"/>
        <w:textAlignment w:val="baseline"/>
        <w:rPr>
          <w:rFonts w:ascii="宋体" w:hAnsi="宋体" w:cs="Arial"/>
          <w:snapToGrid w:val="0"/>
          <w:color w:val="auto"/>
          <w:kern w:val="0"/>
          <w:szCs w:val="21"/>
          <w:highlight w:val="none"/>
        </w:rPr>
      </w:pPr>
      <w:r>
        <w:rPr>
          <w:rFonts w:ascii="宋体" w:hAnsi="宋体" w:cs="Arial"/>
          <w:snapToGrid w:val="0"/>
          <w:color w:val="auto"/>
          <w:kern w:val="0"/>
          <w:szCs w:val="21"/>
          <w:highlight w:val="none"/>
        </w:rPr>
        <w:t>六、材料供应</w:t>
      </w:r>
    </w:p>
    <w:p w14:paraId="1266BEF7">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1、甲方</w:t>
      </w:r>
      <w:r>
        <w:rPr>
          <w:rFonts w:ascii="宋体" w:hAnsi="宋体" w:cs="宋体"/>
          <w:snapToGrid w:val="0"/>
          <w:color w:val="auto"/>
          <w:kern w:val="0"/>
          <w:szCs w:val="21"/>
          <w:highlight w:val="none"/>
        </w:rPr>
        <w:t>自行</w:t>
      </w:r>
      <w:r>
        <w:rPr>
          <w:rFonts w:ascii="宋体" w:hAnsi="宋体" w:cs="Arial"/>
          <w:snapToGrid w:val="0"/>
          <w:color w:val="auto"/>
          <w:kern w:val="0"/>
          <w:szCs w:val="21"/>
          <w:highlight w:val="none"/>
        </w:rPr>
        <w:t>供应材料、设备的，双方签署材料交接清单(详见附件)。主要材料、设备到达施工现场后，</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应通知甲方进行共同核验，经双方确认同意后投入使用，不合格的不得使用。甲方的确认并不能免除或减轻</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应承担的工程质量保证责任。</w:t>
      </w:r>
    </w:p>
    <w:p w14:paraId="11A7EE1F">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负责采购材料、设备的，其提供的材料、设备必须符合国家标准、行业标准或者其他相关标准及设计图纸</w:t>
      </w:r>
      <w:r>
        <w:rPr>
          <w:rFonts w:hint="eastAsia" w:ascii="宋体" w:hAnsi="宋体" w:cs="Arial"/>
          <w:snapToGrid w:val="0"/>
          <w:color w:val="auto"/>
          <w:kern w:val="0"/>
          <w:szCs w:val="21"/>
          <w:highlight w:val="none"/>
        </w:rPr>
        <w:t>、</w:t>
      </w:r>
      <w:r>
        <w:rPr>
          <w:rFonts w:ascii="宋体" w:hAnsi="宋体" w:cs="Arial"/>
          <w:snapToGrid w:val="0"/>
          <w:color w:val="auto"/>
          <w:kern w:val="0"/>
          <w:szCs w:val="21"/>
          <w:highlight w:val="none"/>
        </w:rPr>
        <w:t>合同</w:t>
      </w:r>
      <w:r>
        <w:rPr>
          <w:rFonts w:hint="eastAsia" w:ascii="宋体" w:hAnsi="宋体" w:cs="Arial"/>
          <w:snapToGrid w:val="0"/>
          <w:color w:val="auto"/>
          <w:kern w:val="0"/>
          <w:szCs w:val="21"/>
          <w:highlight w:val="none"/>
        </w:rPr>
        <w:t>清单</w:t>
      </w:r>
      <w:r>
        <w:rPr>
          <w:rFonts w:ascii="宋体" w:hAnsi="宋体" w:cs="Arial"/>
          <w:snapToGrid w:val="0"/>
          <w:color w:val="auto"/>
          <w:kern w:val="0"/>
          <w:szCs w:val="21"/>
          <w:highlight w:val="none"/>
        </w:rPr>
        <w:t>的要求，前述标准和要求存在不一致的，以要求较高者为准。同时，</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提供的材料、设备需具备质量检验合格证明并以中文标明产品名称、规格、型号、生产厂</w:t>
      </w:r>
      <w:r>
        <w:rPr>
          <w:rFonts w:hint="eastAsia" w:ascii="宋体" w:hAnsi="宋体" w:cs="Arial"/>
          <w:snapToGrid w:val="0"/>
          <w:color w:val="auto"/>
          <w:kern w:val="0"/>
          <w:szCs w:val="21"/>
          <w:highlight w:val="none"/>
        </w:rPr>
        <w:t>的</w:t>
      </w:r>
      <w:r>
        <w:rPr>
          <w:rFonts w:ascii="宋体" w:hAnsi="宋体" w:cs="Arial"/>
          <w:snapToGrid w:val="0"/>
          <w:color w:val="auto"/>
          <w:kern w:val="0"/>
          <w:szCs w:val="21"/>
          <w:highlight w:val="none"/>
        </w:rPr>
        <w:t>厂名、厂址等。</w:t>
      </w:r>
    </w:p>
    <w:p w14:paraId="6992856D">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3、</w:t>
      </w:r>
      <w:r>
        <w:rPr>
          <w:rFonts w:hint="eastAsia" w:ascii="宋体" w:hAnsi="宋体" w:cs="宋体"/>
          <w:snapToGrid w:val="0"/>
          <w:color w:val="auto"/>
          <w:kern w:val="0"/>
          <w:szCs w:val="21"/>
          <w:highlight w:val="none"/>
        </w:rPr>
        <w:t>乙</w:t>
      </w:r>
      <w:r>
        <w:rPr>
          <w:rFonts w:ascii="宋体" w:hAnsi="宋体" w:cs="宋体"/>
          <w:snapToGrid w:val="0"/>
          <w:color w:val="auto"/>
          <w:kern w:val="0"/>
          <w:szCs w:val="21"/>
          <w:highlight w:val="none"/>
        </w:rPr>
        <w:t>方</w:t>
      </w:r>
      <w:r>
        <w:rPr>
          <w:rFonts w:ascii="宋体" w:hAnsi="宋体" w:cs="Arial"/>
          <w:snapToGrid w:val="0"/>
          <w:color w:val="auto"/>
          <w:kern w:val="0"/>
          <w:szCs w:val="21"/>
          <w:highlight w:val="none"/>
        </w:rPr>
        <w:t>不得采用国家明令淘汰的建筑装饰装修材料和设备用于本项目施工。如</w:t>
      </w:r>
      <w:r>
        <w:rPr>
          <w:rFonts w:hint="eastAsia" w:ascii="宋体" w:hAnsi="宋体" w:cs="宋体"/>
          <w:snapToGrid w:val="0"/>
          <w:color w:val="auto"/>
          <w:kern w:val="0"/>
          <w:szCs w:val="21"/>
          <w:highlight w:val="none"/>
        </w:rPr>
        <w:t>乙</w:t>
      </w:r>
      <w:r>
        <w:rPr>
          <w:rFonts w:ascii="宋体" w:hAnsi="宋体" w:cs="宋体"/>
          <w:snapToGrid w:val="0"/>
          <w:color w:val="auto"/>
          <w:kern w:val="0"/>
          <w:szCs w:val="21"/>
          <w:highlight w:val="none"/>
        </w:rPr>
        <w:t>方</w:t>
      </w:r>
      <w:r>
        <w:rPr>
          <w:rFonts w:ascii="宋体" w:hAnsi="宋体" w:cs="Arial"/>
          <w:snapToGrid w:val="0"/>
          <w:color w:val="auto"/>
          <w:kern w:val="0"/>
          <w:szCs w:val="21"/>
          <w:highlight w:val="none"/>
        </w:rPr>
        <w:t>提供的材料、设备系伪劣产品的，</w:t>
      </w:r>
      <w:r>
        <w:rPr>
          <w:rFonts w:hint="eastAsia" w:ascii="宋体" w:hAnsi="宋体" w:cs="宋体"/>
          <w:snapToGrid w:val="0"/>
          <w:color w:val="auto"/>
          <w:kern w:val="0"/>
          <w:szCs w:val="21"/>
          <w:highlight w:val="none"/>
        </w:rPr>
        <w:t>乙</w:t>
      </w:r>
      <w:r>
        <w:rPr>
          <w:rFonts w:ascii="宋体" w:hAnsi="宋体" w:cs="宋体"/>
          <w:snapToGrid w:val="0"/>
          <w:color w:val="auto"/>
          <w:kern w:val="0"/>
          <w:szCs w:val="21"/>
          <w:highlight w:val="none"/>
        </w:rPr>
        <w:t>方</w:t>
      </w:r>
      <w:r>
        <w:rPr>
          <w:rFonts w:ascii="宋体" w:hAnsi="宋体" w:cs="Arial"/>
          <w:snapToGrid w:val="0"/>
          <w:color w:val="auto"/>
          <w:kern w:val="0"/>
          <w:szCs w:val="21"/>
          <w:highlight w:val="none"/>
        </w:rPr>
        <w:t>应按所涉伪劣产品价款的</w:t>
      </w:r>
      <w:r>
        <w:rPr>
          <w:rFonts w:hint="eastAsia" w:ascii="宋体" w:hAnsi="宋体" w:cs="Arial"/>
          <w:snapToGrid w:val="0"/>
          <w:color w:val="auto"/>
          <w:kern w:val="0"/>
          <w:szCs w:val="21"/>
          <w:highlight w:val="none"/>
        </w:rPr>
        <w:t>五</w:t>
      </w:r>
      <w:r>
        <w:rPr>
          <w:rFonts w:ascii="宋体" w:hAnsi="宋体" w:cs="Arial"/>
          <w:snapToGrid w:val="0"/>
          <w:color w:val="auto"/>
          <w:kern w:val="0"/>
          <w:szCs w:val="21"/>
          <w:highlight w:val="none"/>
        </w:rPr>
        <w:t>倍向甲方支付违约金并承担返工的费用，违约金不足以弥补甲方损失的，</w:t>
      </w:r>
      <w:r>
        <w:rPr>
          <w:rFonts w:hint="eastAsia" w:ascii="宋体" w:hAnsi="宋体" w:cs="宋体"/>
          <w:snapToGrid w:val="0"/>
          <w:color w:val="auto"/>
          <w:kern w:val="0"/>
          <w:szCs w:val="21"/>
          <w:highlight w:val="none"/>
        </w:rPr>
        <w:t>乙</w:t>
      </w:r>
      <w:r>
        <w:rPr>
          <w:rFonts w:ascii="宋体" w:hAnsi="宋体" w:cs="宋体"/>
          <w:snapToGrid w:val="0"/>
          <w:color w:val="auto"/>
          <w:kern w:val="0"/>
          <w:szCs w:val="21"/>
          <w:highlight w:val="none"/>
        </w:rPr>
        <w:t>方</w:t>
      </w:r>
      <w:r>
        <w:rPr>
          <w:rFonts w:ascii="宋体" w:hAnsi="宋体" w:cs="Arial"/>
          <w:snapToGrid w:val="0"/>
          <w:color w:val="auto"/>
          <w:kern w:val="0"/>
          <w:szCs w:val="21"/>
          <w:highlight w:val="none"/>
        </w:rPr>
        <w:t>还应负责赔偿，由此延误的工期不予顺延。</w:t>
      </w:r>
    </w:p>
    <w:p w14:paraId="222A0F75">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4、</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提供的材料、设备虽系合格产品但不符合甲方事先指定要求，</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应根据甲方要求重新采购、拆除重做或在甲方同意让步接收的前提下，按所涉批次材料价款的同等数额补偿给甲方，由此延误的工期不予顺延。</w:t>
      </w:r>
    </w:p>
    <w:p w14:paraId="110D9AA4">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七、甲乙双方职责</w:t>
      </w:r>
    </w:p>
    <w:p w14:paraId="5B268093">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(一)甲方职责</w:t>
      </w:r>
    </w:p>
    <w:p w14:paraId="5AD61664">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1、开工前七天，甲方向</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进行现场交底，并组织</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进行图纸会审和工作面交接。</w:t>
      </w:r>
    </w:p>
    <w:p w14:paraId="303DE2FD">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2、甲方</w:t>
      </w:r>
      <w:r>
        <w:rPr>
          <w:rFonts w:ascii="宋体" w:hAnsi="宋体" w:cs="宋体"/>
          <w:snapToGrid w:val="0"/>
          <w:color w:val="auto"/>
          <w:kern w:val="0"/>
          <w:szCs w:val="21"/>
          <w:highlight w:val="none"/>
        </w:rPr>
        <w:t>指派</w:t>
      </w:r>
      <w:r>
        <w:rPr>
          <w:rFonts w:hint="eastAsia" w:ascii="宋体" w:hAnsi="宋体" w:cs="Arial"/>
          <w:snapToGrid w:val="0"/>
          <w:color w:val="auto"/>
          <w:kern w:val="0"/>
          <w:szCs w:val="21"/>
          <w:highlight w:val="none"/>
          <w:u w:val="single"/>
        </w:rPr>
        <w:t xml:space="preserve">            </w:t>
      </w:r>
      <w:r>
        <w:rPr>
          <w:rFonts w:ascii="宋体" w:hAnsi="宋体" w:cs="Arial"/>
          <w:snapToGrid w:val="0"/>
          <w:color w:val="auto"/>
          <w:kern w:val="0"/>
          <w:szCs w:val="21"/>
          <w:highlight w:val="none"/>
        </w:rPr>
        <w:t>为驻工地代表。对工程质量、安全、进度等进行监督检查，并办理验收、变更、登记手续和其他事宜。</w:t>
      </w:r>
    </w:p>
    <w:p w14:paraId="2E960B38">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3、甲方</w:t>
      </w:r>
      <w:r>
        <w:rPr>
          <w:rFonts w:hint="eastAsia" w:ascii="宋体" w:hAnsi="宋体" w:cs="Arial"/>
          <w:snapToGrid w:val="0"/>
          <w:color w:val="auto"/>
          <w:kern w:val="0"/>
          <w:szCs w:val="21"/>
          <w:highlight w:val="none"/>
        </w:rPr>
        <w:t>委托监理单位审核</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的施工组织方案和进度计划报表，协调处理有关重大的施工技术问题。</w:t>
      </w:r>
    </w:p>
    <w:p w14:paraId="39599781">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4、甲方应当按合同约定支付合同价款，并履行合同约定的其他职责。</w:t>
      </w:r>
    </w:p>
    <w:p w14:paraId="487C8542">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5、甲方对本项目文件资料进行审核确认。</w:t>
      </w:r>
    </w:p>
    <w:p w14:paraId="181F53BF">
      <w:pPr>
        <w:widowControl/>
        <w:kinsoku w:val="0"/>
        <w:autoSpaceDE w:val="0"/>
        <w:autoSpaceDN w:val="0"/>
        <w:adjustRightInd w:val="0"/>
        <w:snapToGrid w:val="0"/>
        <w:spacing w:line="500" w:lineRule="exact"/>
        <w:ind w:firstLine="420" w:firstLineChars="200"/>
        <w:jc w:val="left"/>
        <w:textAlignment w:val="baseline"/>
        <w:rPr>
          <w:rFonts w:ascii="宋体" w:hAnsi="宋体" w:cs="Arial"/>
          <w:snapToGrid w:val="0"/>
          <w:color w:val="auto"/>
          <w:kern w:val="0"/>
          <w:szCs w:val="21"/>
          <w:highlight w:val="none"/>
        </w:rPr>
      </w:pPr>
      <w:r>
        <w:rPr>
          <w:rFonts w:ascii="宋体" w:hAnsi="宋体" w:cs="Arial"/>
          <w:snapToGrid w:val="0"/>
          <w:color w:val="auto"/>
          <w:kern w:val="0"/>
          <w:szCs w:val="21"/>
          <w:highlight w:val="none"/>
        </w:rPr>
        <w:t>(二)乙方职责</w:t>
      </w:r>
    </w:p>
    <w:p w14:paraId="49ABE2BA">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w:t>
      </w:r>
      <w:r>
        <w:rPr>
          <w:rFonts w:ascii="宋体" w:hAnsi="宋体" w:cs="宋体"/>
          <w:snapToGrid w:val="0"/>
          <w:color w:val="auto"/>
          <w:kern w:val="0"/>
          <w:szCs w:val="21"/>
          <w:highlight w:val="none"/>
        </w:rPr>
        <w:t>乙方</w:t>
      </w:r>
      <w:r>
        <w:rPr>
          <w:rFonts w:hint="eastAsia" w:ascii="宋体" w:hAnsi="宋体" w:cs="宋体"/>
          <w:snapToGrid w:val="0"/>
          <w:color w:val="auto"/>
          <w:kern w:val="0"/>
          <w:szCs w:val="21"/>
          <w:highlight w:val="none"/>
        </w:rPr>
        <w:t>为具有相应资质的</w:t>
      </w:r>
      <w:r>
        <w:rPr>
          <w:rFonts w:ascii="宋体" w:hAnsi="宋体" w:cs="Arial"/>
          <w:snapToGrid w:val="0"/>
          <w:color w:val="auto"/>
          <w:kern w:val="0"/>
          <w:szCs w:val="21"/>
          <w:highlight w:val="none"/>
        </w:rPr>
        <w:t>供应商，</w:t>
      </w:r>
      <w:r>
        <w:rPr>
          <w:rFonts w:hint="eastAsia" w:ascii="宋体" w:hAnsi="宋体" w:cs="宋体"/>
          <w:snapToGrid w:val="0"/>
          <w:color w:val="auto"/>
          <w:kern w:val="0"/>
          <w:szCs w:val="21"/>
          <w:highlight w:val="none"/>
        </w:rPr>
        <w:t>具备项目所需要的相应专业技术力量和水平，</w:t>
      </w:r>
      <w:r>
        <w:rPr>
          <w:rFonts w:ascii="宋体" w:hAnsi="宋体" w:cs="Arial"/>
          <w:snapToGrid w:val="0"/>
          <w:color w:val="auto"/>
          <w:kern w:val="0"/>
          <w:szCs w:val="21"/>
          <w:highlight w:val="none"/>
        </w:rPr>
        <w:t>对甲方提供的交底资料应负责核验，资料存在差错的，及时向甲方提出，且不得依据错误的资料进行施工安装。</w:t>
      </w:r>
    </w:p>
    <w:p w14:paraId="648D30A3">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2、乙方应当依据施工图纸拟定施工组织方案和进度计划报表，交甲方委托的监理单位审定，并严格按要求按图施工。乙方在进场前须</w:t>
      </w:r>
      <w:r>
        <w:rPr>
          <w:rFonts w:hint="eastAsia" w:ascii="宋体" w:hAnsi="宋体" w:cs="Arial"/>
          <w:snapToGrid w:val="0"/>
          <w:color w:val="auto"/>
          <w:kern w:val="0"/>
          <w:szCs w:val="21"/>
          <w:highlight w:val="none"/>
          <w:lang w:val="en-US" w:eastAsia="zh-CN"/>
        </w:rPr>
        <w:t>按甲方规定</w:t>
      </w:r>
      <w:r>
        <w:rPr>
          <w:rFonts w:ascii="宋体" w:hAnsi="宋体" w:cs="Arial"/>
          <w:snapToGrid w:val="0"/>
          <w:color w:val="auto"/>
          <w:kern w:val="0"/>
          <w:szCs w:val="21"/>
          <w:highlight w:val="none"/>
        </w:rPr>
        <w:t>签订</w:t>
      </w:r>
      <w:r>
        <w:rPr>
          <w:rFonts w:hint="eastAsia" w:ascii="宋体" w:hAnsi="宋体" w:cs="Arial"/>
          <w:snapToGrid w:val="0"/>
          <w:color w:val="auto"/>
          <w:kern w:val="0"/>
          <w:szCs w:val="21"/>
          <w:highlight w:val="none"/>
          <w:lang w:val="en-US" w:eastAsia="zh-CN"/>
        </w:rPr>
        <w:t>有关校内安全文明施工的承诺书</w:t>
      </w:r>
      <w:r>
        <w:rPr>
          <w:rFonts w:ascii="宋体" w:hAnsi="宋体" w:cs="Arial"/>
          <w:snapToGrid w:val="0"/>
          <w:color w:val="auto"/>
          <w:kern w:val="0"/>
          <w:szCs w:val="21"/>
          <w:highlight w:val="none"/>
        </w:rPr>
        <w:t>，遵守学校的管理制度。</w:t>
      </w:r>
    </w:p>
    <w:p w14:paraId="2A5310EE">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3、</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指派</w:t>
      </w:r>
      <w:r>
        <w:rPr>
          <w:rFonts w:hint="eastAsia" w:ascii="宋体" w:hAnsi="宋体" w:cs="Arial"/>
          <w:snapToGrid w:val="0"/>
          <w:color w:val="auto"/>
          <w:kern w:val="0"/>
          <w:szCs w:val="21"/>
          <w:highlight w:val="none"/>
          <w:u w:val="single"/>
        </w:rPr>
        <w:t xml:space="preserve">             </w:t>
      </w:r>
      <w:r>
        <w:rPr>
          <w:rFonts w:ascii="宋体" w:hAnsi="宋体" w:cs="Arial"/>
          <w:snapToGrid w:val="0"/>
          <w:color w:val="auto"/>
          <w:kern w:val="0"/>
          <w:szCs w:val="21"/>
          <w:highlight w:val="none"/>
        </w:rPr>
        <w:t>为项目经理，负责对本合同工程实行全过程管理；如需更换项目经理的，必须经甲方书面同意且更换后的项目经理各项资质、能力不得低于原项目经理。项目经理到现场的时间应与施工工人相同，且每天必须在现场。</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保证具备实施该工程的相关资质，如违反前述约定造成甲方损失的，</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应当承担全部赔偿责任。</w:t>
      </w:r>
    </w:p>
    <w:p w14:paraId="0868F26A">
      <w:pPr>
        <w:spacing w:line="440" w:lineRule="exact"/>
        <w:ind w:firstLine="420" w:firstLineChars="200"/>
        <w:rPr>
          <w:rFonts w:ascii="宋体" w:hAnsi="宋体" w:cs="宋体"/>
          <w:snapToGrid w:val="0"/>
          <w:color w:val="auto"/>
          <w:kern w:val="0"/>
          <w:szCs w:val="21"/>
          <w:highlight w:val="none"/>
        </w:rPr>
      </w:pPr>
      <w:r>
        <w:rPr>
          <w:rFonts w:ascii="宋体" w:hAnsi="宋体" w:cs="Arial"/>
          <w:snapToGrid w:val="0"/>
          <w:color w:val="auto"/>
          <w:kern w:val="0"/>
          <w:szCs w:val="21"/>
          <w:highlight w:val="none"/>
        </w:rPr>
        <w:t>4、</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应按</w:t>
      </w:r>
      <w:r>
        <w:rPr>
          <w:rFonts w:ascii="宋体" w:hAnsi="宋体" w:cs="宋体"/>
          <w:snapToGrid w:val="0"/>
          <w:color w:val="auto"/>
          <w:kern w:val="0"/>
          <w:szCs w:val="21"/>
          <w:highlight w:val="none"/>
        </w:rPr>
        <w:t>要求</w:t>
      </w:r>
      <w:r>
        <w:rPr>
          <w:rFonts w:ascii="宋体" w:hAnsi="宋体" w:cs="Arial"/>
          <w:snapToGrid w:val="0"/>
          <w:color w:val="auto"/>
          <w:kern w:val="0"/>
          <w:szCs w:val="21"/>
          <w:highlight w:val="none"/>
        </w:rPr>
        <w:t>组织施工，保质、保量、按期完成施工任务及其他应由</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负责的各项工作，如做好各项质量检查记录、参加竣工验收编制工程结算等。如施工过程中，</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施工现场管理混乱、工程质量和进度达不到要求，甲方</w:t>
      </w:r>
      <w:r>
        <w:rPr>
          <w:rFonts w:hint="eastAsia" w:ascii="宋体" w:hAnsi="宋体" w:cs="Arial"/>
          <w:snapToGrid w:val="0"/>
          <w:color w:val="auto"/>
          <w:kern w:val="0"/>
          <w:szCs w:val="21"/>
          <w:highlight w:val="none"/>
        </w:rPr>
        <w:t>或监理</w:t>
      </w:r>
      <w:r>
        <w:rPr>
          <w:rFonts w:ascii="宋体" w:hAnsi="宋体" w:cs="宋体"/>
          <w:snapToGrid w:val="0"/>
          <w:color w:val="auto"/>
          <w:kern w:val="0"/>
          <w:szCs w:val="21"/>
          <w:highlight w:val="none"/>
        </w:rPr>
        <w:t>有权要求乙方调整、充实施工力量，乙方应按甲方</w:t>
      </w:r>
      <w:r>
        <w:rPr>
          <w:rFonts w:hint="eastAsia" w:ascii="宋体" w:hAnsi="宋体" w:cs="宋体"/>
          <w:snapToGrid w:val="0"/>
          <w:color w:val="auto"/>
          <w:kern w:val="0"/>
          <w:szCs w:val="21"/>
          <w:highlight w:val="none"/>
        </w:rPr>
        <w:t>或监理</w:t>
      </w:r>
      <w:r>
        <w:rPr>
          <w:rFonts w:ascii="宋体" w:hAnsi="宋体" w:cs="宋体"/>
          <w:snapToGrid w:val="0"/>
          <w:color w:val="auto"/>
          <w:kern w:val="0"/>
          <w:szCs w:val="21"/>
          <w:highlight w:val="none"/>
        </w:rPr>
        <w:t>要求执行。因乙方施工现场管理混乱导致甲方损失或者第三方损失的，乙方应当承担全部赔偿责任。</w:t>
      </w:r>
    </w:p>
    <w:p w14:paraId="02DFD124">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5、施工中</w:t>
      </w:r>
      <w:r>
        <w:rPr>
          <w:rFonts w:ascii="宋体" w:hAnsi="宋体" w:cs="宋体"/>
          <w:snapToGrid w:val="0"/>
          <w:color w:val="auto"/>
          <w:kern w:val="0"/>
          <w:szCs w:val="21"/>
          <w:highlight w:val="none"/>
        </w:rPr>
        <w:t>未经</w:t>
      </w:r>
      <w:r>
        <w:rPr>
          <w:rFonts w:ascii="宋体" w:hAnsi="宋体" w:cs="Arial"/>
          <w:snapToGrid w:val="0"/>
          <w:color w:val="auto"/>
          <w:kern w:val="0"/>
          <w:szCs w:val="21"/>
          <w:highlight w:val="none"/>
        </w:rPr>
        <w:t>甲方同意或有关部门批准，</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不得随意拆改原建筑物结构及各种设备管线。确实需要拆改原建筑物结构或设备管线的，经甲方确认后，</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负责到有关部门办理相应审批手续，违反前述约定造成甲方或他人损失的，</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应当承担全部责任。</w:t>
      </w:r>
    </w:p>
    <w:p w14:paraId="3FEA5204">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6、乙方应遵守国家或地方政府及有关部门对施工现场管理的规定，妥善保护好施工现场周围建筑物、设备管线、古树名木不受损坏。处理好由于施工带来的扰民问题</w:t>
      </w:r>
      <w:r>
        <w:rPr>
          <w:rFonts w:hint="eastAsia" w:ascii="宋体" w:hAnsi="宋体" w:cs="宋体"/>
          <w:snapToGrid w:val="0"/>
          <w:color w:val="auto"/>
          <w:kern w:val="0"/>
          <w:szCs w:val="21"/>
          <w:highlight w:val="none"/>
        </w:rPr>
        <w:t>，处理好施工与教学、师生生活秩序的关系</w:t>
      </w:r>
      <w:r>
        <w:rPr>
          <w:rFonts w:ascii="宋体" w:hAnsi="宋体" w:cs="宋体"/>
          <w:snapToGrid w:val="0"/>
          <w:color w:val="auto"/>
          <w:kern w:val="0"/>
          <w:szCs w:val="21"/>
          <w:highlight w:val="none"/>
        </w:rPr>
        <w:t>，如产生投诉或法律纠纷的，应当由乙方自行处理并承担全部责任。</w:t>
      </w:r>
    </w:p>
    <w:p w14:paraId="36971D28">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7、工程</w:t>
      </w:r>
      <w:r>
        <w:rPr>
          <w:rFonts w:hint="eastAsia" w:ascii="宋体" w:hAnsi="宋体" w:cs="Arial"/>
          <w:snapToGrid w:val="0"/>
          <w:color w:val="auto"/>
          <w:kern w:val="0"/>
          <w:szCs w:val="21"/>
          <w:highlight w:val="none"/>
        </w:rPr>
        <w:t>施工前、施工过程中</w:t>
      </w:r>
      <w:r>
        <w:rPr>
          <w:rFonts w:ascii="宋体" w:hAnsi="宋体" w:cs="Arial"/>
          <w:snapToGrid w:val="0"/>
          <w:color w:val="auto"/>
          <w:kern w:val="0"/>
          <w:szCs w:val="21"/>
          <w:highlight w:val="none"/>
        </w:rPr>
        <w:t>，</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应对施工现场</w:t>
      </w:r>
      <w:r>
        <w:rPr>
          <w:rFonts w:hint="eastAsia" w:ascii="宋体" w:hAnsi="宋体" w:cs="Arial"/>
          <w:snapToGrid w:val="0"/>
          <w:color w:val="auto"/>
          <w:kern w:val="0"/>
          <w:szCs w:val="21"/>
          <w:highlight w:val="none"/>
        </w:rPr>
        <w:t>原有</w:t>
      </w:r>
      <w:r>
        <w:rPr>
          <w:rFonts w:ascii="宋体" w:hAnsi="宋体" w:cs="Arial"/>
          <w:snapToGrid w:val="0"/>
          <w:color w:val="auto"/>
          <w:kern w:val="0"/>
          <w:szCs w:val="21"/>
          <w:highlight w:val="none"/>
        </w:rPr>
        <w:t>的一切设施</w:t>
      </w:r>
      <w:r>
        <w:rPr>
          <w:rFonts w:hint="eastAsia" w:ascii="宋体" w:hAnsi="宋体" w:cs="Arial"/>
          <w:snapToGrid w:val="0"/>
          <w:color w:val="auto"/>
          <w:kern w:val="0"/>
          <w:szCs w:val="21"/>
          <w:highlight w:val="none"/>
        </w:rPr>
        <w:t>、设备</w:t>
      </w:r>
      <w:r>
        <w:rPr>
          <w:rFonts w:ascii="宋体" w:hAnsi="宋体" w:cs="Arial"/>
          <w:snapToGrid w:val="0"/>
          <w:color w:val="auto"/>
          <w:kern w:val="0"/>
          <w:szCs w:val="21"/>
          <w:highlight w:val="none"/>
        </w:rPr>
        <w:t>和已经完成的成品、半成品进行保护，如造成损坏的，</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应予以</w:t>
      </w:r>
      <w:r>
        <w:rPr>
          <w:rFonts w:ascii="宋体" w:hAnsi="宋体" w:cs="宋体"/>
          <w:snapToGrid w:val="0"/>
          <w:color w:val="auto"/>
          <w:kern w:val="0"/>
          <w:szCs w:val="21"/>
          <w:highlight w:val="none"/>
        </w:rPr>
        <w:t>修复</w:t>
      </w:r>
      <w:r>
        <w:rPr>
          <w:rFonts w:ascii="宋体" w:hAnsi="宋体" w:cs="Arial"/>
          <w:snapToGrid w:val="0"/>
          <w:color w:val="auto"/>
          <w:kern w:val="0"/>
          <w:szCs w:val="21"/>
          <w:highlight w:val="none"/>
        </w:rPr>
        <w:t>或照价赔偿。</w:t>
      </w:r>
    </w:p>
    <w:p w14:paraId="442AB179">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8、工程</w:t>
      </w:r>
      <w:r>
        <w:rPr>
          <w:rFonts w:ascii="宋体" w:hAnsi="宋体" w:cs="宋体"/>
          <w:snapToGrid w:val="0"/>
          <w:color w:val="auto"/>
          <w:kern w:val="0"/>
          <w:szCs w:val="21"/>
          <w:highlight w:val="none"/>
        </w:rPr>
        <w:t>竣工</w:t>
      </w:r>
      <w:r>
        <w:rPr>
          <w:rFonts w:ascii="宋体" w:hAnsi="宋体" w:cs="Arial"/>
          <w:snapToGrid w:val="0"/>
          <w:color w:val="auto"/>
          <w:kern w:val="0"/>
          <w:szCs w:val="21"/>
          <w:highlight w:val="none"/>
        </w:rPr>
        <w:t>验收合格后</w:t>
      </w:r>
      <w:r>
        <w:rPr>
          <w:rFonts w:ascii="宋体" w:hAnsi="宋体" w:cs="Arial"/>
          <w:snapToGrid w:val="0"/>
          <w:color w:val="auto"/>
          <w:kern w:val="0"/>
          <w:szCs w:val="21"/>
          <w:highlight w:val="none"/>
          <w:u w:val="single"/>
        </w:rPr>
        <w:t>5</w:t>
      </w:r>
      <w:r>
        <w:rPr>
          <w:rFonts w:ascii="宋体" w:hAnsi="宋体" w:cs="Arial"/>
          <w:snapToGrid w:val="0"/>
          <w:color w:val="auto"/>
          <w:kern w:val="0"/>
          <w:szCs w:val="21"/>
          <w:highlight w:val="none"/>
        </w:rPr>
        <w:t>日内，</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应向甲方移交工程。</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逾期移交工程的，参照工期延误承担违约责任。工程</w:t>
      </w:r>
      <w:r>
        <w:rPr>
          <w:rFonts w:hint="eastAsia" w:ascii="宋体" w:hAnsi="宋体" w:cs="Arial"/>
          <w:snapToGrid w:val="0"/>
          <w:color w:val="auto"/>
          <w:kern w:val="0"/>
          <w:szCs w:val="21"/>
          <w:highlight w:val="none"/>
        </w:rPr>
        <w:t>竣工验收前、</w:t>
      </w:r>
      <w:r>
        <w:rPr>
          <w:rFonts w:ascii="宋体" w:hAnsi="宋体" w:cs="Arial"/>
          <w:snapToGrid w:val="0"/>
          <w:color w:val="auto"/>
          <w:kern w:val="0"/>
          <w:szCs w:val="21"/>
          <w:highlight w:val="none"/>
        </w:rPr>
        <w:t>工程未移交甲方之前，</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负责对现场的一切设施和工程成品进行保护及各项费用的承担，如造成甲方损失的，</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应照价赔偿。</w:t>
      </w:r>
    </w:p>
    <w:p w14:paraId="2DB6B2FA">
      <w:pPr>
        <w:spacing w:line="440" w:lineRule="exact"/>
        <w:ind w:firstLine="420" w:firstLineChars="200"/>
        <w:rPr>
          <w:rFonts w:ascii="宋体" w:hAnsi="宋体" w:cs="宋体"/>
          <w:snapToGrid w:val="0"/>
          <w:color w:val="auto"/>
          <w:kern w:val="0"/>
          <w:szCs w:val="21"/>
          <w:highlight w:val="none"/>
        </w:rPr>
      </w:pPr>
      <w:r>
        <w:rPr>
          <w:rFonts w:ascii="宋体" w:hAnsi="宋体" w:cs="Arial"/>
          <w:snapToGrid w:val="0"/>
          <w:color w:val="auto"/>
          <w:kern w:val="0"/>
          <w:szCs w:val="21"/>
          <w:highlight w:val="none"/>
        </w:rPr>
        <w:t>9、</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须与包括农民工在内的所有雇用人</w:t>
      </w:r>
      <w:r>
        <w:rPr>
          <w:rFonts w:ascii="宋体" w:hAnsi="宋体" w:cs="宋体"/>
          <w:snapToGrid w:val="0"/>
          <w:color w:val="auto"/>
          <w:kern w:val="0"/>
          <w:szCs w:val="21"/>
          <w:highlight w:val="none"/>
        </w:rPr>
        <w:t>员签订劳动合同，为雇用人员购买工伤保险、医疗保险、意外伤害险等，并应及时足额支付劳动报酬。如因乙方原因乙方雇用人员与乙方发生劳动纠纷、工伤等情形的，均由乙方负责处理并承担相应的责任，与甲方无关。</w:t>
      </w:r>
    </w:p>
    <w:p w14:paraId="58EAD40F">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10、乙方不得将本工程转包</w:t>
      </w:r>
      <w:r>
        <w:rPr>
          <w:rFonts w:hint="eastAsia" w:ascii="宋体" w:hAnsi="宋体" w:cs="宋体"/>
          <w:snapToGrid w:val="0"/>
          <w:color w:val="auto"/>
          <w:kern w:val="0"/>
          <w:szCs w:val="21"/>
          <w:highlight w:val="none"/>
        </w:rPr>
        <w:t>和违法</w:t>
      </w:r>
      <w:r>
        <w:rPr>
          <w:rFonts w:ascii="宋体" w:hAnsi="宋体" w:cs="宋体"/>
          <w:snapToGrid w:val="0"/>
          <w:color w:val="auto"/>
          <w:kern w:val="0"/>
          <w:szCs w:val="21"/>
          <w:highlight w:val="none"/>
        </w:rPr>
        <w:t>分包。</w:t>
      </w:r>
    </w:p>
    <w:p w14:paraId="3789ACA1">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八、安全生产和文明施工</w:t>
      </w:r>
    </w:p>
    <w:p w14:paraId="60D5A0D1">
      <w:pPr>
        <w:spacing w:line="440" w:lineRule="exact"/>
        <w:ind w:firstLine="420" w:firstLineChars="200"/>
        <w:rPr>
          <w:rFonts w:ascii="宋体" w:hAnsi="宋体" w:cs="Arial"/>
          <w:snapToGrid w:val="0"/>
          <w:color w:val="auto"/>
          <w:kern w:val="0"/>
          <w:szCs w:val="21"/>
          <w:highlight w:val="none"/>
        </w:rPr>
      </w:pPr>
      <w:r>
        <w:rPr>
          <w:rFonts w:ascii="宋体" w:hAnsi="宋体" w:cs="宋体"/>
          <w:snapToGrid w:val="0"/>
          <w:color w:val="auto"/>
          <w:kern w:val="0"/>
          <w:szCs w:val="21"/>
          <w:highlight w:val="none"/>
        </w:rPr>
        <w:t>1、施工期间，乙方应严格执行施工规范以及有关安全生产的法律法规，遵守甲方现场施工管理规定，强化安全意识，抓好安全生产，保证施工过程中的安全。如因乙方原因造成乙方</w:t>
      </w:r>
      <w:r>
        <w:rPr>
          <w:rFonts w:ascii="宋体" w:hAnsi="宋体" w:cs="Arial"/>
          <w:snapToGrid w:val="0"/>
          <w:color w:val="auto"/>
          <w:kern w:val="0"/>
          <w:szCs w:val="21"/>
          <w:highlight w:val="none"/>
        </w:rPr>
        <w:t>人员伤亡，或者造成甲方及其他任何第三方人身、财产损害的，全部责任由</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承担。</w:t>
      </w:r>
    </w:p>
    <w:p w14:paraId="6B5C42A2">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2、施工期间，</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做好施工现场保卫和垃圾消纳等工作，及时整理和妥善安排所有机械、工具、材料、建筑垃圾等，保持施工现场的整洁有序，做到工完场清，但工程实施过程中的多余材料、物品必须在甲方确认不需要时方可进行清理。同时，每个楼层的多余材料、建筑垃圾，</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必须</w:t>
      </w:r>
      <w:r>
        <w:rPr>
          <w:rFonts w:hint="eastAsia" w:ascii="宋体" w:hAnsi="宋体" w:cs="Arial"/>
          <w:snapToGrid w:val="0"/>
          <w:color w:val="auto"/>
          <w:kern w:val="0"/>
          <w:szCs w:val="21"/>
          <w:highlight w:val="none"/>
        </w:rPr>
        <w:t>及时清运</w:t>
      </w:r>
      <w:r>
        <w:rPr>
          <w:rFonts w:hint="eastAsia" w:ascii="宋体" w:hAnsi="宋体" w:cs="Arial"/>
          <w:snapToGrid w:val="0"/>
          <w:color w:val="auto"/>
          <w:kern w:val="0"/>
          <w:szCs w:val="21"/>
          <w:highlight w:val="none"/>
          <w:lang w:eastAsia="zh-CN"/>
        </w:rPr>
        <w:t>。</w:t>
      </w:r>
      <w:r>
        <w:rPr>
          <w:rFonts w:ascii="宋体" w:hAnsi="宋体" w:cs="Arial"/>
          <w:snapToGrid w:val="0"/>
          <w:color w:val="auto"/>
          <w:kern w:val="0"/>
          <w:szCs w:val="21"/>
          <w:highlight w:val="none"/>
        </w:rPr>
        <w:t>严禁从高空直接向下抛物、随地大小便，否则，</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每次向甲方支付违约金</w:t>
      </w:r>
      <w:r>
        <w:rPr>
          <w:rFonts w:hint="eastAsia" w:ascii="宋体" w:hAnsi="宋体" w:cs="Arial"/>
          <w:snapToGrid w:val="0"/>
          <w:color w:val="auto"/>
          <w:kern w:val="0"/>
          <w:szCs w:val="21"/>
          <w:highlight w:val="none"/>
          <w:lang w:val="en-US" w:eastAsia="zh-CN"/>
        </w:rPr>
        <w:t>1</w:t>
      </w:r>
      <w:r>
        <w:rPr>
          <w:rFonts w:ascii="宋体" w:hAnsi="宋体" w:cs="Arial"/>
          <w:snapToGrid w:val="0"/>
          <w:color w:val="auto"/>
          <w:kern w:val="0"/>
          <w:szCs w:val="21"/>
          <w:highlight w:val="none"/>
          <w:u w:val="single"/>
        </w:rPr>
        <w:t>000</w:t>
      </w:r>
      <w:r>
        <w:rPr>
          <w:rFonts w:ascii="宋体" w:hAnsi="宋体" w:cs="Arial"/>
          <w:snapToGrid w:val="0"/>
          <w:color w:val="auto"/>
          <w:kern w:val="0"/>
          <w:szCs w:val="21"/>
          <w:highlight w:val="none"/>
        </w:rPr>
        <w:t>元</w:t>
      </w:r>
      <w:r>
        <w:rPr>
          <w:rFonts w:hint="eastAsia" w:ascii="宋体" w:hAnsi="宋体" w:cs="Arial"/>
          <w:snapToGrid w:val="0"/>
          <w:color w:val="auto"/>
          <w:kern w:val="0"/>
          <w:szCs w:val="21"/>
          <w:highlight w:val="none"/>
        </w:rPr>
        <w:t>，因</w:t>
      </w:r>
      <w:r>
        <w:rPr>
          <w:rFonts w:ascii="宋体" w:hAnsi="宋体" w:cs="Arial"/>
          <w:snapToGrid w:val="0"/>
          <w:color w:val="auto"/>
          <w:kern w:val="0"/>
          <w:szCs w:val="21"/>
          <w:highlight w:val="none"/>
        </w:rPr>
        <w:t>高空直接向下抛物引起的一切责任由</w:t>
      </w:r>
      <w:r>
        <w:rPr>
          <w:rFonts w:hint="eastAsia" w:ascii="宋体" w:hAnsi="宋体" w:cs="宋体"/>
          <w:snapToGrid w:val="0"/>
          <w:color w:val="auto"/>
          <w:kern w:val="0"/>
          <w:szCs w:val="21"/>
          <w:highlight w:val="none"/>
        </w:rPr>
        <w:t>乙</w:t>
      </w:r>
      <w:r>
        <w:rPr>
          <w:rFonts w:ascii="宋体" w:hAnsi="宋体" w:cs="宋体"/>
          <w:snapToGrid w:val="0"/>
          <w:color w:val="auto"/>
          <w:kern w:val="0"/>
          <w:szCs w:val="21"/>
          <w:highlight w:val="none"/>
        </w:rPr>
        <w:t>方</w:t>
      </w:r>
      <w:r>
        <w:rPr>
          <w:rFonts w:ascii="宋体" w:hAnsi="宋体" w:cs="Arial"/>
          <w:snapToGrid w:val="0"/>
          <w:color w:val="auto"/>
          <w:kern w:val="0"/>
          <w:szCs w:val="21"/>
          <w:highlight w:val="none"/>
        </w:rPr>
        <w:t>承担。</w:t>
      </w:r>
    </w:p>
    <w:p w14:paraId="1F186C8F">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3、</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应当严格执行环境保护规定，采取合理措施保护施工现场环境。对施工作业过程中可能引起的大气、水、噪音、以及固体废弃物污染等采取可行的防范措施，否则因此引起的一切责任由</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承担。</w:t>
      </w:r>
    </w:p>
    <w:p w14:paraId="0C3C385F">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九、工程</w:t>
      </w:r>
      <w:r>
        <w:rPr>
          <w:rFonts w:ascii="宋体" w:hAnsi="宋体" w:cs="宋体"/>
          <w:snapToGrid w:val="0"/>
          <w:color w:val="auto"/>
          <w:kern w:val="0"/>
          <w:szCs w:val="21"/>
          <w:highlight w:val="none"/>
        </w:rPr>
        <w:t>变更</w:t>
      </w:r>
      <w:r>
        <w:rPr>
          <w:rFonts w:ascii="宋体" w:hAnsi="宋体" w:cs="Arial"/>
          <w:snapToGrid w:val="0"/>
          <w:color w:val="auto"/>
          <w:kern w:val="0"/>
          <w:szCs w:val="21"/>
          <w:highlight w:val="none"/>
        </w:rPr>
        <w:t>(如有)</w:t>
      </w:r>
    </w:p>
    <w:p w14:paraId="1F667A6C">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1、甲方有权发出变更指示，变更指示应说明计划变更的工程范围及内容，</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应当按照变更指示执行。未经甲方许可，乙方不得擅自对工程的任何部分进行变更。因</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擅自变更发生的费用和由此导致甲方的损失，由</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承担，延误的工期不予顺延。</w:t>
      </w:r>
    </w:p>
    <w:p w14:paraId="7E0428FE">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w:t>
      </w:r>
      <w:r>
        <w:rPr>
          <w:rFonts w:ascii="宋体" w:hAnsi="宋体" w:cs="宋体"/>
          <w:snapToGrid w:val="0"/>
          <w:color w:val="auto"/>
          <w:kern w:val="0"/>
          <w:szCs w:val="21"/>
          <w:highlight w:val="none"/>
        </w:rPr>
        <w:t>乙方</w:t>
      </w:r>
      <w:r>
        <w:rPr>
          <w:rFonts w:ascii="宋体" w:hAnsi="宋体" w:cs="Arial"/>
          <w:snapToGrid w:val="0"/>
          <w:color w:val="auto"/>
          <w:kern w:val="0"/>
          <w:szCs w:val="21"/>
          <w:highlight w:val="none"/>
        </w:rPr>
        <w:t>承诺每周一汇总上报上周现场完成实施的并有</w:t>
      </w:r>
      <w:r>
        <w:rPr>
          <w:rFonts w:hint="eastAsia" w:ascii="宋体" w:hAnsi="宋体" w:cs="Arial"/>
          <w:snapToGrid w:val="0"/>
          <w:color w:val="auto"/>
          <w:kern w:val="0"/>
          <w:szCs w:val="21"/>
          <w:highlight w:val="none"/>
        </w:rPr>
        <w:t>监理和</w:t>
      </w:r>
      <w:r>
        <w:rPr>
          <w:rFonts w:ascii="宋体" w:hAnsi="宋体" w:cs="Arial"/>
          <w:snapToGrid w:val="0"/>
          <w:color w:val="auto"/>
          <w:kern w:val="0"/>
          <w:szCs w:val="21"/>
          <w:highlight w:val="none"/>
        </w:rPr>
        <w:t>甲方签章确认的变更、签证单，超过申报日期再申报而增加的工程量或价款甲方均不受理。</w:t>
      </w:r>
    </w:p>
    <w:p w14:paraId="7F66E329">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3、甲乙双方约定合同价款的调整因素：(1)</w:t>
      </w:r>
      <w:r>
        <w:rPr>
          <w:rFonts w:hint="eastAsia" w:ascii="宋体" w:hAnsi="宋体" w:cs="Arial"/>
          <w:snapToGrid w:val="0"/>
          <w:color w:val="auto"/>
          <w:kern w:val="0"/>
          <w:szCs w:val="21"/>
          <w:highlight w:val="none"/>
        </w:rPr>
        <w:t>监理和</w:t>
      </w:r>
      <w:r>
        <w:rPr>
          <w:rFonts w:ascii="宋体" w:hAnsi="宋体" w:cs="Arial"/>
          <w:snapToGrid w:val="0"/>
          <w:color w:val="auto"/>
          <w:kern w:val="0"/>
          <w:szCs w:val="21"/>
          <w:highlight w:val="none"/>
        </w:rPr>
        <w:t>甲方确认的设计变更；(2)</w:t>
      </w:r>
      <w:r>
        <w:rPr>
          <w:rFonts w:hint="eastAsia" w:ascii="宋体" w:hAnsi="宋体" w:cs="Arial"/>
          <w:snapToGrid w:val="0"/>
          <w:color w:val="auto"/>
          <w:kern w:val="0"/>
          <w:szCs w:val="21"/>
          <w:highlight w:val="none"/>
        </w:rPr>
        <w:t>监理和</w:t>
      </w:r>
      <w:r>
        <w:rPr>
          <w:rFonts w:ascii="宋体" w:hAnsi="宋体" w:cs="Arial"/>
          <w:snapToGrid w:val="0"/>
          <w:color w:val="auto"/>
          <w:kern w:val="0"/>
          <w:szCs w:val="21"/>
          <w:highlight w:val="none"/>
        </w:rPr>
        <w:t>甲方确认的现场签证。如无</w:t>
      </w:r>
      <w:r>
        <w:rPr>
          <w:rFonts w:hint="eastAsia" w:ascii="宋体" w:hAnsi="宋体" w:cs="Arial"/>
          <w:snapToGrid w:val="0"/>
          <w:color w:val="auto"/>
          <w:kern w:val="0"/>
          <w:szCs w:val="21"/>
          <w:highlight w:val="none"/>
        </w:rPr>
        <w:t>监理和</w:t>
      </w:r>
      <w:r>
        <w:rPr>
          <w:rFonts w:ascii="宋体" w:hAnsi="宋体" w:cs="Arial"/>
          <w:snapToGrid w:val="0"/>
          <w:color w:val="auto"/>
          <w:kern w:val="0"/>
          <w:szCs w:val="21"/>
          <w:highlight w:val="none"/>
        </w:rPr>
        <w:t>甲方确认的设计变更和现场签证，</w:t>
      </w:r>
      <w:r>
        <w:rPr>
          <w:rFonts w:hint="eastAsia"/>
          <w:color w:val="auto"/>
          <w:highlight w:val="none"/>
        </w:rPr>
        <w:t>合同外</w:t>
      </w:r>
      <w:r>
        <w:rPr>
          <w:rFonts w:ascii="宋体" w:hAnsi="宋体" w:cs="Arial"/>
          <w:snapToGrid w:val="0"/>
          <w:color w:val="auto"/>
          <w:kern w:val="0"/>
          <w:szCs w:val="21"/>
          <w:highlight w:val="none"/>
        </w:rPr>
        <w:t>增加的相关工程量和造价在结算时不予调整。</w:t>
      </w:r>
    </w:p>
    <w:p w14:paraId="7BCF7364">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因变更引起的价格调整支付时间：</w:t>
      </w:r>
    </w:p>
    <w:p w14:paraId="748215F6">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（1）增加的工程价款在竣工结算时支付；</w:t>
      </w:r>
    </w:p>
    <w:p w14:paraId="6BD1B23A">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（2）减少的工程价款在竣工结算时扣除。</w:t>
      </w:r>
    </w:p>
    <w:p w14:paraId="410812E3">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4、工程</w:t>
      </w:r>
      <w:r>
        <w:rPr>
          <w:rFonts w:ascii="宋体" w:hAnsi="宋体" w:cs="宋体"/>
          <w:snapToGrid w:val="0"/>
          <w:color w:val="auto"/>
          <w:kern w:val="0"/>
          <w:szCs w:val="21"/>
          <w:highlight w:val="none"/>
        </w:rPr>
        <w:t>变更</w:t>
      </w:r>
      <w:r>
        <w:rPr>
          <w:rFonts w:ascii="宋体" w:hAnsi="宋体" w:cs="Arial"/>
          <w:snapToGrid w:val="0"/>
          <w:color w:val="auto"/>
          <w:kern w:val="0"/>
          <w:szCs w:val="21"/>
          <w:highlight w:val="none"/>
        </w:rPr>
        <w:t>所引起的价格调整按照下列方法处理：</w:t>
      </w:r>
    </w:p>
    <w:p w14:paraId="10162DD9">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（1）合同有相同项目的，按照相同项目单价认定。</w:t>
      </w:r>
    </w:p>
    <w:p w14:paraId="5415EA42">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（2）合同无相同项目，但有类似项目的，参照类似项目单价认定。</w:t>
      </w:r>
    </w:p>
    <w:p w14:paraId="5D370653">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（3）合同无相同项目及类似项目单价的，按以下约定执行：</w:t>
      </w:r>
    </w:p>
    <w:p w14:paraId="48DA2224">
      <w:pPr>
        <w:spacing w:line="440" w:lineRule="exact"/>
        <w:ind w:firstLine="630" w:firstLineChars="300"/>
        <w:rPr>
          <w:rFonts w:ascii="宋体" w:hAnsi="宋体" w:cs="Arial"/>
          <w:snapToGrid w:val="0"/>
          <w:color w:val="auto"/>
          <w:kern w:val="0"/>
          <w:szCs w:val="21"/>
          <w:highlight w:val="none"/>
        </w:rPr>
      </w:pPr>
      <w:r>
        <w:rPr>
          <w:rFonts w:ascii="宋体" w:hAnsi="宋体" w:cs="Arial"/>
          <w:snapToGrid w:val="0"/>
          <w:color w:val="auto"/>
          <w:kern w:val="0"/>
          <w:szCs w:val="21"/>
          <w:highlight w:val="none"/>
        </w:rPr>
        <w:t>1）材料价格风险：按本合同第三条第1点第（2）款的约定调整。</w:t>
      </w:r>
    </w:p>
    <w:p w14:paraId="104F9ED4">
      <w:pPr>
        <w:spacing w:line="440" w:lineRule="exact"/>
        <w:ind w:firstLine="630" w:firstLineChars="300"/>
        <w:rPr>
          <w:rFonts w:ascii="宋体" w:hAnsi="宋体" w:cs="Arial"/>
          <w:snapToGrid w:val="0"/>
          <w:color w:val="auto"/>
          <w:kern w:val="0"/>
          <w:szCs w:val="21"/>
          <w:highlight w:val="none"/>
        </w:rPr>
      </w:pPr>
      <w:r>
        <w:rPr>
          <w:rFonts w:ascii="宋体" w:hAnsi="宋体" w:cs="Arial"/>
          <w:snapToGrid w:val="0"/>
          <w:color w:val="auto"/>
          <w:kern w:val="0"/>
          <w:szCs w:val="21"/>
          <w:highlight w:val="none"/>
        </w:rPr>
        <w:t>2）因工期短，政策性调整不予调整。</w:t>
      </w:r>
    </w:p>
    <w:p w14:paraId="4CC5A108">
      <w:pPr>
        <w:spacing w:line="440" w:lineRule="exact"/>
        <w:ind w:firstLine="630" w:firstLineChars="300"/>
        <w:rPr>
          <w:rFonts w:ascii="宋体" w:hAnsi="宋体" w:cs="Arial"/>
          <w:snapToGrid w:val="0"/>
          <w:color w:val="auto"/>
          <w:kern w:val="0"/>
          <w:szCs w:val="21"/>
          <w:highlight w:val="none"/>
        </w:rPr>
      </w:pPr>
      <w:r>
        <w:rPr>
          <w:rFonts w:ascii="宋体" w:hAnsi="宋体" w:cs="Arial"/>
          <w:snapToGrid w:val="0"/>
          <w:color w:val="auto"/>
          <w:kern w:val="0"/>
          <w:szCs w:val="21"/>
          <w:highlight w:val="none"/>
        </w:rPr>
        <w:t>3）合同中没有适用或类似子目的价格计算方法：有定额的套定额（土石方工程除外）；无定额可套的，根据甲方、监理单位确认的施工工序重新组价并经甲方审定；其中，材料价格按施工期间的《</w:t>
      </w:r>
      <w:r>
        <w:rPr>
          <w:rFonts w:hint="eastAsia" w:ascii="宋体" w:hAnsi="宋体" w:cs="Arial"/>
          <w:snapToGrid w:val="0"/>
          <w:color w:val="auto"/>
          <w:kern w:val="0"/>
          <w:szCs w:val="21"/>
          <w:highlight w:val="none"/>
          <w:lang w:eastAsia="zh-CN"/>
        </w:rPr>
        <w:t>贵港市建设工程造价信息</w:t>
      </w:r>
      <w:r>
        <w:rPr>
          <w:rFonts w:ascii="宋体" w:hAnsi="宋体" w:cs="Arial"/>
          <w:snapToGrid w:val="0"/>
          <w:color w:val="auto"/>
          <w:kern w:val="0"/>
          <w:szCs w:val="21"/>
          <w:highlight w:val="none"/>
        </w:rPr>
        <w:t>》相应价格信息（中档价）计算，《</w:t>
      </w:r>
      <w:r>
        <w:rPr>
          <w:rFonts w:hint="eastAsia" w:ascii="宋体" w:hAnsi="宋体" w:cs="Arial"/>
          <w:snapToGrid w:val="0"/>
          <w:color w:val="auto"/>
          <w:kern w:val="0"/>
          <w:szCs w:val="21"/>
          <w:highlight w:val="none"/>
          <w:lang w:eastAsia="zh-CN"/>
        </w:rPr>
        <w:t>贵港市建设工程造价信息</w:t>
      </w:r>
      <w:r>
        <w:rPr>
          <w:rFonts w:ascii="宋体" w:hAnsi="宋体" w:cs="Arial"/>
          <w:snapToGrid w:val="0"/>
          <w:color w:val="auto"/>
          <w:kern w:val="0"/>
          <w:szCs w:val="21"/>
          <w:highlight w:val="none"/>
        </w:rPr>
        <w:t>》没有相应价格信息的按甲方、监理单位及乙方通过市场调查协商的市场价计算。</w:t>
      </w:r>
    </w:p>
    <w:p w14:paraId="4CE49920">
      <w:pPr>
        <w:spacing w:line="440" w:lineRule="exact"/>
        <w:ind w:firstLine="630" w:firstLineChars="300"/>
        <w:rPr>
          <w:rFonts w:ascii="宋体" w:hAnsi="宋体" w:cs="Arial"/>
          <w:snapToGrid w:val="0"/>
          <w:color w:val="auto"/>
          <w:kern w:val="0"/>
          <w:szCs w:val="21"/>
          <w:highlight w:val="none"/>
        </w:rPr>
      </w:pPr>
      <w:r>
        <w:rPr>
          <w:rFonts w:ascii="宋体" w:hAnsi="宋体" w:cs="Arial"/>
          <w:snapToGrid w:val="0"/>
          <w:color w:val="auto"/>
          <w:kern w:val="0"/>
          <w:szCs w:val="21"/>
          <w:highlight w:val="none"/>
        </w:rPr>
        <w:t>4）本项目按招标控制价《总说明》中所列的消耗量定额及费用定额执行，结算时不因国家和自治区更新的消耗量定额进行调整。上述计价费用定额中属于有区间的费率有规定的按规定计取，无规定的按中值计取，其余费率按规定计取。</w:t>
      </w:r>
    </w:p>
    <w:p w14:paraId="478EB33E">
      <w:pPr>
        <w:spacing w:line="500" w:lineRule="exact"/>
        <w:ind w:firstLine="630" w:firstLineChars="300"/>
        <w:rPr>
          <w:rFonts w:ascii="宋体" w:hAnsi="宋体" w:cs="Arial"/>
          <w:snapToGrid w:val="0"/>
          <w:color w:val="auto"/>
          <w:kern w:val="0"/>
          <w:szCs w:val="21"/>
          <w:highlight w:val="none"/>
        </w:rPr>
      </w:pPr>
      <w:r>
        <w:rPr>
          <w:rFonts w:ascii="宋体" w:hAnsi="宋体" w:cs="Arial"/>
          <w:snapToGrid w:val="0"/>
          <w:color w:val="auto"/>
          <w:kern w:val="0"/>
          <w:szCs w:val="21"/>
          <w:highlight w:val="none"/>
        </w:rPr>
        <w:t>（4）投标清单外增加的内容，按合后约定需重新组价的，均按总价乘以优惠率进行结算，优惠率=合同价/招标控制价</w:t>
      </w:r>
      <w:r>
        <w:rPr>
          <w:rFonts w:hint="eastAsia" w:ascii="宋体" w:hAnsi="宋体" w:cs="Arial"/>
          <w:snapToGrid w:val="0"/>
          <w:color w:val="auto"/>
          <w:kern w:val="0"/>
          <w:szCs w:val="21"/>
          <w:highlight w:val="none"/>
        </w:rPr>
        <w:t>×</w:t>
      </w:r>
      <w:r>
        <w:rPr>
          <w:rFonts w:ascii="宋体" w:hAnsi="宋体" w:cs="Arial"/>
          <w:snapToGrid w:val="0"/>
          <w:color w:val="auto"/>
          <w:kern w:val="0"/>
          <w:szCs w:val="21"/>
          <w:highlight w:val="none"/>
        </w:rPr>
        <w:t>100%。</w:t>
      </w:r>
    </w:p>
    <w:p w14:paraId="12148717">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十、工程验收与结算</w:t>
      </w:r>
    </w:p>
    <w:p w14:paraId="03C31630">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1、隐蔽</w:t>
      </w:r>
      <w:r>
        <w:rPr>
          <w:rFonts w:ascii="宋体" w:hAnsi="宋体" w:cs="宋体"/>
          <w:snapToGrid w:val="0"/>
          <w:color w:val="auto"/>
          <w:kern w:val="0"/>
          <w:szCs w:val="21"/>
          <w:highlight w:val="none"/>
        </w:rPr>
        <w:t>工程</w:t>
      </w:r>
      <w:r>
        <w:rPr>
          <w:rFonts w:ascii="宋体" w:hAnsi="宋体" w:cs="Arial"/>
          <w:snapToGrid w:val="0"/>
          <w:color w:val="auto"/>
          <w:kern w:val="0"/>
          <w:szCs w:val="21"/>
          <w:highlight w:val="none"/>
        </w:rPr>
        <w:t>经乙方自检确认具备覆盖条件的，乙方应在覆盖前</w:t>
      </w:r>
      <w:r>
        <w:rPr>
          <w:rFonts w:ascii="宋体" w:hAnsi="宋体" w:cs="Arial"/>
          <w:snapToGrid w:val="0"/>
          <w:color w:val="auto"/>
          <w:kern w:val="0"/>
          <w:szCs w:val="21"/>
          <w:highlight w:val="none"/>
          <w:u w:val="single"/>
        </w:rPr>
        <w:t>48</w:t>
      </w:r>
      <w:r>
        <w:rPr>
          <w:rFonts w:ascii="宋体" w:hAnsi="宋体" w:cs="Arial"/>
          <w:snapToGrid w:val="0"/>
          <w:color w:val="auto"/>
          <w:kern w:val="0"/>
          <w:szCs w:val="21"/>
          <w:highlight w:val="none"/>
        </w:rPr>
        <w:t>小时以书面形式通知</w:t>
      </w:r>
      <w:r>
        <w:rPr>
          <w:rFonts w:hint="eastAsia" w:ascii="宋体" w:hAnsi="宋体" w:cs="Arial"/>
          <w:snapToGrid w:val="0"/>
          <w:color w:val="auto"/>
          <w:kern w:val="0"/>
          <w:szCs w:val="21"/>
          <w:highlight w:val="none"/>
        </w:rPr>
        <w:t>监理</w:t>
      </w:r>
      <w:r>
        <w:rPr>
          <w:rFonts w:ascii="宋体" w:hAnsi="宋体" w:cs="Arial"/>
          <w:snapToGrid w:val="0"/>
          <w:color w:val="auto"/>
          <w:kern w:val="0"/>
          <w:szCs w:val="21"/>
          <w:highlight w:val="none"/>
        </w:rPr>
        <w:t>验收，通知中应载明隐蔽检查的内容、时间和地点，并应附有自检记录和必要的检查资料。验收合格的，乙方可进行隐蔽和继续施工；验收不合格的，乙方应在</w:t>
      </w:r>
      <w:r>
        <w:rPr>
          <w:rFonts w:hint="eastAsia" w:ascii="宋体" w:hAnsi="宋体" w:cs="Arial"/>
          <w:snapToGrid w:val="0"/>
          <w:color w:val="auto"/>
          <w:kern w:val="0"/>
          <w:szCs w:val="21"/>
          <w:highlight w:val="none"/>
        </w:rPr>
        <w:t>监理</w:t>
      </w:r>
      <w:r>
        <w:rPr>
          <w:rFonts w:ascii="宋体" w:hAnsi="宋体" w:cs="Arial"/>
          <w:snapToGrid w:val="0"/>
          <w:color w:val="auto"/>
          <w:kern w:val="0"/>
          <w:szCs w:val="21"/>
          <w:highlight w:val="none"/>
        </w:rPr>
        <w:t>限定的时间内修改后重新申请验收。</w:t>
      </w:r>
    </w:p>
    <w:p w14:paraId="7DD29A21">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2、乙方认为工程具备完工验收条件须提前</w:t>
      </w:r>
      <w:r>
        <w:rPr>
          <w:rFonts w:ascii="宋体" w:hAnsi="宋体" w:cs="Arial"/>
          <w:snapToGrid w:val="0"/>
          <w:color w:val="auto"/>
          <w:kern w:val="0"/>
          <w:szCs w:val="21"/>
          <w:highlight w:val="none"/>
          <w:u w:val="single"/>
        </w:rPr>
        <w:t>5</w:t>
      </w:r>
      <w:r>
        <w:rPr>
          <w:rFonts w:ascii="宋体" w:hAnsi="宋体" w:cs="Arial"/>
          <w:snapToGrid w:val="0"/>
          <w:color w:val="auto"/>
          <w:kern w:val="0"/>
          <w:szCs w:val="21"/>
          <w:highlight w:val="none"/>
        </w:rPr>
        <w:t>天书面通知</w:t>
      </w:r>
      <w:r>
        <w:rPr>
          <w:rFonts w:hint="eastAsia" w:ascii="宋体" w:hAnsi="宋体" w:cs="Arial"/>
          <w:snapToGrid w:val="0"/>
          <w:color w:val="auto"/>
          <w:kern w:val="0"/>
          <w:szCs w:val="21"/>
          <w:highlight w:val="none"/>
        </w:rPr>
        <w:t>监理和</w:t>
      </w:r>
      <w:r>
        <w:rPr>
          <w:rFonts w:ascii="宋体" w:hAnsi="宋体" w:cs="Arial"/>
          <w:snapToGrid w:val="0"/>
          <w:color w:val="auto"/>
          <w:kern w:val="0"/>
          <w:szCs w:val="21"/>
          <w:highlight w:val="none"/>
        </w:rPr>
        <w:t>甲方申请验收，并向</w:t>
      </w:r>
      <w:r>
        <w:rPr>
          <w:rFonts w:hint="eastAsia" w:ascii="宋体" w:hAnsi="宋体" w:cs="Arial"/>
          <w:snapToGrid w:val="0"/>
          <w:color w:val="auto"/>
          <w:kern w:val="0"/>
          <w:szCs w:val="21"/>
          <w:highlight w:val="none"/>
        </w:rPr>
        <w:t>监理</w:t>
      </w:r>
      <w:r>
        <w:rPr>
          <w:rFonts w:ascii="宋体" w:hAnsi="宋体" w:cs="Arial"/>
          <w:snapToGrid w:val="0"/>
          <w:color w:val="auto"/>
          <w:kern w:val="0"/>
          <w:szCs w:val="21"/>
          <w:highlight w:val="none"/>
        </w:rPr>
        <w:t>交付竣工资料包括如下内容：</w:t>
      </w:r>
      <w:r>
        <w:rPr>
          <w:rFonts w:ascii="宋体" w:hAnsi="宋体" w:cs="Arial"/>
          <w:snapToGrid w:val="0"/>
          <w:color w:val="auto"/>
          <w:kern w:val="0"/>
          <w:szCs w:val="21"/>
          <w:highlight w:val="none"/>
          <w:u w:val="single"/>
        </w:rPr>
        <w:t>竣工报告一式</w:t>
      </w:r>
      <w:r>
        <w:rPr>
          <w:rFonts w:hint="eastAsia" w:ascii="宋体" w:hAnsi="宋体" w:cs="Arial"/>
          <w:snapToGrid w:val="0"/>
          <w:color w:val="auto"/>
          <w:kern w:val="0"/>
          <w:szCs w:val="21"/>
          <w:highlight w:val="none"/>
          <w:u w:val="single"/>
        </w:rPr>
        <w:t>肆</w:t>
      </w:r>
      <w:r>
        <w:rPr>
          <w:rFonts w:ascii="宋体" w:hAnsi="宋体" w:cs="Arial"/>
          <w:snapToGrid w:val="0"/>
          <w:color w:val="auto"/>
          <w:kern w:val="0"/>
          <w:szCs w:val="21"/>
          <w:highlight w:val="none"/>
          <w:u w:val="single"/>
        </w:rPr>
        <w:t>份</w:t>
      </w:r>
      <w:r>
        <w:rPr>
          <w:rFonts w:ascii="宋体" w:hAnsi="宋体" w:cs="Arial"/>
          <w:snapToGrid w:val="0"/>
          <w:color w:val="auto"/>
          <w:kern w:val="0"/>
          <w:szCs w:val="21"/>
          <w:highlight w:val="none"/>
        </w:rPr>
        <w:t>，</w:t>
      </w:r>
      <w:r>
        <w:rPr>
          <w:rFonts w:ascii="宋体" w:hAnsi="宋体" w:cs="Arial"/>
          <w:snapToGrid w:val="0"/>
          <w:color w:val="auto"/>
          <w:kern w:val="0"/>
          <w:szCs w:val="21"/>
          <w:highlight w:val="none"/>
          <w:u w:val="single"/>
        </w:rPr>
        <w:t>竣工结算文件（含电子版文件）一式</w:t>
      </w:r>
      <w:r>
        <w:rPr>
          <w:rFonts w:hint="eastAsia" w:ascii="宋体" w:hAnsi="宋体" w:cs="Arial"/>
          <w:snapToGrid w:val="0"/>
          <w:color w:val="auto"/>
          <w:kern w:val="0"/>
          <w:szCs w:val="21"/>
          <w:highlight w:val="none"/>
          <w:u w:val="single"/>
        </w:rPr>
        <w:t>肆</w:t>
      </w:r>
      <w:r>
        <w:rPr>
          <w:rFonts w:ascii="宋体" w:hAnsi="宋体" w:cs="Arial"/>
          <w:snapToGrid w:val="0"/>
          <w:color w:val="auto"/>
          <w:kern w:val="0"/>
          <w:szCs w:val="21"/>
          <w:highlight w:val="none"/>
          <w:u w:val="single"/>
        </w:rPr>
        <w:t>份及施工相关的影像资料</w:t>
      </w:r>
      <w:r>
        <w:rPr>
          <w:rFonts w:hint="eastAsia" w:ascii="宋体" w:hAnsi="宋体" w:cs="Arial"/>
          <w:snapToGrid w:val="0"/>
          <w:color w:val="auto"/>
          <w:kern w:val="0"/>
          <w:szCs w:val="21"/>
          <w:highlight w:val="none"/>
          <w:u w:val="single"/>
        </w:rPr>
        <w:t>、竣工图一式两份</w:t>
      </w:r>
      <w:r>
        <w:rPr>
          <w:rFonts w:ascii="宋体" w:hAnsi="宋体" w:cs="Arial"/>
          <w:snapToGrid w:val="0"/>
          <w:color w:val="auto"/>
          <w:kern w:val="0"/>
          <w:szCs w:val="21"/>
          <w:highlight w:val="none"/>
        </w:rPr>
        <w:t>。</w:t>
      </w:r>
      <w:r>
        <w:rPr>
          <w:rFonts w:hint="eastAsia" w:ascii="宋体" w:hAnsi="宋体" w:cs="Arial"/>
          <w:snapToGrid w:val="0"/>
          <w:color w:val="auto"/>
          <w:kern w:val="0"/>
          <w:szCs w:val="21"/>
          <w:highlight w:val="none"/>
        </w:rPr>
        <w:t>监理和</w:t>
      </w:r>
      <w:r>
        <w:rPr>
          <w:rFonts w:ascii="宋体" w:hAnsi="宋体" w:cs="Arial"/>
          <w:snapToGrid w:val="0"/>
          <w:color w:val="auto"/>
          <w:kern w:val="0"/>
          <w:szCs w:val="21"/>
          <w:highlight w:val="none"/>
        </w:rPr>
        <w:t>甲方接到申请报告、资料经核查</w:t>
      </w:r>
      <w:r>
        <w:rPr>
          <w:rFonts w:hint="eastAsia" w:ascii="宋体" w:hAnsi="宋体" w:cs="Arial"/>
          <w:snapToGrid w:val="0"/>
          <w:color w:val="auto"/>
          <w:kern w:val="0"/>
          <w:szCs w:val="21"/>
          <w:highlight w:val="none"/>
        </w:rPr>
        <w:t>符合验收条件的，</w:t>
      </w:r>
      <w:r>
        <w:rPr>
          <w:rFonts w:ascii="宋体" w:hAnsi="宋体" w:cs="Arial"/>
          <w:snapToGrid w:val="0"/>
          <w:color w:val="auto"/>
          <w:kern w:val="0"/>
          <w:szCs w:val="21"/>
          <w:highlight w:val="none"/>
        </w:rPr>
        <w:t>及时组织验收</w:t>
      </w:r>
      <w:r>
        <w:rPr>
          <w:rFonts w:hint="eastAsia" w:ascii="宋体" w:hAnsi="宋体" w:cs="Arial"/>
          <w:snapToGrid w:val="0"/>
          <w:color w:val="auto"/>
          <w:kern w:val="0"/>
          <w:szCs w:val="21"/>
          <w:highlight w:val="none"/>
        </w:rPr>
        <w:t>；</w:t>
      </w:r>
      <w:r>
        <w:rPr>
          <w:rFonts w:ascii="宋体" w:hAnsi="宋体" w:cs="Arial"/>
          <w:snapToGrid w:val="0"/>
          <w:color w:val="auto"/>
          <w:kern w:val="0"/>
          <w:szCs w:val="21"/>
          <w:highlight w:val="none"/>
        </w:rPr>
        <w:t>经审查后认为尚不具备验收条件的，</w:t>
      </w:r>
      <w:r>
        <w:rPr>
          <w:rFonts w:hint="eastAsia" w:ascii="宋体" w:hAnsi="宋体" w:cs="Arial"/>
          <w:snapToGrid w:val="0"/>
          <w:color w:val="auto"/>
          <w:kern w:val="0"/>
          <w:szCs w:val="21"/>
          <w:highlight w:val="none"/>
        </w:rPr>
        <w:t>监理书面告知</w:t>
      </w:r>
      <w:r>
        <w:rPr>
          <w:rFonts w:ascii="宋体" w:hAnsi="宋体" w:cs="Arial"/>
          <w:snapToGrid w:val="0"/>
          <w:color w:val="auto"/>
          <w:kern w:val="0"/>
          <w:szCs w:val="21"/>
          <w:highlight w:val="none"/>
        </w:rPr>
        <w:t>乙方</w:t>
      </w:r>
      <w:r>
        <w:rPr>
          <w:rFonts w:hint="eastAsia" w:ascii="宋体" w:hAnsi="宋体" w:cs="Arial"/>
          <w:snapToGrid w:val="0"/>
          <w:color w:val="auto"/>
          <w:kern w:val="0"/>
          <w:szCs w:val="21"/>
          <w:highlight w:val="none"/>
        </w:rPr>
        <w:t>未完成的</w:t>
      </w:r>
      <w:r>
        <w:rPr>
          <w:rFonts w:ascii="宋体" w:hAnsi="宋体" w:cs="Arial"/>
          <w:snapToGrid w:val="0"/>
          <w:color w:val="auto"/>
          <w:kern w:val="0"/>
          <w:szCs w:val="21"/>
          <w:highlight w:val="none"/>
        </w:rPr>
        <w:t>工作内容，乙方应在</w:t>
      </w:r>
      <w:r>
        <w:rPr>
          <w:rFonts w:ascii="宋体" w:hAnsi="宋体" w:cs="宋体"/>
          <w:snapToGrid w:val="0"/>
          <w:color w:val="auto"/>
          <w:kern w:val="0"/>
          <w:szCs w:val="21"/>
          <w:highlight w:val="none"/>
        </w:rPr>
        <w:t>指定时间内完成并再次申请验收。验收合格的，签署工程竣工验收单；验收不合格的，乙方应负责整改直至验收合格，整改后仍不合格的，乙方按本协议第十二条第</w:t>
      </w:r>
      <w:r>
        <w:rPr>
          <w:rFonts w:hint="eastAsia" w:ascii="宋体" w:hAnsi="宋体" w:cs="宋体"/>
          <w:snapToGrid w:val="0"/>
          <w:color w:val="auto"/>
          <w:kern w:val="0"/>
          <w:szCs w:val="21"/>
          <w:highlight w:val="none"/>
        </w:rPr>
        <w:t>3</w:t>
      </w:r>
      <w:r>
        <w:rPr>
          <w:rFonts w:ascii="宋体" w:hAnsi="宋体" w:cs="宋体"/>
          <w:snapToGrid w:val="0"/>
          <w:color w:val="auto"/>
          <w:kern w:val="0"/>
          <w:szCs w:val="21"/>
          <w:highlight w:val="none"/>
        </w:rPr>
        <w:t>款承担违约责任。以上情况，由此增加的费用和延误的工期由</w:t>
      </w:r>
      <w:r>
        <w:rPr>
          <w:rFonts w:ascii="宋体" w:hAnsi="宋体" w:cs="Arial"/>
          <w:snapToGrid w:val="0"/>
          <w:color w:val="auto"/>
          <w:kern w:val="0"/>
          <w:szCs w:val="21"/>
          <w:highlight w:val="none"/>
        </w:rPr>
        <w:t>乙方承担。</w:t>
      </w:r>
    </w:p>
    <w:p w14:paraId="04975761">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3、工程竣工验收合格后，乙方应</w:t>
      </w:r>
      <w:r>
        <w:rPr>
          <w:rFonts w:hint="eastAsia" w:ascii="宋体" w:hAnsi="宋体" w:cs="宋体"/>
          <w:snapToGrid w:val="0"/>
          <w:color w:val="auto"/>
          <w:kern w:val="0"/>
          <w:szCs w:val="21"/>
          <w:highlight w:val="none"/>
        </w:rPr>
        <w:t>在30</w:t>
      </w:r>
      <w:r>
        <w:rPr>
          <w:rFonts w:ascii="宋体" w:hAnsi="宋体" w:cs="宋体"/>
          <w:snapToGrid w:val="0"/>
          <w:color w:val="auto"/>
          <w:kern w:val="0"/>
          <w:szCs w:val="21"/>
          <w:highlight w:val="none"/>
        </w:rPr>
        <w:t>天内向</w:t>
      </w:r>
      <w:r>
        <w:rPr>
          <w:rFonts w:hint="eastAsia" w:ascii="宋体" w:hAnsi="宋体" w:cs="宋体"/>
          <w:snapToGrid w:val="0"/>
          <w:color w:val="auto"/>
          <w:kern w:val="0"/>
          <w:szCs w:val="21"/>
          <w:highlight w:val="none"/>
        </w:rPr>
        <w:t>监理和</w:t>
      </w:r>
      <w:r>
        <w:rPr>
          <w:rFonts w:ascii="宋体" w:hAnsi="宋体" w:cs="宋体"/>
          <w:snapToGrid w:val="0"/>
          <w:color w:val="auto"/>
          <w:kern w:val="0"/>
          <w:szCs w:val="21"/>
          <w:highlight w:val="none"/>
        </w:rPr>
        <w:t>甲方提交竣工结算申请单及完整的结算资料。</w:t>
      </w:r>
    </w:p>
    <w:p w14:paraId="697BAB19">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4.若发生进度款支付超出实际已完成工程价款的情况，乙方应按规定在结算后30日内无条件向甲方返还多收到的工程进度款；逾期返还的，需按应返还金额的万分之五 /日向甲方支付违约金。</w:t>
      </w:r>
    </w:p>
    <w:p w14:paraId="3BB3AEB0">
      <w:pPr>
        <w:spacing w:line="44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5.乙方在签订合同时须同步签订《施工单位如实申报工程量诚信承诺书》，如实申报工程所有工程量，不弄虚作假、不虚报冒领、不高估冒算。如果结算审减率超过6%以上的，乙方除承担本合同按“三、工程款及结算中第（2）点固定单价，第（5）小点”约定的相应审核费以外，另须向甲方支付违约金1000元，该违约金由甲方从乙方工程结算款中扣除。</w:t>
      </w:r>
    </w:p>
    <w:p w14:paraId="7E8B31DD">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十一、工程</w:t>
      </w:r>
      <w:r>
        <w:rPr>
          <w:rFonts w:ascii="宋体" w:hAnsi="宋体" w:cs="宋体"/>
          <w:snapToGrid w:val="0"/>
          <w:color w:val="auto"/>
          <w:kern w:val="0"/>
          <w:szCs w:val="21"/>
          <w:highlight w:val="none"/>
        </w:rPr>
        <w:t>保修</w:t>
      </w:r>
    </w:p>
    <w:p w14:paraId="7E232C7A">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1、保修期自本合同项下全部工程竣工验收合格之日起计算，保修期</w:t>
      </w:r>
      <w:r>
        <w:rPr>
          <w:rFonts w:hint="eastAsia" w:ascii="宋体" w:hAnsi="宋体" w:cs="Arial"/>
          <w:snapToGrid w:val="0"/>
          <w:color w:val="auto"/>
          <w:kern w:val="0"/>
          <w:szCs w:val="21"/>
          <w:highlight w:val="none"/>
        </w:rPr>
        <w:t>：</w:t>
      </w:r>
      <w:r>
        <w:rPr>
          <w:rFonts w:hint="eastAsia" w:ascii="宋体" w:hAnsi="宋体" w:cs="Arial"/>
          <w:snapToGrid w:val="0"/>
          <w:color w:val="auto"/>
          <w:kern w:val="0"/>
          <w:szCs w:val="21"/>
          <w:highlight w:val="none"/>
          <w:lang w:val="en-US" w:eastAsia="zh-CN"/>
        </w:rPr>
        <w:t>2</w:t>
      </w:r>
      <w:r>
        <w:rPr>
          <w:rFonts w:ascii="宋体" w:hAnsi="宋体" w:cs="Arial"/>
          <w:snapToGrid w:val="0"/>
          <w:color w:val="auto"/>
          <w:kern w:val="0"/>
          <w:szCs w:val="21"/>
          <w:highlight w:val="none"/>
        </w:rPr>
        <w:t>年。</w:t>
      </w:r>
    </w:p>
    <w:p w14:paraId="42BF858D">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2、质量</w:t>
      </w:r>
      <w:r>
        <w:rPr>
          <w:rFonts w:ascii="宋体" w:hAnsi="宋体" w:cs="宋体"/>
          <w:snapToGrid w:val="0"/>
          <w:color w:val="auto"/>
          <w:kern w:val="0"/>
          <w:szCs w:val="21"/>
          <w:highlight w:val="none"/>
        </w:rPr>
        <w:t>保修</w:t>
      </w:r>
      <w:r>
        <w:rPr>
          <w:rFonts w:ascii="宋体" w:hAnsi="宋体" w:cs="Arial"/>
          <w:snapToGrid w:val="0"/>
          <w:color w:val="auto"/>
          <w:kern w:val="0"/>
          <w:szCs w:val="21"/>
          <w:highlight w:val="none"/>
        </w:rPr>
        <w:t>义务：乙方应当在接到甲方保修通知之日起</w:t>
      </w:r>
      <w:r>
        <w:rPr>
          <w:rFonts w:hint="eastAsia" w:ascii="宋体" w:hAnsi="宋体" w:cs="Arial"/>
          <w:snapToGrid w:val="0"/>
          <w:color w:val="auto"/>
          <w:kern w:val="0"/>
          <w:szCs w:val="21"/>
          <w:highlight w:val="none"/>
          <w:u w:val="single"/>
        </w:rPr>
        <w:t>12</w:t>
      </w:r>
      <w:r>
        <w:rPr>
          <w:rFonts w:ascii="宋体" w:hAnsi="宋体" w:cs="Arial"/>
          <w:snapToGrid w:val="0"/>
          <w:color w:val="auto"/>
          <w:kern w:val="0"/>
          <w:szCs w:val="21"/>
          <w:highlight w:val="none"/>
        </w:rPr>
        <w:t>小时内赶赴现场</w:t>
      </w:r>
      <w:r>
        <w:rPr>
          <w:rFonts w:hint="eastAsia" w:ascii="宋体" w:hAnsi="宋体" w:cs="Arial"/>
          <w:snapToGrid w:val="0"/>
          <w:color w:val="auto"/>
          <w:kern w:val="0"/>
          <w:szCs w:val="21"/>
          <w:highlight w:val="none"/>
        </w:rPr>
        <w:t>处置</w:t>
      </w:r>
      <w:r>
        <w:rPr>
          <w:rFonts w:ascii="宋体" w:hAnsi="宋体" w:cs="Arial"/>
          <w:snapToGrid w:val="0"/>
          <w:color w:val="auto"/>
          <w:kern w:val="0"/>
          <w:szCs w:val="21"/>
          <w:highlight w:val="none"/>
        </w:rPr>
        <w:t>，</w:t>
      </w:r>
      <w:r>
        <w:rPr>
          <w:rFonts w:hint="eastAsia" w:ascii="宋体" w:hAnsi="宋体" w:cs="Arial"/>
          <w:snapToGrid w:val="0"/>
          <w:color w:val="auto"/>
          <w:kern w:val="0"/>
          <w:szCs w:val="21"/>
          <w:highlight w:val="none"/>
        </w:rPr>
        <w:t>赶赴现场后</w:t>
      </w:r>
      <w:r>
        <w:rPr>
          <w:rFonts w:hint="eastAsia" w:ascii="宋体" w:hAnsi="宋体" w:cs="Arial"/>
          <w:snapToGrid w:val="0"/>
          <w:color w:val="auto"/>
          <w:kern w:val="0"/>
          <w:szCs w:val="21"/>
          <w:highlight w:val="none"/>
          <w:u w:val="single"/>
        </w:rPr>
        <w:t>2</w:t>
      </w:r>
      <w:r>
        <w:rPr>
          <w:rFonts w:ascii="宋体" w:hAnsi="宋体" w:cs="Arial"/>
          <w:snapToGrid w:val="0"/>
          <w:color w:val="auto"/>
          <w:kern w:val="0"/>
          <w:szCs w:val="21"/>
          <w:highlight w:val="none"/>
        </w:rPr>
        <w:t>小时内排除故障</w:t>
      </w:r>
      <w:r>
        <w:rPr>
          <w:rFonts w:hint="eastAsia" w:ascii="宋体" w:hAnsi="宋体" w:cs="Arial"/>
          <w:snapToGrid w:val="0"/>
          <w:color w:val="auto"/>
          <w:kern w:val="0"/>
          <w:szCs w:val="21"/>
          <w:highlight w:val="none"/>
        </w:rPr>
        <w:t>，立即组织维修</w:t>
      </w:r>
      <w:r>
        <w:rPr>
          <w:rFonts w:ascii="宋体" w:hAnsi="宋体" w:cs="Arial"/>
          <w:snapToGrid w:val="0"/>
          <w:color w:val="auto"/>
          <w:kern w:val="0"/>
          <w:szCs w:val="21"/>
          <w:highlight w:val="none"/>
        </w:rPr>
        <w:t>；发生紧急抢修事故的，乙方应在接到事故通知后</w:t>
      </w:r>
      <w:r>
        <w:rPr>
          <w:rFonts w:ascii="宋体" w:hAnsi="宋体" w:cs="Arial"/>
          <w:snapToGrid w:val="0"/>
          <w:color w:val="auto"/>
          <w:kern w:val="0"/>
          <w:szCs w:val="21"/>
          <w:highlight w:val="none"/>
          <w:u w:val="single"/>
        </w:rPr>
        <w:t>2</w:t>
      </w:r>
      <w:r>
        <w:rPr>
          <w:rFonts w:ascii="宋体" w:hAnsi="宋体" w:cs="Arial"/>
          <w:snapToGrid w:val="0"/>
          <w:color w:val="auto"/>
          <w:kern w:val="0"/>
          <w:szCs w:val="21"/>
          <w:highlight w:val="none"/>
        </w:rPr>
        <w:t>小时内到达事故现场抢修。乙方拒绝维修或未能在约定时间内</w:t>
      </w:r>
      <w:r>
        <w:rPr>
          <w:rFonts w:hint="eastAsia" w:ascii="宋体" w:hAnsi="宋体" w:cs="Arial"/>
          <w:snapToGrid w:val="0"/>
          <w:color w:val="auto"/>
          <w:kern w:val="0"/>
          <w:szCs w:val="21"/>
          <w:highlight w:val="none"/>
        </w:rPr>
        <w:t>到达现场并</w:t>
      </w:r>
      <w:r>
        <w:rPr>
          <w:rFonts w:ascii="宋体" w:hAnsi="宋体" w:cs="Arial"/>
          <w:snapToGrid w:val="0"/>
          <w:color w:val="auto"/>
          <w:kern w:val="0"/>
          <w:szCs w:val="21"/>
          <w:highlight w:val="none"/>
        </w:rPr>
        <w:t>完成修复的，甲方可以委托他人</w:t>
      </w:r>
      <w:r>
        <w:rPr>
          <w:rFonts w:hint="eastAsia" w:ascii="宋体" w:hAnsi="宋体" w:cs="Arial"/>
          <w:snapToGrid w:val="0"/>
          <w:color w:val="auto"/>
          <w:kern w:val="0"/>
          <w:szCs w:val="21"/>
          <w:highlight w:val="none"/>
        </w:rPr>
        <w:t>维修</w:t>
      </w:r>
      <w:r>
        <w:rPr>
          <w:rFonts w:ascii="宋体" w:hAnsi="宋体" w:cs="Arial"/>
          <w:snapToGrid w:val="0"/>
          <w:color w:val="auto"/>
          <w:kern w:val="0"/>
          <w:szCs w:val="21"/>
          <w:highlight w:val="none"/>
        </w:rPr>
        <w:t>，所需费用由乙方全部承担，甲方有权</w:t>
      </w:r>
      <w:r>
        <w:rPr>
          <w:rFonts w:hint="eastAsia" w:ascii="宋体" w:hAnsi="宋体" w:cs="宋体"/>
          <w:color w:val="auto"/>
          <w:szCs w:val="21"/>
          <w:highlight w:val="none"/>
          <w:u w:val="single"/>
        </w:rPr>
        <w:t>在质保金中扣除，同时</w:t>
      </w:r>
      <w:r>
        <w:rPr>
          <w:rFonts w:hint="eastAsia" w:ascii="宋体" w:hAnsi="宋体" w:cs="Arial"/>
          <w:snapToGrid w:val="0"/>
          <w:color w:val="auto"/>
          <w:kern w:val="0"/>
          <w:szCs w:val="21"/>
          <w:highlight w:val="none"/>
        </w:rPr>
        <w:t>按</w:t>
      </w:r>
      <w:r>
        <w:rPr>
          <w:rFonts w:hint="eastAsia" w:ascii="宋体"/>
          <w:color w:val="auto"/>
          <w:highlight w:val="none"/>
        </w:rPr>
        <w:t>质保金总额</w:t>
      </w:r>
      <w:r>
        <w:rPr>
          <w:rFonts w:ascii="宋体"/>
          <w:color w:val="auto"/>
          <w:highlight w:val="none"/>
        </w:rPr>
        <w:t>的</w:t>
      </w:r>
      <w:r>
        <w:rPr>
          <w:rFonts w:hint="eastAsia" w:ascii="宋体"/>
          <w:color w:val="auto"/>
          <w:highlight w:val="none"/>
        </w:rPr>
        <w:t>10</w:t>
      </w:r>
      <w:r>
        <w:rPr>
          <w:color w:val="auto"/>
          <w:highlight w:val="none"/>
        </w:rPr>
        <w:t>%</w:t>
      </w:r>
      <w:r>
        <w:rPr>
          <w:rFonts w:ascii="宋体" w:hAnsi="宋体" w:cs="Arial"/>
          <w:snapToGrid w:val="0"/>
          <w:color w:val="auto"/>
          <w:kern w:val="0"/>
          <w:szCs w:val="21"/>
          <w:highlight w:val="none"/>
        </w:rPr>
        <w:t>/次</w:t>
      </w:r>
      <w:r>
        <w:rPr>
          <w:rFonts w:hint="eastAsia" w:ascii="宋体" w:hAnsi="宋体" w:cs="Arial"/>
          <w:snapToGrid w:val="0"/>
          <w:color w:val="auto"/>
          <w:kern w:val="0"/>
          <w:szCs w:val="21"/>
          <w:highlight w:val="none"/>
        </w:rPr>
        <w:t>收取</w:t>
      </w:r>
      <w:r>
        <w:rPr>
          <w:rFonts w:ascii="宋体" w:hAnsi="宋体" w:cs="Arial"/>
          <w:snapToGrid w:val="0"/>
          <w:color w:val="auto"/>
          <w:kern w:val="0"/>
          <w:szCs w:val="21"/>
          <w:highlight w:val="none"/>
        </w:rPr>
        <w:t>违约金。</w:t>
      </w:r>
    </w:p>
    <w:p w14:paraId="1997AAF9">
      <w:pPr>
        <w:spacing w:line="44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3、保修期内，因工程缺陷、损坏或乙方未按约定履行保修义务造成房屋所有人、使用人或第三方人身、财产损害的，乙方应承担赔偿责任。若甲方因此被追责、索赔的，甲方有权向乙方追偿包括但不限于诉讼费、仲裁费、保全费、律师费等全部费用。</w:t>
      </w:r>
    </w:p>
    <w:p w14:paraId="17133BCF">
      <w:pPr>
        <w:spacing w:line="40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十二、违约</w:t>
      </w:r>
      <w:r>
        <w:rPr>
          <w:rFonts w:ascii="宋体" w:hAnsi="宋体" w:cs="宋体"/>
          <w:snapToGrid w:val="0"/>
          <w:color w:val="auto"/>
          <w:kern w:val="0"/>
          <w:szCs w:val="21"/>
          <w:highlight w:val="none"/>
        </w:rPr>
        <w:t>责任</w:t>
      </w:r>
    </w:p>
    <w:p w14:paraId="4CA2679F">
      <w:pPr>
        <w:spacing w:line="440" w:lineRule="exact"/>
        <w:ind w:firstLine="420" w:firstLineChars="200"/>
        <w:rPr>
          <w:rFonts w:ascii="宋体" w:hAnsi="宋体" w:cs="宋体"/>
          <w:snapToGrid w:val="0"/>
          <w:color w:val="auto"/>
          <w:szCs w:val="21"/>
          <w:highlight w:val="none"/>
        </w:rPr>
      </w:pPr>
      <w:r>
        <w:rPr>
          <w:rFonts w:ascii="宋体" w:hAnsi="宋体" w:cs="宋体"/>
          <w:snapToGrid w:val="0"/>
          <w:color w:val="auto"/>
          <w:szCs w:val="21"/>
          <w:highlight w:val="none"/>
        </w:rPr>
        <w:t>1、乙方</w:t>
      </w:r>
      <w:r>
        <w:rPr>
          <w:rFonts w:ascii="宋体" w:hAnsi="宋体" w:cs="Arial"/>
          <w:snapToGrid w:val="0"/>
          <w:color w:val="auto"/>
          <w:kern w:val="0"/>
          <w:szCs w:val="21"/>
          <w:highlight w:val="none"/>
        </w:rPr>
        <w:t>未能</w:t>
      </w:r>
      <w:r>
        <w:rPr>
          <w:rFonts w:ascii="宋体" w:hAnsi="宋体" w:cs="宋体"/>
          <w:snapToGrid w:val="0"/>
          <w:color w:val="auto"/>
          <w:szCs w:val="21"/>
          <w:highlight w:val="none"/>
        </w:rPr>
        <w:t>及时完成合同约定的工作造成工期延误的，每逾期一日，乙方按合同价款的</w:t>
      </w:r>
      <w:r>
        <w:rPr>
          <w:rFonts w:ascii="宋体" w:hAnsi="宋体" w:cs="宋体"/>
          <w:snapToGrid w:val="0"/>
          <w:color w:val="auto"/>
          <w:szCs w:val="21"/>
          <w:highlight w:val="none"/>
          <w:u w:val="single"/>
        </w:rPr>
        <w:t>0.</w:t>
      </w:r>
      <w:r>
        <w:rPr>
          <w:rFonts w:hint="eastAsia" w:ascii="宋体" w:hAnsi="宋体" w:cs="宋体"/>
          <w:snapToGrid w:val="0"/>
          <w:color w:val="auto"/>
          <w:szCs w:val="21"/>
          <w:highlight w:val="none"/>
          <w:u w:val="single"/>
        </w:rPr>
        <w:t>1</w:t>
      </w:r>
      <w:r>
        <w:rPr>
          <w:rFonts w:ascii="宋体" w:hAnsi="宋体" w:cs="宋体"/>
          <w:snapToGrid w:val="0"/>
          <w:color w:val="auto"/>
          <w:szCs w:val="21"/>
          <w:highlight w:val="none"/>
          <w:u w:val="single"/>
        </w:rPr>
        <w:t>%</w:t>
      </w:r>
      <w:r>
        <w:rPr>
          <w:rFonts w:ascii="宋体" w:hAnsi="宋体" w:cs="宋体"/>
          <w:snapToGrid w:val="0"/>
          <w:color w:val="auto"/>
          <w:szCs w:val="21"/>
          <w:highlight w:val="none"/>
        </w:rPr>
        <w:t>向甲方支付违约金，但违约金累计不得超过合同价款的</w:t>
      </w:r>
      <w:r>
        <w:rPr>
          <w:rFonts w:ascii="宋体" w:hAnsi="宋体" w:cs="宋体"/>
          <w:snapToGrid w:val="0"/>
          <w:color w:val="auto"/>
          <w:szCs w:val="21"/>
          <w:highlight w:val="none"/>
          <w:u w:val="single"/>
        </w:rPr>
        <w:t>3%</w:t>
      </w:r>
      <w:r>
        <w:rPr>
          <w:rFonts w:ascii="宋体" w:hAnsi="宋体" w:cs="宋体"/>
          <w:snapToGrid w:val="0"/>
          <w:color w:val="auto"/>
          <w:szCs w:val="21"/>
          <w:highlight w:val="none"/>
        </w:rPr>
        <w:t>。</w:t>
      </w:r>
    </w:p>
    <w:p w14:paraId="215452D7">
      <w:pPr>
        <w:spacing w:line="440" w:lineRule="exact"/>
        <w:ind w:firstLine="420" w:firstLineChars="200"/>
        <w:rPr>
          <w:rFonts w:ascii="宋体" w:hAnsi="宋体" w:cs="宋体"/>
          <w:snapToGrid w:val="0"/>
          <w:color w:val="auto"/>
          <w:szCs w:val="21"/>
          <w:highlight w:val="none"/>
        </w:rPr>
      </w:pPr>
      <w:r>
        <w:rPr>
          <w:rFonts w:hint="eastAsia" w:ascii="宋体" w:hAnsi="宋体" w:cs="宋体"/>
          <w:snapToGrid w:val="0"/>
          <w:color w:val="auto"/>
          <w:szCs w:val="21"/>
          <w:highlight w:val="none"/>
        </w:rPr>
        <w:t>2</w:t>
      </w:r>
      <w:r>
        <w:rPr>
          <w:rFonts w:ascii="宋体" w:hAnsi="宋体" w:cs="宋体"/>
          <w:snapToGrid w:val="0"/>
          <w:color w:val="auto"/>
          <w:szCs w:val="21"/>
          <w:highlight w:val="none"/>
        </w:rPr>
        <w:t>、乙方未按</w:t>
      </w:r>
      <w:r>
        <w:rPr>
          <w:rFonts w:hint="eastAsia" w:ascii="宋体" w:hAnsi="宋体" w:cs="宋体"/>
          <w:snapToGrid w:val="0"/>
          <w:color w:val="auto"/>
          <w:szCs w:val="21"/>
          <w:highlight w:val="none"/>
        </w:rPr>
        <w:t>施工</w:t>
      </w:r>
      <w:r>
        <w:rPr>
          <w:rFonts w:ascii="宋体" w:hAnsi="宋体" w:cs="宋体"/>
          <w:snapToGrid w:val="0"/>
          <w:color w:val="auto"/>
          <w:szCs w:val="21"/>
          <w:highlight w:val="none"/>
        </w:rPr>
        <w:t>规范文件和要求进行施工，所导致的拆除、返工、材料设备损失、工期延误等全部后果由乙方承担</w:t>
      </w:r>
      <w:r>
        <w:rPr>
          <w:rFonts w:hint="eastAsia" w:ascii="宋体" w:hAnsi="宋体" w:cs="宋体"/>
          <w:snapToGrid w:val="0"/>
          <w:color w:val="auto"/>
          <w:szCs w:val="21"/>
          <w:highlight w:val="none"/>
        </w:rPr>
        <w:t>；如</w:t>
      </w:r>
      <w:r>
        <w:rPr>
          <w:rFonts w:ascii="宋体" w:hAnsi="宋体" w:cs="宋体"/>
          <w:snapToGrid w:val="0"/>
          <w:color w:val="auto"/>
          <w:szCs w:val="21"/>
          <w:highlight w:val="none"/>
        </w:rPr>
        <w:t>给甲方造成损失的，乙方</w:t>
      </w:r>
      <w:r>
        <w:rPr>
          <w:rFonts w:hint="eastAsia" w:ascii="宋体" w:hAnsi="宋体" w:cs="宋体"/>
          <w:snapToGrid w:val="0"/>
          <w:color w:val="auto"/>
          <w:szCs w:val="21"/>
          <w:highlight w:val="none"/>
        </w:rPr>
        <w:t>须</w:t>
      </w:r>
      <w:r>
        <w:rPr>
          <w:rFonts w:ascii="宋体" w:hAnsi="宋体" w:cs="宋体"/>
          <w:snapToGrid w:val="0"/>
          <w:color w:val="auto"/>
          <w:szCs w:val="21"/>
          <w:highlight w:val="none"/>
        </w:rPr>
        <w:t>向甲方赔偿</w:t>
      </w:r>
      <w:r>
        <w:rPr>
          <w:rFonts w:hint="eastAsia" w:ascii="宋体" w:hAnsi="宋体" w:cs="宋体"/>
          <w:snapToGrid w:val="0"/>
          <w:color w:val="auto"/>
          <w:szCs w:val="21"/>
          <w:highlight w:val="none"/>
        </w:rPr>
        <w:t>，</w:t>
      </w:r>
      <w:r>
        <w:rPr>
          <w:rFonts w:ascii="宋体" w:hAnsi="宋体" w:cs="宋体"/>
          <w:snapToGrid w:val="0"/>
          <w:color w:val="auto"/>
          <w:szCs w:val="21"/>
          <w:highlight w:val="none"/>
        </w:rPr>
        <w:t>甲方</w:t>
      </w:r>
      <w:r>
        <w:rPr>
          <w:rFonts w:hint="eastAsia" w:ascii="宋体" w:hAnsi="宋体" w:cs="宋体"/>
          <w:snapToGrid w:val="0"/>
          <w:color w:val="auto"/>
          <w:szCs w:val="21"/>
          <w:highlight w:val="none"/>
        </w:rPr>
        <w:t>有权按</w:t>
      </w:r>
      <w:r>
        <w:rPr>
          <w:rFonts w:ascii="宋体" w:hAnsi="宋体" w:cs="宋体"/>
          <w:snapToGrid w:val="0"/>
          <w:color w:val="auto"/>
          <w:szCs w:val="21"/>
          <w:highlight w:val="none"/>
        </w:rPr>
        <w:t>遭受损失额的</w:t>
      </w:r>
      <w:r>
        <w:rPr>
          <w:rFonts w:ascii="宋体" w:hAnsi="宋体" w:cs="宋体"/>
          <w:snapToGrid w:val="0"/>
          <w:color w:val="auto"/>
          <w:szCs w:val="21"/>
          <w:highlight w:val="none"/>
          <w:u w:val="single"/>
        </w:rPr>
        <w:t>3%</w:t>
      </w:r>
      <w:r>
        <w:rPr>
          <w:rFonts w:hint="eastAsia" w:ascii="宋体" w:hAnsi="宋体" w:cs="宋体"/>
          <w:snapToGrid w:val="0"/>
          <w:color w:val="auto"/>
          <w:szCs w:val="21"/>
          <w:highlight w:val="none"/>
          <w:u w:val="single"/>
        </w:rPr>
        <w:t>向乙方</w:t>
      </w:r>
      <w:r>
        <w:rPr>
          <w:rFonts w:hint="eastAsia" w:ascii="宋体" w:hAnsi="宋体" w:cs="宋体"/>
          <w:snapToGrid w:val="0"/>
          <w:color w:val="auto"/>
          <w:szCs w:val="21"/>
          <w:highlight w:val="none"/>
        </w:rPr>
        <w:t>收取</w:t>
      </w:r>
      <w:r>
        <w:rPr>
          <w:rFonts w:ascii="宋体" w:hAnsi="宋体" w:cs="宋体"/>
          <w:snapToGrid w:val="0"/>
          <w:color w:val="auto"/>
          <w:szCs w:val="21"/>
          <w:highlight w:val="none"/>
        </w:rPr>
        <w:t>违约金。</w:t>
      </w:r>
    </w:p>
    <w:p w14:paraId="38D9AC91">
      <w:pPr>
        <w:spacing w:line="440" w:lineRule="exact"/>
        <w:ind w:firstLine="420" w:firstLineChars="200"/>
        <w:rPr>
          <w:rFonts w:ascii="宋体" w:hAnsi="宋体" w:cs="宋体"/>
          <w:snapToGrid w:val="0"/>
          <w:color w:val="auto"/>
          <w:szCs w:val="21"/>
          <w:highlight w:val="none"/>
        </w:rPr>
      </w:pPr>
      <w:r>
        <w:rPr>
          <w:rFonts w:hint="eastAsia" w:ascii="宋体" w:hAnsi="宋体" w:cs="宋体"/>
          <w:snapToGrid w:val="0"/>
          <w:color w:val="auto"/>
          <w:szCs w:val="21"/>
          <w:highlight w:val="none"/>
        </w:rPr>
        <w:t>3</w:t>
      </w:r>
      <w:r>
        <w:rPr>
          <w:rFonts w:ascii="宋体" w:hAnsi="宋体" w:cs="宋体"/>
          <w:snapToGrid w:val="0"/>
          <w:color w:val="auto"/>
          <w:szCs w:val="21"/>
          <w:highlight w:val="none"/>
        </w:rPr>
        <w:t>、工程未能</w:t>
      </w:r>
      <w:r>
        <w:rPr>
          <w:rFonts w:ascii="宋体" w:hAnsi="宋体" w:cs="Arial"/>
          <w:snapToGrid w:val="0"/>
          <w:color w:val="auto"/>
          <w:kern w:val="0"/>
          <w:szCs w:val="21"/>
          <w:highlight w:val="none"/>
        </w:rPr>
        <w:t>一次性</w:t>
      </w:r>
      <w:r>
        <w:rPr>
          <w:rFonts w:ascii="宋体" w:hAnsi="宋体" w:cs="宋体"/>
          <w:snapToGrid w:val="0"/>
          <w:color w:val="auto"/>
          <w:szCs w:val="21"/>
          <w:highlight w:val="none"/>
        </w:rPr>
        <w:t>通过竣工验收的，甲方要求在指定时间内进行整改，乙方拒不整改或整改后仍不合格的，甲方有权解除本合同，</w:t>
      </w:r>
      <w:r>
        <w:rPr>
          <w:rFonts w:hint="eastAsia" w:ascii="宋体" w:hAnsi="宋体" w:cs="宋体"/>
          <w:snapToGrid w:val="0"/>
          <w:color w:val="auto"/>
          <w:szCs w:val="21"/>
          <w:highlight w:val="none"/>
        </w:rPr>
        <w:t>对已完成的合格分项工程据实结算；对已完成但不合格分项工程不予计算费用，</w:t>
      </w:r>
      <w:r>
        <w:rPr>
          <w:rFonts w:ascii="宋体" w:hAnsi="宋体" w:cs="宋体"/>
          <w:snapToGrid w:val="0"/>
          <w:color w:val="auto"/>
          <w:szCs w:val="21"/>
          <w:highlight w:val="none"/>
        </w:rPr>
        <w:t>并要求乙方支付合同总价款</w:t>
      </w:r>
      <w:r>
        <w:rPr>
          <w:rFonts w:hint="eastAsia" w:ascii="宋体" w:hAnsi="宋体" w:cs="宋体"/>
          <w:snapToGrid w:val="0"/>
          <w:color w:val="auto"/>
          <w:szCs w:val="21"/>
          <w:highlight w:val="none"/>
          <w:u w:val="single"/>
        </w:rPr>
        <w:t>5</w:t>
      </w:r>
      <w:r>
        <w:rPr>
          <w:rFonts w:ascii="宋体" w:hAnsi="宋体" w:cs="宋体"/>
          <w:snapToGrid w:val="0"/>
          <w:color w:val="auto"/>
          <w:szCs w:val="21"/>
          <w:highlight w:val="none"/>
          <w:u w:val="single"/>
        </w:rPr>
        <w:t>%</w:t>
      </w:r>
      <w:r>
        <w:rPr>
          <w:rFonts w:ascii="宋体" w:hAnsi="宋体" w:cs="宋体"/>
          <w:snapToGrid w:val="0"/>
          <w:color w:val="auto"/>
          <w:szCs w:val="21"/>
          <w:highlight w:val="none"/>
        </w:rPr>
        <w:t>的违约金，且由此增加的费用和延误的工期等损失责任由乙方承担。</w:t>
      </w:r>
    </w:p>
    <w:p w14:paraId="72966A69">
      <w:pPr>
        <w:spacing w:line="440" w:lineRule="exact"/>
        <w:ind w:firstLine="420" w:firstLineChars="200"/>
        <w:rPr>
          <w:rFonts w:ascii="宋体" w:hAnsi="宋体" w:cs="宋体"/>
          <w:snapToGrid w:val="0"/>
          <w:color w:val="auto"/>
          <w:szCs w:val="21"/>
          <w:highlight w:val="none"/>
        </w:rPr>
      </w:pPr>
      <w:r>
        <w:rPr>
          <w:rFonts w:hint="eastAsia" w:ascii="宋体" w:hAnsi="宋体" w:cs="宋体"/>
          <w:snapToGrid w:val="0"/>
          <w:color w:val="auto"/>
          <w:szCs w:val="21"/>
          <w:highlight w:val="none"/>
        </w:rPr>
        <w:t>4</w:t>
      </w:r>
      <w:r>
        <w:rPr>
          <w:rFonts w:ascii="宋体" w:hAnsi="宋体" w:cs="宋体"/>
          <w:snapToGrid w:val="0"/>
          <w:color w:val="auto"/>
          <w:szCs w:val="21"/>
          <w:highlight w:val="none"/>
        </w:rPr>
        <w:t>、乙方对</w:t>
      </w:r>
      <w:r>
        <w:rPr>
          <w:rFonts w:ascii="宋体" w:hAnsi="宋体" w:cs="Arial"/>
          <w:snapToGrid w:val="0"/>
          <w:color w:val="auto"/>
          <w:kern w:val="0"/>
          <w:szCs w:val="21"/>
          <w:highlight w:val="none"/>
        </w:rPr>
        <w:t>报送</w:t>
      </w:r>
      <w:r>
        <w:rPr>
          <w:rFonts w:ascii="宋体" w:hAnsi="宋体" w:cs="宋体"/>
          <w:snapToGrid w:val="0"/>
          <w:color w:val="auto"/>
          <w:szCs w:val="21"/>
          <w:highlight w:val="none"/>
        </w:rPr>
        <w:t>甲方竣工资料的真实性、完整性负责，竣工资料如与实际不符，</w:t>
      </w:r>
      <w:r>
        <w:rPr>
          <w:rFonts w:hint="eastAsia" w:ascii="宋体" w:hAnsi="宋体" w:cs="宋体"/>
          <w:snapToGrid w:val="0"/>
          <w:color w:val="auto"/>
          <w:szCs w:val="21"/>
          <w:highlight w:val="none"/>
        </w:rPr>
        <w:t>乙方应及时整改，拒不整改或整改后仍不合格的，</w:t>
      </w:r>
      <w:r>
        <w:rPr>
          <w:rFonts w:ascii="宋体" w:hAnsi="宋体" w:cs="宋体"/>
          <w:snapToGrid w:val="0"/>
          <w:color w:val="auto"/>
          <w:szCs w:val="21"/>
          <w:highlight w:val="none"/>
        </w:rPr>
        <w:t>每发现一</w:t>
      </w:r>
      <w:r>
        <w:rPr>
          <w:rFonts w:hint="eastAsia" w:ascii="宋体" w:hAnsi="宋体" w:cs="宋体"/>
          <w:snapToGrid w:val="0"/>
          <w:color w:val="auto"/>
          <w:szCs w:val="21"/>
          <w:highlight w:val="none"/>
        </w:rPr>
        <w:t>次，甲方有权直接从结算款中扣除</w:t>
      </w:r>
      <w:r>
        <w:rPr>
          <w:rFonts w:ascii="宋体" w:hAnsi="宋体" w:cs="宋体"/>
          <w:snapToGrid w:val="0"/>
          <w:color w:val="auto"/>
          <w:szCs w:val="21"/>
          <w:highlight w:val="none"/>
        </w:rPr>
        <w:t>违约金</w:t>
      </w:r>
      <w:r>
        <w:rPr>
          <w:rFonts w:ascii="宋体" w:hAnsi="宋体" w:cs="宋体"/>
          <w:snapToGrid w:val="0"/>
          <w:color w:val="auto"/>
          <w:szCs w:val="21"/>
          <w:highlight w:val="none"/>
          <w:u w:val="single"/>
        </w:rPr>
        <w:t>5000元</w:t>
      </w:r>
      <w:r>
        <w:rPr>
          <w:rFonts w:ascii="宋体" w:hAnsi="宋体" w:cs="宋体"/>
          <w:snapToGrid w:val="0"/>
          <w:color w:val="auto"/>
          <w:szCs w:val="21"/>
          <w:highlight w:val="none"/>
        </w:rPr>
        <w:t>。</w:t>
      </w:r>
    </w:p>
    <w:p w14:paraId="6EAE59A6">
      <w:pPr>
        <w:spacing w:line="440" w:lineRule="exact"/>
        <w:ind w:firstLine="420" w:firstLineChars="200"/>
        <w:rPr>
          <w:rFonts w:ascii="宋体" w:hAnsi="宋体" w:cs="宋体"/>
          <w:snapToGrid w:val="0"/>
          <w:color w:val="auto"/>
          <w:szCs w:val="21"/>
          <w:highlight w:val="none"/>
        </w:rPr>
      </w:pPr>
      <w:r>
        <w:rPr>
          <w:rFonts w:hint="eastAsia" w:ascii="宋体" w:hAnsi="宋体" w:cs="宋体"/>
          <w:snapToGrid w:val="0"/>
          <w:color w:val="auto"/>
          <w:szCs w:val="21"/>
          <w:highlight w:val="none"/>
        </w:rPr>
        <w:t>5</w:t>
      </w:r>
      <w:r>
        <w:rPr>
          <w:rFonts w:ascii="宋体" w:hAnsi="宋体" w:cs="宋体"/>
          <w:snapToGrid w:val="0"/>
          <w:color w:val="auto"/>
          <w:szCs w:val="21"/>
          <w:highlight w:val="none"/>
        </w:rPr>
        <w:t>、乙方违反</w:t>
      </w:r>
      <w:r>
        <w:rPr>
          <w:rFonts w:ascii="宋体" w:hAnsi="宋体" w:cs="Arial"/>
          <w:snapToGrid w:val="0"/>
          <w:color w:val="auto"/>
          <w:kern w:val="0"/>
          <w:szCs w:val="21"/>
          <w:highlight w:val="none"/>
        </w:rPr>
        <w:t>合同</w:t>
      </w:r>
      <w:r>
        <w:rPr>
          <w:rFonts w:ascii="宋体" w:hAnsi="宋体" w:cs="宋体"/>
          <w:snapToGrid w:val="0"/>
          <w:color w:val="auto"/>
          <w:szCs w:val="21"/>
          <w:highlight w:val="none"/>
        </w:rPr>
        <w:t>约定进行转包或违法分包的，甲方有权解除合同，且要求乙方支付合同总价</w:t>
      </w:r>
      <w:r>
        <w:rPr>
          <w:rFonts w:hint="eastAsia" w:ascii="宋体" w:hAnsi="宋体" w:cs="宋体"/>
          <w:snapToGrid w:val="0"/>
          <w:color w:val="auto"/>
          <w:szCs w:val="21"/>
          <w:highlight w:val="none"/>
          <w:u w:val="single"/>
        </w:rPr>
        <w:t>5</w:t>
      </w:r>
      <w:r>
        <w:rPr>
          <w:rFonts w:ascii="宋体" w:hAnsi="宋体" w:cs="宋体"/>
          <w:snapToGrid w:val="0"/>
          <w:color w:val="auto"/>
          <w:szCs w:val="21"/>
          <w:highlight w:val="none"/>
          <w:u w:val="single"/>
        </w:rPr>
        <w:t>%</w:t>
      </w:r>
      <w:r>
        <w:rPr>
          <w:rFonts w:ascii="宋体" w:hAnsi="宋体" w:cs="宋体"/>
          <w:snapToGrid w:val="0"/>
          <w:color w:val="auto"/>
          <w:szCs w:val="21"/>
          <w:highlight w:val="none"/>
        </w:rPr>
        <w:t>的违约金，给甲方造成损失的，乙方还应负</w:t>
      </w:r>
      <w:r>
        <w:rPr>
          <w:rFonts w:hint="eastAsia" w:ascii="宋体" w:hAnsi="宋体" w:cs="宋体"/>
          <w:snapToGrid w:val="0"/>
          <w:color w:val="auto"/>
          <w:szCs w:val="21"/>
          <w:highlight w:val="none"/>
        </w:rPr>
        <w:t>全额</w:t>
      </w:r>
      <w:r>
        <w:rPr>
          <w:rFonts w:ascii="宋体" w:hAnsi="宋体" w:cs="宋体"/>
          <w:snapToGrid w:val="0"/>
          <w:color w:val="auto"/>
          <w:szCs w:val="21"/>
          <w:highlight w:val="none"/>
        </w:rPr>
        <w:t>赔偿</w:t>
      </w:r>
      <w:r>
        <w:rPr>
          <w:rFonts w:hint="eastAsia" w:ascii="宋体" w:hAnsi="宋体" w:cs="宋体"/>
          <w:snapToGrid w:val="0"/>
          <w:color w:val="auto"/>
          <w:szCs w:val="21"/>
          <w:highlight w:val="none"/>
        </w:rPr>
        <w:t>责任</w:t>
      </w:r>
      <w:r>
        <w:rPr>
          <w:rFonts w:ascii="宋体" w:hAnsi="宋体" w:cs="宋体"/>
          <w:snapToGrid w:val="0"/>
          <w:color w:val="auto"/>
          <w:szCs w:val="21"/>
          <w:highlight w:val="none"/>
        </w:rPr>
        <w:t>。</w:t>
      </w:r>
    </w:p>
    <w:p w14:paraId="71098283">
      <w:pPr>
        <w:spacing w:line="44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6</w:t>
      </w:r>
      <w:r>
        <w:rPr>
          <w:rFonts w:ascii="宋体" w:hAnsi="宋体" w:cs="宋体"/>
          <w:snapToGrid w:val="0"/>
          <w:color w:val="auto"/>
          <w:kern w:val="0"/>
          <w:szCs w:val="21"/>
          <w:highlight w:val="none"/>
        </w:rPr>
        <w:t>、乙方擅自停工或明确表示或以其行为表明不履行合同主要义务的，甲方有权解除合同，并要求乙方支付合同总价款10%的违约金，给甲方造成损失的，</w:t>
      </w:r>
      <w:r>
        <w:rPr>
          <w:snapToGrid w:val="0"/>
          <w:color w:val="auto"/>
          <w:kern w:val="0"/>
          <w:szCs w:val="21"/>
          <w:highlight w:val="none"/>
        </w:rPr>
        <w:t>乙方还应负全额赔偿责任。</w:t>
      </w:r>
    </w:p>
    <w:p w14:paraId="696E8415">
      <w:pPr>
        <w:widowControl/>
        <w:kinsoku w:val="0"/>
        <w:autoSpaceDE w:val="0"/>
        <w:autoSpaceDN w:val="0"/>
        <w:adjustRightInd w:val="0"/>
        <w:snapToGrid w:val="0"/>
        <w:spacing w:line="400" w:lineRule="exact"/>
        <w:ind w:firstLine="420" w:firstLineChars="200"/>
        <w:jc w:val="left"/>
        <w:textAlignment w:val="baseline"/>
        <w:rPr>
          <w:rFonts w:ascii="宋体" w:hAnsi="宋体" w:cs="Arial"/>
          <w:snapToGrid w:val="0"/>
          <w:color w:val="auto"/>
          <w:kern w:val="0"/>
          <w:szCs w:val="21"/>
          <w:highlight w:val="none"/>
        </w:rPr>
      </w:pPr>
      <w:r>
        <w:rPr>
          <w:rFonts w:ascii="宋体" w:hAnsi="宋体" w:cs="Arial"/>
          <w:snapToGrid w:val="0"/>
          <w:color w:val="auto"/>
          <w:kern w:val="0"/>
          <w:szCs w:val="21"/>
          <w:highlight w:val="none"/>
        </w:rPr>
        <w:t>十三、法律适用与争议解决</w:t>
      </w:r>
    </w:p>
    <w:p w14:paraId="0AADE18C">
      <w:pPr>
        <w:spacing w:line="40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1、本</w:t>
      </w:r>
      <w:r>
        <w:rPr>
          <w:rFonts w:ascii="宋体" w:hAnsi="宋体" w:cs="宋体"/>
          <w:snapToGrid w:val="0"/>
          <w:color w:val="auto"/>
          <w:kern w:val="0"/>
          <w:szCs w:val="21"/>
          <w:highlight w:val="none"/>
        </w:rPr>
        <w:t>合同</w:t>
      </w:r>
      <w:r>
        <w:rPr>
          <w:rFonts w:ascii="宋体" w:hAnsi="宋体" w:cs="Arial"/>
          <w:snapToGrid w:val="0"/>
          <w:color w:val="auto"/>
          <w:kern w:val="0"/>
          <w:szCs w:val="21"/>
          <w:highlight w:val="none"/>
        </w:rPr>
        <w:t>的订立、解释、履行及争议解决，均适用中华人民共和国法律。</w:t>
      </w:r>
    </w:p>
    <w:p w14:paraId="3CAAF8FF">
      <w:pPr>
        <w:spacing w:line="40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2、甲、乙双方在履行合同过程中如发生争议的，应友好协商；协商不成的，任何一方均有权向工程所在地人民法院起诉。</w:t>
      </w:r>
    </w:p>
    <w:p w14:paraId="1B0B99CA">
      <w:pPr>
        <w:spacing w:line="40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十四、合同</w:t>
      </w:r>
      <w:r>
        <w:rPr>
          <w:rFonts w:ascii="宋体" w:hAnsi="宋体" w:cs="宋体"/>
          <w:snapToGrid w:val="0"/>
          <w:color w:val="auto"/>
          <w:kern w:val="0"/>
          <w:szCs w:val="21"/>
          <w:highlight w:val="none"/>
        </w:rPr>
        <w:t>生效</w:t>
      </w:r>
      <w:r>
        <w:rPr>
          <w:rFonts w:ascii="宋体" w:hAnsi="宋体" w:cs="Arial"/>
          <w:snapToGrid w:val="0"/>
          <w:color w:val="auto"/>
          <w:kern w:val="0"/>
          <w:szCs w:val="21"/>
          <w:highlight w:val="none"/>
        </w:rPr>
        <w:t>及其他</w:t>
      </w:r>
    </w:p>
    <w:p w14:paraId="4D237DED">
      <w:pPr>
        <w:spacing w:line="400" w:lineRule="exact"/>
        <w:ind w:firstLine="420" w:firstLineChars="200"/>
        <w:rPr>
          <w:rFonts w:ascii="宋体" w:hAnsi="宋体" w:cs="Arial"/>
          <w:snapToGrid w:val="0"/>
          <w:color w:val="auto"/>
          <w:kern w:val="0"/>
          <w:szCs w:val="21"/>
          <w:highlight w:val="none"/>
        </w:rPr>
      </w:pPr>
      <w:r>
        <w:rPr>
          <w:rFonts w:ascii="宋体" w:hAnsi="宋体" w:cs="Arial"/>
          <w:snapToGrid w:val="0"/>
          <w:color w:val="auto"/>
          <w:kern w:val="0"/>
          <w:szCs w:val="21"/>
          <w:highlight w:val="none"/>
        </w:rPr>
        <w:t>1、若本合同约定与前述文件约定不一致的，按照下列顺序予以解释：</w:t>
      </w:r>
    </w:p>
    <w:p w14:paraId="7425B1DD">
      <w:pPr>
        <w:spacing w:line="400" w:lineRule="exact"/>
        <w:ind w:firstLine="420" w:firstLineChars="200"/>
        <w:rPr>
          <w:rFonts w:ascii="宋体" w:hAnsi="宋体" w:cs="宋体"/>
          <w:snapToGrid w:val="0"/>
          <w:color w:val="auto"/>
          <w:kern w:val="0"/>
          <w:szCs w:val="21"/>
          <w:highlight w:val="none"/>
        </w:rPr>
      </w:pPr>
      <w:r>
        <w:rPr>
          <w:rFonts w:ascii="宋体" w:hAnsi="宋体" w:cs="Arial"/>
          <w:snapToGrid w:val="0"/>
          <w:color w:val="auto"/>
          <w:kern w:val="0"/>
          <w:szCs w:val="21"/>
          <w:highlight w:val="none"/>
        </w:rPr>
        <w:t>(</w:t>
      </w:r>
      <w:r>
        <w:rPr>
          <w:rFonts w:ascii="宋体" w:hAnsi="宋体" w:cs="宋体"/>
          <w:snapToGrid w:val="0"/>
          <w:color w:val="auto"/>
          <w:kern w:val="0"/>
          <w:szCs w:val="21"/>
          <w:highlight w:val="none"/>
        </w:rPr>
        <w:t>1)本合同履行过程中双方签署的变更或补充协议(如有)；</w:t>
      </w:r>
    </w:p>
    <w:p w14:paraId="2511FE32">
      <w:pPr>
        <w:spacing w:line="40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(2)本合同；</w:t>
      </w:r>
    </w:p>
    <w:p w14:paraId="53E42F31">
      <w:pPr>
        <w:spacing w:line="40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(3)成交通知书；</w:t>
      </w:r>
    </w:p>
    <w:p w14:paraId="6AAC231A">
      <w:pPr>
        <w:spacing w:line="40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(4)响应函及其附录；</w:t>
      </w:r>
    </w:p>
    <w:p w14:paraId="7805D7DE">
      <w:pPr>
        <w:spacing w:line="40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(5)承诺文件；</w:t>
      </w:r>
    </w:p>
    <w:p w14:paraId="7DDAFEC8">
      <w:pPr>
        <w:spacing w:line="40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(6)其他合同文件。</w:t>
      </w:r>
    </w:p>
    <w:p w14:paraId="62A87086">
      <w:pPr>
        <w:spacing w:line="40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2、</w:t>
      </w:r>
      <w:r>
        <w:rPr>
          <w:rFonts w:ascii="宋体"/>
          <w:color w:val="auto"/>
          <w:highlight w:val="none"/>
        </w:rPr>
        <w:t>本合同一式七份，甲方执五份乙方执二份，自双方签章之日起生效</w:t>
      </w:r>
      <w:r>
        <w:rPr>
          <w:rFonts w:ascii="宋体" w:hAnsi="宋体" w:cs="宋体"/>
          <w:snapToGrid w:val="0"/>
          <w:color w:val="auto"/>
          <w:kern w:val="0"/>
          <w:szCs w:val="21"/>
          <w:highlight w:val="none"/>
        </w:rPr>
        <w:t>。</w:t>
      </w:r>
    </w:p>
    <w:p w14:paraId="30A0DBC9">
      <w:pPr>
        <w:spacing w:line="400" w:lineRule="exact"/>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3、以下附件(如有)是本合同不可分割的组成部分，与本合同具有同等法律效力。若附件约定与本合同正文约定不一致的，以附件约定为准。</w:t>
      </w:r>
    </w:p>
    <w:p w14:paraId="5E263C47">
      <w:pPr>
        <w:spacing w:line="360" w:lineRule="auto"/>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附件</w:t>
      </w:r>
      <w:r>
        <w:rPr>
          <w:rFonts w:hint="eastAsia" w:ascii="宋体" w:hAnsi="宋体" w:cs="宋体"/>
          <w:snapToGrid w:val="0"/>
          <w:color w:val="auto"/>
          <w:kern w:val="0"/>
          <w:szCs w:val="21"/>
          <w:highlight w:val="none"/>
        </w:rPr>
        <w:t>一</w:t>
      </w:r>
      <w:r>
        <w:rPr>
          <w:rFonts w:ascii="宋体" w:hAnsi="宋体" w:cs="宋体"/>
          <w:snapToGrid w:val="0"/>
          <w:color w:val="auto"/>
          <w:kern w:val="0"/>
          <w:szCs w:val="21"/>
          <w:highlight w:val="none"/>
        </w:rPr>
        <w:t>：已标价工程量清单</w:t>
      </w:r>
    </w:p>
    <w:p w14:paraId="12156FCF">
      <w:pPr>
        <w:spacing w:line="360" w:lineRule="auto"/>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附件</w:t>
      </w:r>
      <w:r>
        <w:rPr>
          <w:rFonts w:hint="eastAsia" w:ascii="宋体" w:hAnsi="宋体" w:cs="宋体"/>
          <w:snapToGrid w:val="0"/>
          <w:color w:val="auto"/>
          <w:kern w:val="0"/>
          <w:szCs w:val="21"/>
          <w:highlight w:val="none"/>
        </w:rPr>
        <w:t>二</w:t>
      </w:r>
      <w:r>
        <w:rPr>
          <w:rFonts w:ascii="宋体" w:hAnsi="宋体" w:cs="宋体"/>
          <w:snapToGrid w:val="0"/>
          <w:color w:val="auto"/>
          <w:kern w:val="0"/>
          <w:szCs w:val="21"/>
          <w:highlight w:val="none"/>
        </w:rPr>
        <w:t>：商务条款偏离表</w:t>
      </w:r>
    </w:p>
    <w:p w14:paraId="294C8563">
      <w:pPr>
        <w:spacing w:line="360" w:lineRule="auto"/>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附件</w:t>
      </w:r>
      <w:r>
        <w:rPr>
          <w:rFonts w:hint="eastAsia" w:ascii="宋体" w:hAnsi="宋体" w:cs="宋体"/>
          <w:snapToGrid w:val="0"/>
          <w:color w:val="auto"/>
          <w:kern w:val="0"/>
          <w:szCs w:val="21"/>
          <w:highlight w:val="none"/>
        </w:rPr>
        <w:t>三</w:t>
      </w:r>
      <w:r>
        <w:rPr>
          <w:rFonts w:ascii="宋体" w:hAnsi="宋体" w:cs="宋体"/>
          <w:snapToGrid w:val="0"/>
          <w:color w:val="auto"/>
          <w:kern w:val="0"/>
          <w:szCs w:val="21"/>
          <w:highlight w:val="none"/>
        </w:rPr>
        <w:t>：成交通知书</w:t>
      </w:r>
    </w:p>
    <w:p w14:paraId="514A2325">
      <w:pPr>
        <w:spacing w:line="360" w:lineRule="auto"/>
        <w:ind w:firstLine="420" w:firstLineChars="200"/>
        <w:rPr>
          <w:rFonts w:ascii="宋体" w:hAnsi="宋体" w:cs="宋体"/>
          <w:snapToGrid w:val="0"/>
          <w:color w:val="auto"/>
          <w:kern w:val="0"/>
          <w:szCs w:val="21"/>
          <w:highlight w:val="none"/>
        </w:rPr>
      </w:pPr>
      <w:r>
        <w:rPr>
          <w:rFonts w:ascii="宋体" w:hAnsi="宋体" w:cs="宋体"/>
          <w:snapToGrid w:val="0"/>
          <w:color w:val="auto"/>
          <w:kern w:val="0"/>
          <w:szCs w:val="21"/>
          <w:highlight w:val="none"/>
        </w:rPr>
        <w:t>附件</w:t>
      </w:r>
      <w:r>
        <w:rPr>
          <w:rFonts w:hint="eastAsia" w:ascii="宋体" w:hAnsi="宋体" w:cs="宋体"/>
          <w:snapToGrid w:val="0"/>
          <w:color w:val="auto"/>
          <w:kern w:val="0"/>
          <w:szCs w:val="21"/>
          <w:highlight w:val="none"/>
        </w:rPr>
        <w:t>四</w:t>
      </w:r>
      <w:r>
        <w:rPr>
          <w:rFonts w:ascii="宋体" w:hAnsi="宋体" w:cs="宋体"/>
          <w:snapToGrid w:val="0"/>
          <w:color w:val="auto"/>
          <w:kern w:val="0"/>
          <w:szCs w:val="21"/>
          <w:highlight w:val="none"/>
        </w:rPr>
        <w:t>：其他</w:t>
      </w:r>
    </w:p>
    <w:p w14:paraId="1F3AD35D">
      <w:pPr>
        <w:pStyle w:val="15"/>
        <w:spacing w:line="360" w:lineRule="auto"/>
        <w:ind w:firstLine="420" w:firstLineChars="200"/>
        <w:rPr>
          <w:color w:val="auto"/>
          <w:highlight w:val="none"/>
        </w:rPr>
      </w:pPr>
      <w:r>
        <w:rPr>
          <w:rFonts w:ascii="宋体" w:hAnsi="宋体" w:cs="宋体"/>
          <w:snapToGrid w:val="0"/>
          <w:color w:val="auto"/>
          <w:kern w:val="0"/>
          <w:szCs w:val="21"/>
          <w:highlight w:val="none"/>
        </w:rPr>
        <w:t>附件</w:t>
      </w:r>
      <w:r>
        <w:rPr>
          <w:rFonts w:hint="eastAsia" w:ascii="宋体" w:hAnsi="宋体" w:cs="宋体"/>
          <w:snapToGrid w:val="0"/>
          <w:color w:val="auto"/>
          <w:kern w:val="0"/>
          <w:szCs w:val="21"/>
          <w:highlight w:val="none"/>
        </w:rPr>
        <w:t>五</w:t>
      </w:r>
      <w:r>
        <w:rPr>
          <w:rFonts w:ascii="宋体" w:hAnsi="宋体" w:cs="宋体"/>
          <w:snapToGrid w:val="0"/>
          <w:color w:val="auto"/>
          <w:kern w:val="0"/>
          <w:szCs w:val="21"/>
          <w:highlight w:val="none"/>
        </w:rPr>
        <w:t>：</w:t>
      </w:r>
      <w:r>
        <w:rPr>
          <w:rFonts w:hint="eastAsia" w:ascii="宋体" w:hAnsi="宋体" w:cs="宋体"/>
          <w:snapToGrid w:val="0"/>
          <w:color w:val="auto"/>
          <w:kern w:val="0"/>
          <w:szCs w:val="21"/>
          <w:highlight w:val="none"/>
        </w:rPr>
        <w:t>中小企业声明函</w:t>
      </w:r>
    </w:p>
    <w:p w14:paraId="4B3842A7">
      <w:pPr>
        <w:pStyle w:val="15"/>
        <w:spacing w:line="360" w:lineRule="auto"/>
        <w:ind w:firstLine="210" w:firstLineChars="100"/>
        <w:rPr>
          <w:color w:val="auto"/>
          <w:highlight w:val="none"/>
        </w:rPr>
      </w:pPr>
      <w:r>
        <w:rPr>
          <w:rFonts w:hint="eastAsia"/>
          <w:color w:val="auto"/>
          <w:highlight w:val="none"/>
        </w:rPr>
        <w:t>（按顺序后附）</w:t>
      </w:r>
    </w:p>
    <w:p w14:paraId="011B1955">
      <w:pPr>
        <w:widowControl/>
        <w:kinsoku w:val="0"/>
        <w:autoSpaceDE w:val="0"/>
        <w:autoSpaceDN w:val="0"/>
        <w:adjustRightInd w:val="0"/>
        <w:snapToGrid w:val="0"/>
        <w:spacing w:line="500" w:lineRule="exact"/>
        <w:ind w:left="5250" w:hanging="5250" w:hangingChars="2500"/>
        <w:jc w:val="left"/>
        <w:textAlignment w:val="baseline"/>
        <w:rPr>
          <w:rFonts w:ascii="宋体" w:hAnsi="宋体" w:cs="宋体"/>
          <w:snapToGrid w:val="0"/>
          <w:color w:val="auto"/>
          <w:kern w:val="0"/>
          <w:szCs w:val="21"/>
          <w:highlight w:val="none"/>
        </w:rPr>
      </w:pPr>
      <w:r>
        <w:rPr>
          <w:rFonts w:ascii="宋体" w:hAnsi="宋体" w:cs="宋体"/>
          <w:snapToGrid w:val="0"/>
          <w:color w:val="auto"/>
          <w:kern w:val="0"/>
          <w:szCs w:val="21"/>
          <w:highlight w:val="none"/>
        </w:rPr>
        <w:t>甲方(公章)：</w:t>
      </w:r>
      <w:r>
        <w:rPr>
          <w:rFonts w:hint="eastAsia" w:ascii="宋体" w:hAnsi="宋体" w:cs="宋体"/>
          <w:snapToGrid w:val="0"/>
          <w:color w:val="auto"/>
          <w:kern w:val="0"/>
          <w:szCs w:val="21"/>
          <w:highlight w:val="none"/>
          <w:lang w:eastAsia="zh-CN"/>
        </w:rPr>
        <w:t>广西物流职业技术学院</w:t>
      </w:r>
      <w:r>
        <w:rPr>
          <w:rFonts w:ascii="宋体" w:hAnsi="宋体" w:cs="宋体"/>
          <w:snapToGrid w:val="0"/>
          <w:color w:val="auto"/>
          <w:kern w:val="0"/>
          <w:szCs w:val="21"/>
          <w:highlight w:val="none"/>
        </w:rPr>
        <w:t xml:space="preserve">       乙方(公章)：</w:t>
      </w:r>
    </w:p>
    <w:p w14:paraId="0553D597">
      <w:pPr>
        <w:widowControl/>
        <w:kinsoku w:val="0"/>
        <w:autoSpaceDE w:val="0"/>
        <w:autoSpaceDN w:val="0"/>
        <w:adjustRightInd w:val="0"/>
        <w:snapToGrid w:val="0"/>
        <w:spacing w:line="500" w:lineRule="exact"/>
        <w:ind w:left="472" w:leftChars="16" w:hanging="438" w:hangingChars="209"/>
        <w:jc w:val="left"/>
        <w:textAlignment w:val="baseline"/>
        <w:rPr>
          <w:rFonts w:ascii="宋体" w:hAnsi="宋体" w:cs="宋体"/>
          <w:snapToGrid w:val="0"/>
          <w:color w:val="auto"/>
          <w:kern w:val="0"/>
          <w:szCs w:val="21"/>
          <w:highlight w:val="none"/>
        </w:rPr>
      </w:pPr>
      <w:r>
        <w:rPr>
          <w:rFonts w:ascii="宋体" w:hAnsi="宋体" w:cs="宋体"/>
          <w:snapToGrid w:val="0"/>
          <w:color w:val="auto"/>
          <w:kern w:val="0"/>
          <w:szCs w:val="21"/>
          <w:highlight w:val="none"/>
        </w:rPr>
        <w:t>法定(授权)代表人(签章)：               法定(授权)代表人(签章)：</w:t>
      </w:r>
    </w:p>
    <w:p w14:paraId="5624144F">
      <w:pPr>
        <w:widowControl/>
        <w:kinsoku w:val="0"/>
        <w:autoSpaceDE w:val="0"/>
        <w:autoSpaceDN w:val="0"/>
        <w:adjustRightInd w:val="0"/>
        <w:snapToGrid w:val="0"/>
        <w:spacing w:line="500" w:lineRule="exact"/>
        <w:ind w:left="4796" w:leftChars="30" w:hanging="4733" w:hangingChars="2254"/>
        <w:jc w:val="left"/>
        <w:textAlignment w:val="baseline"/>
        <w:rPr>
          <w:rFonts w:ascii="宋体" w:hAnsi="宋体" w:cs="Arial"/>
          <w:snapToGrid w:val="0"/>
          <w:color w:val="auto"/>
          <w:kern w:val="0"/>
          <w:szCs w:val="21"/>
          <w:highlight w:val="none"/>
        </w:rPr>
      </w:pPr>
    </w:p>
    <w:p w14:paraId="1AC410E8">
      <w:pPr>
        <w:widowControl/>
        <w:kinsoku w:val="0"/>
        <w:autoSpaceDE w:val="0"/>
        <w:autoSpaceDN w:val="0"/>
        <w:adjustRightInd w:val="0"/>
        <w:snapToGrid w:val="0"/>
        <w:spacing w:line="500" w:lineRule="exact"/>
        <w:ind w:left="4796" w:leftChars="30" w:hanging="4733" w:hangingChars="2254"/>
        <w:jc w:val="left"/>
        <w:textAlignment w:val="baseline"/>
        <w:rPr>
          <w:rFonts w:ascii="宋体" w:hAnsi="宋体" w:cs="Arial"/>
          <w:snapToGrid w:val="0"/>
          <w:color w:val="auto"/>
          <w:kern w:val="0"/>
          <w:szCs w:val="21"/>
          <w:highlight w:val="none"/>
        </w:rPr>
      </w:pPr>
      <w:r>
        <w:rPr>
          <w:rFonts w:hint="eastAsia" w:ascii="宋体" w:hAnsi="宋体" w:cs="宋体"/>
          <w:color w:val="auto"/>
          <w:szCs w:val="21"/>
          <w:highlight w:val="none"/>
        </w:rPr>
        <w:t>统一社会信用代码：</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统一社会信用代码：</w:t>
      </w:r>
    </w:p>
    <w:p w14:paraId="143FD512">
      <w:pPr>
        <w:widowControl/>
        <w:kinsoku w:val="0"/>
        <w:autoSpaceDE w:val="0"/>
        <w:autoSpaceDN w:val="0"/>
        <w:adjustRightInd w:val="0"/>
        <w:snapToGrid w:val="0"/>
        <w:spacing w:line="500" w:lineRule="exact"/>
        <w:ind w:left="4796" w:leftChars="30" w:hanging="4733" w:hangingChars="2254"/>
        <w:jc w:val="left"/>
        <w:textAlignment w:val="baseline"/>
        <w:rPr>
          <w:rFonts w:ascii="宋体" w:hAnsi="宋体" w:cs="Arial"/>
          <w:snapToGrid w:val="0"/>
          <w:color w:val="auto"/>
          <w:kern w:val="0"/>
          <w:szCs w:val="21"/>
          <w:highlight w:val="none"/>
        </w:rPr>
      </w:pPr>
      <w:r>
        <w:rPr>
          <w:rFonts w:ascii="宋体" w:hAnsi="宋体" w:cs="Arial"/>
          <w:snapToGrid w:val="0"/>
          <w:color w:val="auto"/>
          <w:kern w:val="0"/>
          <w:szCs w:val="21"/>
          <w:highlight w:val="none"/>
        </w:rPr>
        <w:t>地址：</w:t>
      </w:r>
      <w:r>
        <w:rPr>
          <w:rFonts w:hint="eastAsia" w:ascii="宋体" w:hAnsi="宋体" w:cs="Arial"/>
          <w:snapToGrid w:val="0"/>
          <w:color w:val="auto"/>
          <w:kern w:val="0"/>
          <w:szCs w:val="21"/>
          <w:highlight w:val="none"/>
          <w:lang w:val="en-US" w:eastAsia="zh-CN"/>
        </w:rPr>
        <w:t xml:space="preserve">                   </w:t>
      </w:r>
      <w:r>
        <w:rPr>
          <w:rFonts w:ascii="宋体" w:hAnsi="宋体" w:cs="Arial"/>
          <w:snapToGrid w:val="0"/>
          <w:color w:val="auto"/>
          <w:kern w:val="0"/>
          <w:szCs w:val="21"/>
          <w:highlight w:val="none"/>
        </w:rPr>
        <w:t xml:space="preserve">              地址：</w:t>
      </w:r>
    </w:p>
    <w:p w14:paraId="57EA443D">
      <w:pPr>
        <w:widowControl/>
        <w:kinsoku w:val="0"/>
        <w:autoSpaceDE w:val="0"/>
        <w:autoSpaceDN w:val="0"/>
        <w:adjustRightInd w:val="0"/>
        <w:snapToGrid w:val="0"/>
        <w:spacing w:line="500" w:lineRule="exact"/>
        <w:ind w:left="399" w:leftChars="30" w:hanging="336" w:hangingChars="160"/>
        <w:jc w:val="left"/>
        <w:textAlignment w:val="baseline"/>
        <w:rPr>
          <w:rFonts w:ascii="宋体" w:hAnsi="宋体" w:cs="Arial"/>
          <w:snapToGrid w:val="0"/>
          <w:color w:val="auto"/>
          <w:kern w:val="0"/>
          <w:szCs w:val="21"/>
          <w:highlight w:val="none"/>
        </w:rPr>
      </w:pPr>
      <w:r>
        <w:rPr>
          <w:rFonts w:ascii="宋体" w:hAnsi="宋体" w:cs="Arial"/>
          <w:snapToGrid w:val="0"/>
          <w:color w:val="auto"/>
          <w:kern w:val="0"/>
          <w:szCs w:val="21"/>
          <w:highlight w:val="none"/>
        </w:rPr>
        <w:t>电话：</w:t>
      </w:r>
      <w:r>
        <w:rPr>
          <w:rFonts w:hint="eastAsia" w:ascii="宋体" w:hAnsi="宋体" w:cs="宋体"/>
          <w:color w:val="auto"/>
          <w:szCs w:val="21"/>
          <w:highlight w:val="none"/>
          <w:lang w:val="en-US" w:eastAsia="zh-CN"/>
        </w:rPr>
        <w:t xml:space="preserve">             </w:t>
      </w:r>
      <w:r>
        <w:rPr>
          <w:rFonts w:ascii="宋体" w:hAnsi="宋体" w:cs="Arial"/>
          <w:snapToGrid w:val="0"/>
          <w:color w:val="auto"/>
          <w:kern w:val="0"/>
          <w:szCs w:val="21"/>
          <w:highlight w:val="none"/>
        </w:rPr>
        <w:t xml:space="preserve">                 </w:t>
      </w:r>
      <w:r>
        <w:rPr>
          <w:rFonts w:hint="eastAsia" w:ascii="宋体" w:hAnsi="宋体" w:cs="Arial"/>
          <w:snapToGrid w:val="0"/>
          <w:color w:val="auto"/>
          <w:kern w:val="0"/>
          <w:szCs w:val="21"/>
          <w:highlight w:val="none"/>
          <w:lang w:val="en-US" w:eastAsia="zh-CN"/>
        </w:rPr>
        <w:t xml:space="preserve">  </w:t>
      </w:r>
      <w:r>
        <w:rPr>
          <w:rFonts w:ascii="宋体" w:hAnsi="宋体" w:cs="Arial"/>
          <w:snapToGrid w:val="0"/>
          <w:color w:val="auto"/>
          <w:kern w:val="0"/>
          <w:szCs w:val="21"/>
          <w:highlight w:val="none"/>
        </w:rPr>
        <w:t xml:space="preserve"> 电话：</w:t>
      </w:r>
    </w:p>
    <w:p w14:paraId="2954AD01">
      <w:pPr>
        <w:widowControl/>
        <w:kinsoku w:val="0"/>
        <w:autoSpaceDE w:val="0"/>
        <w:autoSpaceDN w:val="0"/>
        <w:adjustRightInd w:val="0"/>
        <w:snapToGrid w:val="0"/>
        <w:spacing w:line="500" w:lineRule="exact"/>
        <w:ind w:left="5426" w:leftChars="30" w:right="-483" w:rightChars="-230" w:hanging="5363" w:hangingChars="2554"/>
        <w:jc w:val="left"/>
        <w:textAlignment w:val="baseline"/>
        <w:rPr>
          <w:rFonts w:ascii="宋体" w:hAnsi="宋体" w:cs="Arial"/>
          <w:snapToGrid w:val="0"/>
          <w:color w:val="auto"/>
          <w:kern w:val="0"/>
          <w:szCs w:val="21"/>
          <w:highlight w:val="none"/>
        </w:rPr>
      </w:pPr>
      <w:r>
        <w:rPr>
          <w:rFonts w:ascii="宋体" w:hAnsi="宋体" w:cs="Arial"/>
          <w:snapToGrid w:val="0"/>
          <w:color w:val="auto"/>
          <w:kern w:val="0"/>
          <w:szCs w:val="21"/>
          <w:highlight w:val="none"/>
        </w:rPr>
        <w:t>开户银行：</w:t>
      </w:r>
      <w:r>
        <w:rPr>
          <w:rFonts w:hint="eastAsia" w:ascii="宋体" w:hAnsi="宋体" w:cs="宋体"/>
          <w:color w:val="auto"/>
          <w:szCs w:val="21"/>
          <w:highlight w:val="none"/>
          <w:lang w:val="en-US" w:eastAsia="zh-CN"/>
        </w:rPr>
        <w:t xml:space="preserve">                      </w:t>
      </w:r>
      <w:r>
        <w:rPr>
          <w:rFonts w:ascii="宋体" w:hAnsi="宋体" w:cs="Arial"/>
          <w:snapToGrid w:val="0"/>
          <w:color w:val="auto"/>
          <w:kern w:val="0"/>
          <w:szCs w:val="21"/>
          <w:highlight w:val="none"/>
        </w:rPr>
        <w:t xml:space="preserve">       开户银行：</w:t>
      </w:r>
    </w:p>
    <w:p w14:paraId="181F73E8">
      <w:pPr>
        <w:widowControl/>
        <w:kinsoku w:val="0"/>
        <w:autoSpaceDE w:val="0"/>
        <w:autoSpaceDN w:val="0"/>
        <w:adjustRightInd w:val="0"/>
        <w:snapToGrid w:val="0"/>
        <w:spacing w:line="500" w:lineRule="exact"/>
        <w:ind w:left="399" w:leftChars="30" w:hanging="336" w:hangingChars="160"/>
        <w:jc w:val="left"/>
        <w:textAlignment w:val="baseline"/>
        <w:rPr>
          <w:rFonts w:ascii="宋体" w:hAnsi="宋体" w:cs="宋体"/>
          <w:snapToGrid w:val="0"/>
          <w:color w:val="auto"/>
          <w:kern w:val="0"/>
          <w:szCs w:val="21"/>
          <w:highlight w:val="none"/>
        </w:rPr>
      </w:pPr>
      <w:r>
        <w:rPr>
          <w:rFonts w:ascii="宋体" w:hAnsi="宋体" w:cs="Arial"/>
          <w:snapToGrid w:val="0"/>
          <w:color w:val="auto"/>
          <w:kern w:val="0"/>
          <w:szCs w:val="21"/>
          <w:highlight w:val="none"/>
        </w:rPr>
        <w:t>账号：</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ascii="宋体" w:hAnsi="宋体" w:cs="Arial"/>
          <w:snapToGrid w:val="0"/>
          <w:color w:val="auto"/>
          <w:kern w:val="0"/>
          <w:szCs w:val="21"/>
          <w:highlight w:val="none"/>
        </w:rPr>
        <w:t xml:space="preserve">     账号:</w:t>
      </w:r>
    </w:p>
    <w:p w14:paraId="1F8016C2">
      <w:pPr>
        <w:widowControl/>
        <w:kinsoku w:val="0"/>
        <w:autoSpaceDE w:val="0"/>
        <w:autoSpaceDN w:val="0"/>
        <w:adjustRightInd w:val="0"/>
        <w:snapToGrid w:val="0"/>
        <w:spacing w:line="500" w:lineRule="exact"/>
        <w:ind w:left="401" w:leftChars="-120" w:hanging="653" w:hangingChars="311"/>
        <w:jc w:val="center"/>
        <w:textAlignment w:val="baseline"/>
        <w:rPr>
          <w:rFonts w:ascii="宋体" w:hAnsi="宋体"/>
          <w:b/>
          <w:color w:val="auto"/>
          <w:sz w:val="32"/>
          <w:szCs w:val="32"/>
          <w:highlight w:val="none"/>
        </w:rPr>
      </w:pPr>
      <w:r>
        <w:rPr>
          <w:rFonts w:ascii="宋体" w:hAnsi="宋体" w:cs="宋体"/>
          <w:snapToGrid w:val="0"/>
          <w:color w:val="auto"/>
          <w:kern w:val="0"/>
          <w:szCs w:val="21"/>
          <w:highlight w:val="none"/>
        </w:rPr>
        <w:t>签订日期：202</w:t>
      </w:r>
      <w:r>
        <w:rPr>
          <w:rFonts w:hint="eastAsia" w:ascii="宋体" w:hAnsi="宋体" w:cs="宋体"/>
          <w:snapToGrid w:val="0"/>
          <w:color w:val="auto"/>
          <w:kern w:val="0"/>
          <w:szCs w:val="21"/>
          <w:highlight w:val="none"/>
          <w:lang w:val="en-US" w:eastAsia="zh-CN"/>
        </w:rPr>
        <w:t xml:space="preserve">  </w:t>
      </w:r>
      <w:r>
        <w:rPr>
          <w:rFonts w:ascii="宋体" w:hAnsi="宋体" w:cs="宋体"/>
          <w:snapToGrid w:val="0"/>
          <w:color w:val="auto"/>
          <w:kern w:val="0"/>
          <w:szCs w:val="21"/>
          <w:highlight w:val="none"/>
        </w:rPr>
        <w:t xml:space="preserve">年  </w:t>
      </w:r>
      <w:r>
        <w:rPr>
          <w:rFonts w:hint="eastAsia" w:ascii="宋体" w:hAnsi="宋体" w:cs="宋体"/>
          <w:snapToGrid w:val="0"/>
          <w:color w:val="auto"/>
          <w:kern w:val="0"/>
          <w:szCs w:val="21"/>
          <w:highlight w:val="none"/>
        </w:rPr>
        <w:t xml:space="preserve">    </w:t>
      </w:r>
      <w:r>
        <w:rPr>
          <w:rFonts w:ascii="宋体" w:hAnsi="宋体" w:cs="宋体"/>
          <w:snapToGrid w:val="0"/>
          <w:color w:val="auto"/>
          <w:kern w:val="0"/>
          <w:szCs w:val="21"/>
          <w:highlight w:val="none"/>
        </w:rPr>
        <w:t>月</w:t>
      </w:r>
      <w:r>
        <w:rPr>
          <w:rFonts w:hint="eastAsia" w:ascii="宋体" w:hAnsi="宋体" w:cs="宋体"/>
          <w:snapToGrid w:val="0"/>
          <w:color w:val="auto"/>
          <w:kern w:val="0"/>
          <w:szCs w:val="21"/>
          <w:highlight w:val="none"/>
        </w:rPr>
        <w:t xml:space="preserve">  </w:t>
      </w:r>
      <w:r>
        <w:rPr>
          <w:rFonts w:ascii="宋体" w:hAnsi="宋体" w:cs="宋体"/>
          <w:snapToGrid w:val="0"/>
          <w:color w:val="auto"/>
          <w:kern w:val="0"/>
          <w:szCs w:val="21"/>
          <w:highlight w:val="none"/>
        </w:rPr>
        <w:t xml:space="preserve">  日</w:t>
      </w:r>
    </w:p>
    <w:p w14:paraId="3D9E5646">
      <w:pPr>
        <w:jc w:val="center"/>
        <w:rPr>
          <w:rFonts w:hint="eastAsia" w:ascii="宋体" w:hAnsi="宋体" w:eastAsia="宋体" w:cs="宋体"/>
          <w:color w:val="auto"/>
          <w:kern w:val="0"/>
          <w:szCs w:val="21"/>
          <w:highlight w:val="none"/>
        </w:rPr>
      </w:pPr>
      <w:r>
        <w:rPr>
          <w:rFonts w:hint="default" w:ascii="宋体" w:hAnsi="宋体" w:cs="宋体"/>
          <w:snapToGrid w:val="0"/>
          <w:color w:val="auto"/>
          <w:kern w:val="0"/>
          <w:sz w:val="21"/>
          <w:szCs w:val="21"/>
          <w:highlight w:val="none"/>
        </w:rPr>
        <w:br w:type="page"/>
      </w:r>
    </w:p>
    <w:p w14:paraId="24EB8893">
      <w:pPr>
        <w:pStyle w:val="3"/>
        <w:widowControl/>
        <w:shd w:val="clear" w:color="auto"/>
        <w:jc w:val="center"/>
        <w:outlineLvl w:val="0"/>
        <w:rPr>
          <w:rFonts w:hint="eastAsia" w:ascii="宋体" w:hAnsi="宋体" w:cs="宋体"/>
          <w:b w:val="0"/>
          <w:color w:val="auto"/>
          <w:highlight w:val="none"/>
        </w:rPr>
      </w:pPr>
      <w:bookmarkStart w:id="255" w:name="_Toc26970"/>
      <w:r>
        <w:rPr>
          <w:rFonts w:hint="eastAsia" w:ascii="宋体" w:hAnsi="宋体" w:cs="宋体"/>
          <w:color w:val="auto"/>
          <w:highlight w:val="none"/>
        </w:rPr>
        <w:t>第</w:t>
      </w:r>
      <w:r>
        <w:rPr>
          <w:rFonts w:hint="eastAsia" w:ascii="宋体" w:hAnsi="宋体" w:cs="宋体"/>
          <w:color w:val="auto"/>
          <w:highlight w:val="none"/>
          <w:lang w:val="en-US" w:eastAsia="zh-CN"/>
        </w:rPr>
        <w:t>七章</w:t>
      </w:r>
      <w:r>
        <w:rPr>
          <w:rFonts w:hint="eastAsia" w:ascii="宋体" w:hAnsi="宋体" w:cs="宋体"/>
          <w:color w:val="auto"/>
          <w:highlight w:val="none"/>
        </w:rPr>
        <w:t xml:space="preserve"> 质疑、投诉材料格式</w:t>
      </w:r>
      <w:bookmarkEnd w:id="255"/>
    </w:p>
    <w:p w14:paraId="60E1F314">
      <w:pPr>
        <w:shd w:val="clear" w:color="auto"/>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szCs w:val="44"/>
          <w:highlight w:val="none"/>
        </w:rPr>
        <w:t>质疑函（格式）</w:t>
      </w:r>
    </w:p>
    <w:p w14:paraId="4D5AAC12">
      <w:pPr>
        <w:pStyle w:val="19"/>
        <w:shd w:val="clear" w:color="auto"/>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5AA5952C">
      <w:pPr>
        <w:pStyle w:val="19"/>
        <w:shd w:val="clear" w:color="auto"/>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7330768">
      <w:pPr>
        <w:pStyle w:val="19"/>
        <w:shd w:val="clear" w:color="auto"/>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4302F8F">
      <w:pPr>
        <w:pStyle w:val="19"/>
        <w:shd w:val="clear" w:color="auto"/>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1AA6E885">
      <w:pPr>
        <w:pStyle w:val="19"/>
        <w:shd w:val="clear" w:color="auto"/>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100BD615">
      <w:pPr>
        <w:pStyle w:val="19"/>
        <w:shd w:val="clear" w:color="auto"/>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79DA15E0">
      <w:pPr>
        <w:pStyle w:val="19"/>
        <w:shd w:val="clear" w:color="auto"/>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8B7AB43">
      <w:pPr>
        <w:pStyle w:val="19"/>
        <w:shd w:val="clear" w:color="auto"/>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51285369">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247DFD1D">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60ADB69C">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65745BFF">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660193FC">
      <w:pPr>
        <w:pStyle w:val="19"/>
        <w:shd w:val="clear" w:color="auto"/>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15B33667">
      <w:pPr>
        <w:pStyle w:val="19"/>
        <w:shd w:val="clear" w:color="auto"/>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4AF13E5E">
      <w:pPr>
        <w:pStyle w:val="19"/>
        <w:shd w:val="clear" w:color="auto"/>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51C4FEB8">
      <w:pPr>
        <w:pStyle w:val="19"/>
        <w:shd w:val="clear" w:color="auto"/>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5E9397BE">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65AC895E">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3245E6E5">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7C2B665C">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4C236BE0">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6F2F2173">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55897762">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561A2252">
      <w:pPr>
        <w:pStyle w:val="19"/>
        <w:shd w:val="clear" w:color="auto"/>
        <w:spacing w:line="360" w:lineRule="auto"/>
        <w:ind w:left="25" w:leftChars="12" w:firstLine="352" w:firstLineChars="147"/>
        <w:contextualSpacing/>
        <w:rPr>
          <w:rFonts w:hint="eastAsia" w:ascii="宋体" w:hAnsi="宋体" w:eastAsia="宋体" w:cs="宋体"/>
          <w:color w:val="auto"/>
          <w:sz w:val="24"/>
          <w:szCs w:val="24"/>
          <w:highlight w:val="none"/>
        </w:rPr>
      </w:pPr>
    </w:p>
    <w:p w14:paraId="0B61DF53">
      <w:pPr>
        <w:pStyle w:val="19"/>
        <w:shd w:val="clear" w:color="auto"/>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3CD92C07">
      <w:pPr>
        <w:pStyle w:val="19"/>
        <w:shd w:val="clear" w:color="auto"/>
        <w:spacing w:line="360" w:lineRule="auto"/>
        <w:ind w:firstLine="480" w:firstLineChars="200"/>
        <w:contextualSpacing/>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p>
    <w:p w14:paraId="2995B6C8">
      <w:pPr>
        <w:pStyle w:val="19"/>
        <w:shd w:val="clear" w:color="auto"/>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433D20E7">
      <w:pPr>
        <w:pStyle w:val="19"/>
        <w:shd w:val="clear" w:color="auto"/>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374B57CC">
      <w:pPr>
        <w:pStyle w:val="19"/>
        <w:shd w:val="clear" w:color="auto"/>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8334E7B">
      <w:pPr>
        <w:pStyle w:val="19"/>
        <w:shd w:val="clear" w:color="auto"/>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561A1561">
      <w:pPr>
        <w:pStyle w:val="19"/>
        <w:shd w:val="clear" w:color="auto"/>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0B349F81">
      <w:pPr>
        <w:pStyle w:val="19"/>
        <w:shd w:val="clear" w:color="auto"/>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0B5935A5">
      <w:pPr>
        <w:pStyle w:val="19"/>
        <w:shd w:val="clear" w:color="auto"/>
        <w:snapToGrid w:val="0"/>
        <w:rPr>
          <w:rFonts w:hint="eastAsia" w:ascii="宋体" w:hAnsi="宋体" w:eastAsia="宋体" w:cs="宋体"/>
          <w:b/>
          <w:color w:val="auto"/>
          <w:sz w:val="24"/>
          <w:szCs w:val="24"/>
          <w:highlight w:val="none"/>
        </w:rPr>
      </w:pPr>
    </w:p>
    <w:p w14:paraId="59F33DBC">
      <w:pPr>
        <w:shd w:val="clear" w:color="auto"/>
        <w:rPr>
          <w:rFonts w:hint="eastAsia" w:ascii="宋体" w:hAnsi="宋体" w:eastAsia="宋体" w:cs="宋体"/>
          <w:color w:val="auto"/>
          <w:sz w:val="32"/>
          <w:szCs w:val="40"/>
          <w:highlight w:val="none"/>
        </w:rPr>
      </w:pPr>
    </w:p>
    <w:p w14:paraId="31DC545C">
      <w:pPr>
        <w:shd w:val="clear" w:color="auto"/>
        <w:spacing w:line="520" w:lineRule="exact"/>
        <w:rPr>
          <w:rFonts w:hint="eastAsia" w:ascii="宋体" w:hAnsi="宋体" w:cs="宋体"/>
          <w:color w:val="auto"/>
          <w:sz w:val="24"/>
          <w:highlight w:val="none"/>
        </w:rPr>
      </w:pPr>
    </w:p>
    <w:p w14:paraId="22648B79">
      <w:pPr>
        <w:shd w:val="clear" w:color="auto"/>
        <w:spacing w:line="520" w:lineRule="exact"/>
        <w:jc w:val="center"/>
        <w:rPr>
          <w:rFonts w:hint="eastAsia" w:ascii="宋体" w:hAnsi="宋体" w:cs="宋体"/>
          <w:color w:val="auto"/>
          <w:sz w:val="24"/>
          <w:highlight w:val="none"/>
        </w:rPr>
      </w:pPr>
    </w:p>
    <w:p w14:paraId="0DFA6C5C">
      <w:pPr>
        <w:shd w:val="clear" w:color="auto"/>
        <w:spacing w:line="520" w:lineRule="exact"/>
        <w:jc w:val="center"/>
        <w:rPr>
          <w:rFonts w:hint="eastAsia" w:ascii="宋体" w:hAnsi="宋体" w:cs="宋体"/>
          <w:color w:val="auto"/>
          <w:sz w:val="24"/>
          <w:highlight w:val="none"/>
        </w:rPr>
      </w:pPr>
    </w:p>
    <w:p w14:paraId="21D22A10">
      <w:pPr>
        <w:shd w:val="clear" w:color="auto"/>
        <w:spacing w:line="520" w:lineRule="exact"/>
        <w:jc w:val="center"/>
        <w:rPr>
          <w:rFonts w:hint="eastAsia" w:ascii="宋体" w:hAnsi="宋体" w:cs="宋体"/>
          <w:color w:val="auto"/>
          <w:sz w:val="24"/>
          <w:highlight w:val="none"/>
        </w:rPr>
      </w:pPr>
    </w:p>
    <w:p w14:paraId="50F4FFDC">
      <w:pPr>
        <w:shd w:val="clear" w:color="auto"/>
        <w:spacing w:line="520" w:lineRule="exact"/>
        <w:jc w:val="center"/>
        <w:rPr>
          <w:rFonts w:hint="eastAsia" w:ascii="宋体" w:hAnsi="宋体" w:cs="宋体"/>
          <w:color w:val="auto"/>
          <w:sz w:val="24"/>
          <w:highlight w:val="none"/>
        </w:rPr>
      </w:pPr>
    </w:p>
    <w:p w14:paraId="7EF50435">
      <w:pPr>
        <w:shd w:val="clear" w:color="auto"/>
        <w:spacing w:line="520" w:lineRule="exact"/>
        <w:jc w:val="center"/>
        <w:rPr>
          <w:rFonts w:hint="eastAsia" w:ascii="宋体" w:hAnsi="宋体" w:cs="宋体"/>
          <w:color w:val="auto"/>
          <w:sz w:val="24"/>
          <w:highlight w:val="none"/>
        </w:rPr>
      </w:pPr>
    </w:p>
    <w:p w14:paraId="5815DCBB">
      <w:pPr>
        <w:shd w:val="clear" w:color="auto"/>
        <w:spacing w:line="520" w:lineRule="exact"/>
        <w:jc w:val="center"/>
        <w:rPr>
          <w:rFonts w:hint="eastAsia" w:ascii="宋体" w:hAnsi="宋体" w:cs="宋体"/>
          <w:color w:val="auto"/>
          <w:sz w:val="24"/>
          <w:highlight w:val="none"/>
        </w:rPr>
      </w:pPr>
    </w:p>
    <w:p w14:paraId="7E013C1B">
      <w:pPr>
        <w:pStyle w:val="3"/>
        <w:widowControl/>
        <w:shd w:val="clear" w:color="auto"/>
        <w:jc w:val="center"/>
        <w:rPr>
          <w:rFonts w:hint="eastAsia" w:ascii="宋体" w:hAnsi="宋体" w:cs="宋体"/>
          <w:b w:val="0"/>
          <w:bCs w:val="0"/>
          <w:color w:val="auto"/>
          <w:highlight w:val="none"/>
        </w:rPr>
        <w:sectPr>
          <w:pgSz w:w="11910" w:h="16840"/>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12" w:charSpace="0"/>
        </w:sectPr>
      </w:pPr>
    </w:p>
    <w:p w14:paraId="63B0C1C2">
      <w:pPr>
        <w:shd w:val="clear" w:color="auto"/>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bidi="ar"/>
        </w:rPr>
        <w:t>投诉书（格式）</w:t>
      </w:r>
    </w:p>
    <w:p w14:paraId="40305178">
      <w:pPr>
        <w:pStyle w:val="19"/>
        <w:widowControl/>
        <w:shd w:val="clear" w:color="auto"/>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4909BE20">
      <w:pPr>
        <w:pStyle w:val="19"/>
        <w:widowControl/>
        <w:shd w:val="clear" w:color="auto"/>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C353352">
      <w:pPr>
        <w:pStyle w:val="19"/>
        <w:widowControl/>
        <w:shd w:val="clear" w:color="auto"/>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07D0B0">
      <w:pPr>
        <w:pStyle w:val="19"/>
        <w:widowControl/>
        <w:shd w:val="clear" w:color="auto"/>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8AAD7E">
      <w:pPr>
        <w:pStyle w:val="19"/>
        <w:widowControl/>
        <w:shd w:val="clear" w:color="auto"/>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A47F680">
      <w:pPr>
        <w:pStyle w:val="19"/>
        <w:widowControl/>
        <w:shd w:val="clear" w:color="auto"/>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2957449">
      <w:pPr>
        <w:pStyle w:val="19"/>
        <w:widowControl/>
        <w:shd w:val="clear" w:color="auto"/>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7CB8DFF4">
      <w:pPr>
        <w:pStyle w:val="19"/>
        <w:widowControl/>
        <w:shd w:val="clear" w:color="auto"/>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FA538FD">
      <w:pPr>
        <w:pStyle w:val="19"/>
        <w:widowControl/>
        <w:shd w:val="clear" w:color="auto"/>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24688664">
      <w:pPr>
        <w:pStyle w:val="19"/>
        <w:widowControl/>
        <w:shd w:val="clear" w:color="auto"/>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7D36A95">
      <w:pPr>
        <w:pStyle w:val="19"/>
        <w:widowControl/>
        <w:shd w:val="clear" w:color="auto"/>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323E625">
      <w:pPr>
        <w:pStyle w:val="19"/>
        <w:widowControl/>
        <w:shd w:val="clear" w:color="auto"/>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005A71D">
      <w:pPr>
        <w:pStyle w:val="19"/>
        <w:widowControl/>
        <w:shd w:val="clear" w:color="auto"/>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28277EEE">
      <w:pPr>
        <w:pStyle w:val="19"/>
        <w:widowControl/>
        <w:shd w:val="clear" w:color="auto"/>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w:t>
      </w:r>
    </w:p>
    <w:p w14:paraId="46C39417">
      <w:pPr>
        <w:pStyle w:val="19"/>
        <w:widowControl/>
        <w:shd w:val="clear" w:color="auto"/>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02C44B77">
      <w:pPr>
        <w:pStyle w:val="19"/>
        <w:widowControl/>
        <w:shd w:val="clear" w:color="auto"/>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1CE327E3">
      <w:pPr>
        <w:pStyle w:val="19"/>
        <w:widowControl/>
        <w:shd w:val="clear" w:color="auto"/>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90601B">
      <w:pPr>
        <w:pStyle w:val="19"/>
        <w:widowControl/>
        <w:shd w:val="clear" w:color="auto"/>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728BA27C">
      <w:pPr>
        <w:pStyle w:val="19"/>
        <w:widowControl/>
        <w:shd w:val="clear" w:color="auto"/>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u w:val="single"/>
          <w:lang w:eastAsia="zh-CN"/>
        </w:rPr>
        <w:t>广西物流职业技术学院灾后装饰装修修缮项目</w:t>
      </w:r>
      <w:r>
        <w:rPr>
          <w:rFonts w:hint="eastAsia" w:hAnsi="宋体" w:cs="宋体"/>
          <w:bCs/>
          <w:color w:val="auto"/>
          <w:sz w:val="24"/>
          <w:szCs w:val="24"/>
          <w:highlight w:val="none"/>
          <w:u w:val="single"/>
        </w:rPr>
        <w:t xml:space="preserve">    </w:t>
      </w:r>
    </w:p>
    <w:p w14:paraId="3DB9D266">
      <w:pPr>
        <w:pStyle w:val="19"/>
        <w:widowControl/>
        <w:shd w:val="clear" w:color="auto"/>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4E7F1712">
      <w:pPr>
        <w:pStyle w:val="19"/>
        <w:widowControl/>
        <w:shd w:val="clear" w:color="auto"/>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u w:val="single"/>
          <w:lang w:eastAsia="zh-CN"/>
        </w:rPr>
        <w:t>广西物流职业技术学院</w:t>
      </w:r>
      <w:r>
        <w:rPr>
          <w:rFonts w:hint="eastAsia" w:hAnsi="宋体" w:cs="宋体"/>
          <w:bCs/>
          <w:color w:val="auto"/>
          <w:sz w:val="24"/>
          <w:szCs w:val="24"/>
          <w:highlight w:val="none"/>
          <w:u w:val="single"/>
        </w:rPr>
        <w:t xml:space="preserve">                </w:t>
      </w:r>
    </w:p>
    <w:p w14:paraId="5B2053AE">
      <w:pPr>
        <w:pStyle w:val="19"/>
        <w:widowControl/>
        <w:shd w:val="clear" w:color="auto"/>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广西建设工程机电设备招标中心有限公司                </w:t>
      </w:r>
    </w:p>
    <w:p w14:paraId="0A4A1DFC">
      <w:pPr>
        <w:pStyle w:val="19"/>
        <w:widowControl/>
        <w:shd w:val="clear" w:color="auto"/>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bCs/>
          <w:color w:val="auto"/>
          <w:sz w:val="24"/>
          <w:szCs w:val="24"/>
          <w:highlight w:val="none"/>
        </w:rPr>
        <w:t>竞争性磋商公告：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234CFE94">
      <w:pPr>
        <w:pStyle w:val="19"/>
        <w:widowControl/>
        <w:shd w:val="clear" w:color="auto"/>
        <w:spacing w:line="360" w:lineRule="auto"/>
        <w:ind w:left="25" w:leftChars="12" w:firstLine="472" w:firstLineChars="197"/>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6804433A">
      <w:pPr>
        <w:pStyle w:val="19"/>
        <w:widowControl/>
        <w:shd w:val="clear" w:color="auto"/>
        <w:spacing w:line="360" w:lineRule="auto"/>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0C721A66">
      <w:pPr>
        <w:pStyle w:val="19"/>
        <w:widowControl/>
        <w:shd w:val="clear" w:color="auto"/>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63028013">
      <w:pPr>
        <w:pStyle w:val="19"/>
        <w:widowControl/>
        <w:shd w:val="clear" w:color="auto"/>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19531244">
      <w:pPr>
        <w:pStyle w:val="19"/>
        <w:widowControl/>
        <w:shd w:val="clear" w:color="auto"/>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00277A64">
      <w:pPr>
        <w:pStyle w:val="19"/>
        <w:widowControl/>
        <w:shd w:val="clear" w:color="auto"/>
        <w:spacing w:line="360" w:lineRule="auto"/>
        <w:ind w:firstLine="480" w:firstLineChars="20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5DB912D8">
      <w:pPr>
        <w:pStyle w:val="19"/>
        <w:widowControl/>
        <w:shd w:val="clear" w:color="auto"/>
        <w:spacing w:line="360" w:lineRule="auto"/>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77D4E171">
      <w:pPr>
        <w:pStyle w:val="19"/>
        <w:widowControl/>
        <w:shd w:val="clear" w:color="auto"/>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148D011A">
      <w:pPr>
        <w:pStyle w:val="19"/>
        <w:widowControl/>
        <w:shd w:val="clear" w:color="auto"/>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19C38779">
      <w:pPr>
        <w:pStyle w:val="19"/>
        <w:widowControl/>
        <w:shd w:val="clear" w:color="auto"/>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75E98165">
      <w:pPr>
        <w:pStyle w:val="19"/>
        <w:widowControl/>
        <w:shd w:val="clear" w:color="auto"/>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198665C4">
      <w:pPr>
        <w:pStyle w:val="19"/>
        <w:widowControl/>
        <w:shd w:val="clear" w:color="auto"/>
        <w:spacing w:line="360" w:lineRule="auto"/>
        <w:ind w:left="25" w:leftChars="12" w:firstLine="352" w:firstLineChars="147"/>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0FC3A98B">
      <w:pPr>
        <w:pStyle w:val="19"/>
        <w:widowControl/>
        <w:shd w:val="clear" w:color="auto"/>
        <w:spacing w:line="360" w:lineRule="auto"/>
        <w:ind w:left="25" w:leftChars="12" w:firstLine="472" w:firstLineChars="197"/>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72197B8D">
      <w:pPr>
        <w:pStyle w:val="19"/>
        <w:widowControl/>
        <w:shd w:val="clear" w:color="auto"/>
        <w:spacing w:line="360" w:lineRule="auto"/>
        <w:ind w:left="25" w:leftChars="12" w:firstLine="472" w:firstLineChars="197"/>
        <w:rPr>
          <w:rFonts w:hint="eastAsia" w:hAnsi="宋体" w:cs="宋体"/>
          <w:bCs/>
          <w:color w:val="auto"/>
          <w:sz w:val="24"/>
          <w:szCs w:val="24"/>
          <w:highlight w:val="none"/>
        </w:rPr>
      </w:pPr>
      <w:r>
        <w:rPr>
          <w:rFonts w:hint="eastAsia" w:hAnsi="宋体" w:cs="宋体"/>
          <w:bCs/>
          <w:color w:val="auto"/>
          <w:sz w:val="24"/>
          <w:szCs w:val="24"/>
          <w:highlight w:val="none"/>
        </w:rPr>
        <w:t>……</w:t>
      </w:r>
    </w:p>
    <w:p w14:paraId="79889B27">
      <w:pPr>
        <w:pStyle w:val="19"/>
        <w:widowControl/>
        <w:shd w:val="clear" w:color="auto"/>
        <w:spacing w:line="360" w:lineRule="auto"/>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639DAC0D">
      <w:pPr>
        <w:pStyle w:val="19"/>
        <w:widowControl/>
        <w:shd w:val="clear" w:color="auto"/>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4F3610ED">
      <w:pPr>
        <w:pStyle w:val="19"/>
        <w:widowControl/>
        <w:shd w:val="clear" w:color="auto"/>
        <w:spacing w:line="360" w:lineRule="auto"/>
        <w:ind w:left="25" w:leftChars="12" w:firstLine="352" w:firstLineChars="147"/>
        <w:rPr>
          <w:rFonts w:hint="eastAsia" w:hAnsi="宋体" w:cs="宋体"/>
          <w:color w:val="auto"/>
          <w:sz w:val="24"/>
          <w:szCs w:val="24"/>
          <w:highlight w:val="none"/>
        </w:rPr>
      </w:pPr>
    </w:p>
    <w:p w14:paraId="05E30105">
      <w:pPr>
        <w:pStyle w:val="19"/>
        <w:widowControl/>
        <w:shd w:val="clear" w:color="auto"/>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1615A2E6">
      <w:pPr>
        <w:pStyle w:val="19"/>
        <w:widowControl/>
        <w:shd w:val="clear" w:color="auto"/>
        <w:spacing w:line="360" w:lineRule="auto"/>
        <w:ind w:left="25" w:leftChars="12" w:firstLine="352" w:firstLineChars="147"/>
        <w:rPr>
          <w:rFonts w:hint="eastAsia" w:hAnsi="宋体" w:cs="宋体"/>
          <w:color w:val="auto"/>
          <w:sz w:val="24"/>
          <w:szCs w:val="24"/>
          <w:highlight w:val="none"/>
        </w:rPr>
      </w:pPr>
    </w:p>
    <w:p w14:paraId="4B6BD75D">
      <w:pPr>
        <w:pStyle w:val="19"/>
        <w:widowControl/>
        <w:shd w:val="clear" w:color="auto"/>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日期：</w:t>
      </w:r>
    </w:p>
    <w:p w14:paraId="54A005FD">
      <w:pPr>
        <w:pStyle w:val="19"/>
        <w:widowControl/>
        <w:shd w:val="clear" w:color="auto"/>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 xml:space="preserve">                                                                                 </w:t>
      </w:r>
    </w:p>
    <w:p w14:paraId="7FCBFE4C">
      <w:pPr>
        <w:pStyle w:val="19"/>
        <w:widowControl/>
        <w:shd w:val="clear" w:color="auto"/>
        <w:snapToGrid w:val="0"/>
        <w:spacing w:line="360" w:lineRule="auto"/>
        <w:rPr>
          <w:rFonts w:hint="eastAsia" w:hAnsi="宋体" w:cs="宋体"/>
          <w:b/>
          <w:color w:val="auto"/>
          <w:sz w:val="24"/>
          <w:szCs w:val="24"/>
          <w:highlight w:val="none"/>
        </w:rPr>
      </w:pPr>
    </w:p>
    <w:p w14:paraId="02B688A7">
      <w:pPr>
        <w:pStyle w:val="19"/>
        <w:widowControl/>
        <w:shd w:val="clear" w:color="auto"/>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4ACF54CD">
      <w:pPr>
        <w:pStyle w:val="19"/>
        <w:widowControl/>
        <w:shd w:val="clear" w:color="auto"/>
        <w:spacing w:line="360" w:lineRule="auto"/>
        <w:ind w:left="25" w:leftChars="12" w:firstLine="354" w:firstLineChars="147"/>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3ACB6BB9">
      <w:pPr>
        <w:pStyle w:val="19"/>
        <w:widowControl/>
        <w:shd w:val="clear" w:color="auto"/>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1348BE7">
      <w:pPr>
        <w:pStyle w:val="19"/>
        <w:widowControl/>
        <w:shd w:val="clear" w:color="auto"/>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17BD3F33">
      <w:pPr>
        <w:pStyle w:val="19"/>
        <w:widowControl/>
        <w:shd w:val="clear" w:color="auto"/>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69F1899D">
      <w:pPr>
        <w:pStyle w:val="19"/>
        <w:widowControl/>
        <w:shd w:val="clear" w:color="auto"/>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3F44FA88">
      <w:pPr>
        <w:widowControl/>
        <w:ind w:firstLine="241" w:firstLineChars="100"/>
        <w:jc w:val="left"/>
        <w:rPr>
          <w:rFonts w:hint="eastAsia"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3E238FD7">
      <w:pPr>
        <w:pStyle w:val="3"/>
        <w:jc w:val="center"/>
        <w:rPr>
          <w:rFonts w:hint="default" w:ascii="宋体" w:hAnsi="宋体" w:eastAsia="宋体"/>
          <w:b/>
          <w:color w:val="auto"/>
          <w:sz w:val="32"/>
          <w:szCs w:val="32"/>
          <w:highlight w:val="none"/>
          <w:lang w:val="en-US" w:eastAsia="zh-CN"/>
        </w:rPr>
      </w:pPr>
      <w:r>
        <w:rPr>
          <w:rFonts w:hint="eastAsia" w:hAnsi="宋体" w:cs="宋体"/>
          <w:b/>
          <w:color w:val="auto"/>
          <w:sz w:val="24"/>
          <w:szCs w:val="24"/>
          <w:highlight w:val="none"/>
        </w:rPr>
        <w:br w:type="page"/>
      </w:r>
      <w:bookmarkStart w:id="256" w:name="_Toc18754"/>
      <w:bookmarkStart w:id="257" w:name="_Toc30367"/>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八</w:t>
      </w:r>
      <w:r>
        <w:rPr>
          <w:rFonts w:hint="eastAsia" w:ascii="宋体" w:hAnsi="宋体" w:eastAsia="宋体" w:cs="宋体"/>
          <w:b/>
          <w:bCs/>
          <w:color w:val="auto"/>
          <w:highlight w:val="none"/>
        </w:rPr>
        <w:t xml:space="preserve">章 </w:t>
      </w:r>
      <w:r>
        <w:rPr>
          <w:rFonts w:hint="eastAsia" w:ascii="宋体" w:hAnsi="宋体" w:eastAsia="宋体" w:cs="宋体"/>
          <w:b/>
          <w:bCs/>
          <w:color w:val="auto"/>
          <w:highlight w:val="none"/>
          <w:lang w:val="en-US" w:eastAsia="zh-CN"/>
        </w:rPr>
        <w:t>工程量清单</w:t>
      </w:r>
      <w:bookmarkEnd w:id="256"/>
      <w:bookmarkEnd w:id="257"/>
    </w:p>
    <w:p w14:paraId="3148BB88">
      <w:pPr>
        <w:jc w:val="center"/>
        <w:rPr>
          <w:rFonts w:hint="eastAsia" w:eastAsia="宋体"/>
          <w:b/>
          <w:bCs/>
          <w:color w:val="auto"/>
          <w:sz w:val="32"/>
          <w:szCs w:val="32"/>
          <w:highlight w:val="none"/>
          <w:lang w:val="en-US" w:eastAsia="zh-CN"/>
        </w:rPr>
      </w:pPr>
      <w:r>
        <w:rPr>
          <w:rFonts w:hint="eastAsia"/>
          <w:b/>
          <w:bCs/>
          <w:color w:val="auto"/>
          <w:sz w:val="32"/>
          <w:szCs w:val="32"/>
          <w:highlight w:val="none"/>
          <w:lang w:val="en-US" w:eastAsia="zh-CN"/>
        </w:rPr>
        <w:t>另册</w:t>
      </w:r>
    </w:p>
    <w:p w14:paraId="40BE4305">
      <w:pPr>
        <w:widowControl/>
        <w:ind w:firstLine="210" w:firstLineChars="100"/>
        <w:jc w:val="left"/>
        <w:rPr>
          <w:rFonts w:hint="eastAsia" w:ascii="宋体" w:hAnsi="宋体" w:eastAsia="宋体" w:cs="宋体"/>
          <w:color w:val="auto"/>
          <w:kern w:val="0"/>
          <w:szCs w:val="21"/>
          <w:highlight w:val="none"/>
        </w:rPr>
      </w:pPr>
    </w:p>
    <w:bookmarkEnd w:id="258"/>
    <w:sectPr>
      <w:footerReference r:id="rId12" w:type="first"/>
      <w:headerReference r:id="rId10" w:type="default"/>
      <w:footerReference r:id="rId11" w:type="default"/>
      <w:pgSz w:w="11906" w:h="16838"/>
      <w:pgMar w:top="1134" w:right="1134" w:bottom="1134" w:left="113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FDE60E0-AA01-46B4-A9AF-DAE16B632933}"/>
  </w:font>
  <w:font w:name="黑体">
    <w:panose1 w:val="02010609060101010101"/>
    <w:charset w:val="86"/>
    <w:family w:val="auto"/>
    <w:pitch w:val="default"/>
    <w:sig w:usb0="800002BF" w:usb1="38CF7CFA" w:usb2="00000016" w:usb3="00000000" w:csb0="00040001" w:csb1="00000000"/>
    <w:embedRegular r:id="rId2" w:fontKey="{957E5021-152F-4E9F-A694-01ED976650ED}"/>
  </w:font>
  <w:font w:name="Courier New">
    <w:panose1 w:val="02070309020205020404"/>
    <w:charset w:val="01"/>
    <w:family w:val="modern"/>
    <w:pitch w:val="default"/>
    <w:sig w:usb0="E0002EFF" w:usb1="C0007843" w:usb2="00000009" w:usb3="00000000" w:csb0="400001FF" w:csb1="FFFF0000"/>
    <w:embedRegular r:id="rId3" w:fontKey="{9498324A-CABD-4DED-BDE2-4449254B62C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D6B048FA-E210-48A3-B9CE-D5BFEB6FC691}"/>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5" w:fontKey="{D90FB8C8-8235-44A5-8CB5-4124F988256D}"/>
  </w:font>
  <w:font w:name="仿宋">
    <w:panose1 w:val="02010609060101010101"/>
    <w:charset w:val="86"/>
    <w:family w:val="auto"/>
    <w:pitch w:val="default"/>
    <w:sig w:usb0="800002BF" w:usb1="38CF7CFA" w:usb2="00000016" w:usb3="00000000" w:csb0="00040001" w:csb1="00000000"/>
    <w:embedRegular r:id="rId6" w:fontKey="{AC051ACC-1A12-4B61-A266-DF586F034212}"/>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16" w:usb3="00000000" w:csb0="6006009F" w:csb1="DFD70000"/>
  </w:font>
  <w:font w:name="方正小标宋简体">
    <w:panose1 w:val="02000000000000000000"/>
    <w:charset w:val="86"/>
    <w:family w:val="script"/>
    <w:pitch w:val="default"/>
    <w:sig w:usb0="00000001" w:usb1="08000000" w:usb2="00000000" w:usb3="00000000" w:csb0="00040000" w:csb1="00000000"/>
    <w:embedRegular r:id="rId7" w:fontKey="{C138B728-B8E0-4CDF-A0C9-EDEFF44965DA}"/>
  </w:font>
  <w:font w:name="华文新魏">
    <w:altName w:val="华文新魏"/>
    <w:panose1 w:val="02010800040101010101"/>
    <w:charset w:val="86"/>
    <w:family w:val="auto"/>
    <w:pitch w:val="default"/>
    <w:sig w:usb0="00000001" w:usb1="080F0000" w:usb2="00000000" w:usb3="00000000" w:csb0="00040000" w:csb1="00000000"/>
    <w:embedRegular r:id="rId8" w:fontKey="{8F31167A-F68E-4261-9C87-FD713DBBC485}"/>
  </w:font>
  <w:font w:name="Cambria Math">
    <w:panose1 w:val="02040503050406030204"/>
    <w:charset w:val="00"/>
    <w:family w:val="roman"/>
    <w:pitch w:val="default"/>
    <w:sig w:usb0="E00006FF" w:usb1="420024FF" w:usb2="02000000" w:usb3="00000000" w:csb0="2000019F" w:csb1="00000000"/>
    <w:embedRegular r:id="rId9" w:fontKey="{BECF4249-660A-4B11-9272-19E7BEED1F78}"/>
  </w:font>
  <w:font w:name="Arial Unicode MS">
    <w:altName w:val="宋体"/>
    <w:panose1 w:val="020B0604020202020204"/>
    <w:charset w:val="86"/>
    <w:family w:val="roman"/>
    <w:pitch w:val="default"/>
    <w:sig w:usb0="00000000" w:usb1="00000000" w:usb2="0000003F" w:usb3="00000000" w:csb0="603F01FF" w:csb1="FFFF0000"/>
    <w:embedRegular r:id="rId10" w:fontKey="{756B33CC-9B40-4836-B429-0665DE74F6FD}"/>
  </w:font>
  <w:font w:name="Arial Black">
    <w:panose1 w:val="020B0A04020102020204"/>
    <w:charset w:val="00"/>
    <w:family w:val="auto"/>
    <w:pitch w:val="default"/>
    <w:sig w:usb0="A00002AF" w:usb1="400078FB" w:usb2="00000000" w:usb3="00000000" w:csb0="6000009F" w:csb1="DFD70000"/>
    <w:embedRegular r:id="rId11" w:fontKey="{888C4E7F-8AC3-46DD-AED8-13572D551B92}"/>
  </w:font>
  <w:font w:name="Wingdings 2">
    <w:altName w:val="Wingdings 2"/>
    <w:panose1 w:val="05020102010507070707"/>
    <w:charset w:val="02"/>
    <w:family w:val="roman"/>
    <w:pitch w:val="default"/>
    <w:sig w:usb0="00000000" w:usb1="00000000" w:usb2="00000000" w:usb3="00000000" w:csb0="80000000" w:csb1="00000000"/>
    <w:embedRegular r:id="rId12" w:fontKey="{F22AFB5B-1083-43B1-BB61-AF6B2E6D9940}"/>
  </w:font>
  <w:font w:name="新宋体">
    <w:panose1 w:val="02010609030101010101"/>
    <w:charset w:val="86"/>
    <w:family w:val="modern"/>
    <w:pitch w:val="default"/>
    <w:sig w:usb0="00000203" w:usb1="288F0000" w:usb2="00000006" w:usb3="00000000" w:csb0="00040001" w:csb1="00000000"/>
    <w:embedRegular r:id="rId13" w:fontKey="{1E3A03E7-2619-416B-A8F3-E37AA907D7D2}"/>
  </w:font>
  <w:font w:name="WPSEMBED4">
    <w:panose1 w:val="02000000000000000000"/>
    <w:charset w:val="86"/>
    <w:family w:val="auto"/>
    <w:pitch w:val="default"/>
    <w:sig w:usb0="00000001" w:usb1="08000000" w:usb2="00000000" w:usb3="00000000" w:csb0="00040000" w:csb1="00000000"/>
  </w:font>
  <w:font w:name="WPSEMBED5">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WPSEMBED6">
    <w:panose1 w:val="05020102010507070707"/>
    <w:charset w:val="00"/>
    <w:family w:val="auto"/>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64B55">
    <w:pPr>
      <w:pStyle w:val="22"/>
      <w:tabs>
        <w:tab w:val="center" w:pos="4439"/>
        <w:tab w:val="clear" w:pos="4153"/>
      </w:tabs>
      <w:jc w:val="both"/>
    </w:pPr>
  </w:p>
  <w:p w14:paraId="681D3D94">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46F47">
    <w:pPr>
      <w:pStyle w:val="22"/>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E1D0E7A"/>
                      </w:txbxContent>
                    </wps:txbx>
                    <wps:bodyPr vert="horz" wrap="none" lIns="0" tIns="0" rIns="0" bIns="0" anchor="t" anchorCtr="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6idU1+UBAADPAwAA&#10;DgAAAAAAAAABACAAAAAeAQAAZHJzL2Uyb0RvYy54bWxQSwUGAAAAAAYABgBZAQAAdQUAAAAA&#10;">
              <v:fill on="f" focussize="0,0"/>
              <v:stroke on="f"/>
              <v:imagedata o:title=""/>
              <o:lock v:ext="edit" aspectratio="f"/>
              <v:textbox inset="0mm,0mm,0mm,0mm" style="mso-fit-shape-to-text:t;">
                <w:txbxContent>
                  <w:p w14:paraId="0E1D0E7A"/>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0B7EF">
    <w:pPr>
      <w:pStyle w:val="22"/>
      <w:tabs>
        <w:tab w:val="center" w:pos="4439"/>
        <w:tab w:val="clear" w:pos="4153"/>
      </w:tabs>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048CF7">
                          <w:pPr>
                            <w:pStyle w:val="22"/>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TflW4QEAAMEDAAAOAAAA&#10;AAAAAAEAIAAAAB4BAABkcnMvZTJvRG9jLnhtbFBLBQYAAAAABgAGAFkBAABxBQAAAAA=&#10;">
              <v:fill on="f" focussize="0,0"/>
              <v:stroke on="f"/>
              <v:imagedata o:title=""/>
              <o:lock v:ext="edit" aspectratio="f"/>
              <v:textbox inset="0mm,0mm,0mm,0mm" style="mso-fit-shape-to-text:t;">
                <w:txbxContent>
                  <w:p w14:paraId="2B048CF7">
                    <w:pPr>
                      <w:pStyle w:val="22"/>
                    </w:pPr>
                    <w:r>
                      <w:fldChar w:fldCharType="begin"/>
                    </w:r>
                    <w:r>
                      <w:instrText xml:space="preserve"> PAGE  \* MERGEFORMAT </w:instrText>
                    </w:r>
                    <w:r>
                      <w:fldChar w:fldCharType="separate"/>
                    </w:r>
                    <w:r>
                      <w:t>2</w:t>
                    </w:r>
                    <w:r>
                      <w:fldChar w:fldCharType="end"/>
                    </w:r>
                  </w:p>
                </w:txbxContent>
              </v:textbox>
            </v:shape>
          </w:pict>
        </mc:Fallback>
      </mc:AlternateContent>
    </w:r>
  </w:p>
  <w:p w14:paraId="1B6EF18C">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CA0E">
    <w:pPr>
      <w:spacing w:line="192" w:lineRule="auto"/>
      <w:ind w:left="4246"/>
      <w:rPr>
        <w:rFonts w:ascii="宋体" w:hAnsi="宋体" w:cs="宋体"/>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84DD59">
                          <w:pPr>
                            <w:pStyle w:val="22"/>
                          </w:pPr>
                          <w:r>
                            <w:fldChar w:fldCharType="begin"/>
                          </w:r>
                          <w:r>
                            <w:instrText xml:space="preserve"> PAGE  \* MERGEFORMAT </w:instrText>
                          </w:r>
                          <w:r>
                            <w:fldChar w:fldCharType="separate"/>
                          </w:r>
                          <w:r>
                            <w:t>72</w:t>
                          </w:r>
                          <w:r>
                            <w:fldChar w:fldCharType="end"/>
                          </w:r>
                        </w:p>
                      </w:txbxContent>
                    </wps:txbx>
                    <wps:bodyPr wrap="none" lIns="0" tIns="0" rIns="0" bIns="0" upright="0">
                      <a:spAutoFit/>
                    </wps:bodyPr>
                  </wps:wsp>
                </a:graphicData>
              </a:graphic>
            </wp:anchor>
          </w:drawing>
        </mc:Choice>
        <mc:Fallback>
          <w:pict>
            <v:shape id="文本框 51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5zKxfLAQAAnAMAAA4AAAAAAAAAAQAgAAAAHgEAAGRycy9lMm9E&#10;b2MueG1sUEsFBgAAAAAGAAYAWQEAAFsFAAAAAA==&#10;">
              <v:fill on="f" focussize="0,0"/>
              <v:stroke on="f"/>
              <v:imagedata o:title=""/>
              <o:lock v:ext="edit" aspectratio="f"/>
              <v:textbox inset="0mm,0mm,0mm,0mm" style="mso-fit-shape-to-text:t;">
                <w:txbxContent>
                  <w:p w14:paraId="2D84DD59">
                    <w:pPr>
                      <w:pStyle w:val="22"/>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EDD0F">
    <w:pPr>
      <w:pStyle w:val="2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515C24">
                          <w:pPr>
                            <w:pStyle w:val="22"/>
                          </w:pPr>
                          <w:r>
                            <w:fldChar w:fldCharType="begin"/>
                          </w:r>
                          <w:r>
                            <w:instrText xml:space="preserve"> PAGE  \* MERGEFORMAT </w:instrText>
                          </w:r>
                          <w:r>
                            <w:fldChar w:fldCharType="separate"/>
                          </w:r>
                          <w:r>
                            <w:t>113</w:t>
                          </w:r>
                          <w:r>
                            <w:fldChar w:fldCharType="end"/>
                          </w:r>
                        </w:p>
                      </w:txbxContent>
                    </wps:txbx>
                    <wps:bodyPr vert="horz" wrap="none" lIns="0" tIns="0" rIns="0" bIns="0" anchor="t" anchorCtr="0" upright="0">
                      <a:spAutoFit/>
                    </wps:bodyPr>
                  </wps:wsp>
                </a:graphicData>
              </a:graphic>
            </wp:anchor>
          </w:drawing>
        </mc:Choice>
        <mc:Fallback>
          <w:pict>
            <v:shape id="文本框 51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AwWum4QEAAMEDAAAOAAAA&#10;AAAAAAEAIAAAAB4BAABkcnMvZTJvRG9jLnhtbFBLBQYAAAAABgAGAFkBAABxBQAAAAA=&#10;">
              <v:fill on="f" focussize="0,0"/>
              <v:stroke on="f"/>
              <v:imagedata o:title=""/>
              <o:lock v:ext="edit" aspectratio="f"/>
              <v:textbox inset="0mm,0mm,0mm,0mm" style="mso-fit-shape-to-text:t;">
                <w:txbxContent>
                  <w:p w14:paraId="7C515C24">
                    <w:pPr>
                      <w:pStyle w:val="22"/>
                    </w:pPr>
                    <w:r>
                      <w:fldChar w:fldCharType="begin"/>
                    </w:r>
                    <w:r>
                      <w:instrText xml:space="preserve"> PAGE  \* MERGEFORMAT </w:instrText>
                    </w:r>
                    <w:r>
                      <w:fldChar w:fldCharType="separate"/>
                    </w:r>
                    <w:r>
                      <w:t>113</w:t>
                    </w:r>
                    <w:r>
                      <w:fldChar w:fldCharType="end"/>
                    </w:r>
                  </w:p>
                </w:txbxContent>
              </v:textbox>
            </v:shape>
          </w:pict>
        </mc:Fallback>
      </mc:AlternateContent>
    </w:r>
  </w:p>
  <w:p w14:paraId="1CD20B06">
    <w:pPr>
      <w:pStyle w:val="2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CBA03">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FCCA875">
                          <w:pPr>
                            <w:pStyle w:val="22"/>
                            <w:rPr>
                              <w:rFonts w:hint="eastAsia"/>
                            </w:rPr>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Q/R5c+UBAADPAwAA&#10;DgAAAAAAAAABACAAAAAeAQAAZHJzL2Uyb0RvYy54bWxQSwUGAAAAAAYABgBZAQAAdQUAAAAA&#10;">
              <v:fill on="f" focussize="0,0"/>
              <v:stroke on="f"/>
              <v:imagedata o:title=""/>
              <o:lock v:ext="edit" aspectratio="f"/>
              <v:textbox inset="0mm,0mm,0mm,0mm" style="mso-fit-shape-to-text:t;">
                <w:txbxContent>
                  <w:p w14:paraId="1FCCA875">
                    <w:pPr>
                      <w:pStyle w:val="22"/>
                      <w:rPr>
                        <w:rFonts w:hint="eastAsia"/>
                      </w:rPr>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33101">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E768A">
    <w:pPr>
      <w:pStyle w:val="2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C2862">
    <w:pPr>
      <w:pStyle w:val="23"/>
      <w:pBdr>
        <w:bottom w:val="none" w:color="auto" w:sz="0" w:space="1"/>
      </w:pBdr>
      <w:rPr>
        <w:rFonts w:hint="eastAsia" w:ascii="仿宋" w:hAnsi="仿宋" w:eastAsia="仿宋" w:cs="仿宋"/>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B9034">
    <w:pPr>
      <w:pStyle w:val="15"/>
      <w:spacing w:before="48" w:line="218" w:lineRule="auto"/>
      <w:ind w:left="2885"/>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chineseCountingThousand"/>
      <w:pStyle w:val="5"/>
      <w:lvlText w:val="第%1条"/>
      <w:lvlJc w:val="left"/>
      <w:pPr>
        <w:tabs>
          <w:tab w:val="left" w:pos="1134"/>
        </w:tabs>
        <w:ind w:left="1134" w:hanging="1134"/>
      </w:pPr>
      <w:rPr>
        <w:rFonts w:hint="eastAsia"/>
        <w:b/>
        <w:i w:val="0"/>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4,5,6,7"/>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MGM5NzNkMGFmZjdmNjdmOTliN2YyNmZmOTBjMmUifQ=="/>
  </w:docVars>
  <w:rsids>
    <w:rsidRoot w:val="00F34B14"/>
    <w:rsid w:val="000002E0"/>
    <w:rsid w:val="00000672"/>
    <w:rsid w:val="00000F29"/>
    <w:rsid w:val="00001013"/>
    <w:rsid w:val="00001799"/>
    <w:rsid w:val="00001AF2"/>
    <w:rsid w:val="00001ECA"/>
    <w:rsid w:val="00002D29"/>
    <w:rsid w:val="00003B93"/>
    <w:rsid w:val="0000474D"/>
    <w:rsid w:val="00005FDF"/>
    <w:rsid w:val="0000644A"/>
    <w:rsid w:val="000070B3"/>
    <w:rsid w:val="000076B8"/>
    <w:rsid w:val="000109DC"/>
    <w:rsid w:val="00010D39"/>
    <w:rsid w:val="0001172C"/>
    <w:rsid w:val="00011BC9"/>
    <w:rsid w:val="00012687"/>
    <w:rsid w:val="00012854"/>
    <w:rsid w:val="00012EA6"/>
    <w:rsid w:val="00013359"/>
    <w:rsid w:val="000139CF"/>
    <w:rsid w:val="00013AA4"/>
    <w:rsid w:val="00013DFE"/>
    <w:rsid w:val="000141EA"/>
    <w:rsid w:val="00016ABC"/>
    <w:rsid w:val="000177DB"/>
    <w:rsid w:val="000179C9"/>
    <w:rsid w:val="00017CCC"/>
    <w:rsid w:val="00020227"/>
    <w:rsid w:val="00020263"/>
    <w:rsid w:val="00020455"/>
    <w:rsid w:val="00020813"/>
    <w:rsid w:val="000215D0"/>
    <w:rsid w:val="000220B2"/>
    <w:rsid w:val="0002264C"/>
    <w:rsid w:val="00022731"/>
    <w:rsid w:val="00022792"/>
    <w:rsid w:val="00024463"/>
    <w:rsid w:val="00025461"/>
    <w:rsid w:val="00025636"/>
    <w:rsid w:val="00025E36"/>
    <w:rsid w:val="00026855"/>
    <w:rsid w:val="00026886"/>
    <w:rsid w:val="0002785D"/>
    <w:rsid w:val="000307BE"/>
    <w:rsid w:val="00030DDC"/>
    <w:rsid w:val="000329E0"/>
    <w:rsid w:val="0003328A"/>
    <w:rsid w:val="000346A4"/>
    <w:rsid w:val="000352E9"/>
    <w:rsid w:val="00035494"/>
    <w:rsid w:val="00036125"/>
    <w:rsid w:val="00036A07"/>
    <w:rsid w:val="0003780B"/>
    <w:rsid w:val="00040571"/>
    <w:rsid w:val="00040973"/>
    <w:rsid w:val="0004156E"/>
    <w:rsid w:val="00041713"/>
    <w:rsid w:val="0004440C"/>
    <w:rsid w:val="00046B5E"/>
    <w:rsid w:val="000470CB"/>
    <w:rsid w:val="000509D9"/>
    <w:rsid w:val="000512AF"/>
    <w:rsid w:val="00051ACB"/>
    <w:rsid w:val="000533E7"/>
    <w:rsid w:val="00055D41"/>
    <w:rsid w:val="00056EF6"/>
    <w:rsid w:val="00057CD6"/>
    <w:rsid w:val="00060DCE"/>
    <w:rsid w:val="000610E3"/>
    <w:rsid w:val="000614F3"/>
    <w:rsid w:val="000623B4"/>
    <w:rsid w:val="00062405"/>
    <w:rsid w:val="000634A7"/>
    <w:rsid w:val="00063B0B"/>
    <w:rsid w:val="00063F81"/>
    <w:rsid w:val="00064847"/>
    <w:rsid w:val="00065E08"/>
    <w:rsid w:val="000673E2"/>
    <w:rsid w:val="0006757D"/>
    <w:rsid w:val="00067EF1"/>
    <w:rsid w:val="0007063F"/>
    <w:rsid w:val="000707FD"/>
    <w:rsid w:val="00070949"/>
    <w:rsid w:val="000711E4"/>
    <w:rsid w:val="00071E9B"/>
    <w:rsid w:val="000720A1"/>
    <w:rsid w:val="000724D9"/>
    <w:rsid w:val="00072AED"/>
    <w:rsid w:val="00073F47"/>
    <w:rsid w:val="0007492F"/>
    <w:rsid w:val="00074ED8"/>
    <w:rsid w:val="00075B7E"/>
    <w:rsid w:val="00077ACA"/>
    <w:rsid w:val="00077C70"/>
    <w:rsid w:val="000813B5"/>
    <w:rsid w:val="0008191E"/>
    <w:rsid w:val="00081BA3"/>
    <w:rsid w:val="00081D2E"/>
    <w:rsid w:val="00081F89"/>
    <w:rsid w:val="00082619"/>
    <w:rsid w:val="00082D02"/>
    <w:rsid w:val="0008381A"/>
    <w:rsid w:val="00083871"/>
    <w:rsid w:val="00083B91"/>
    <w:rsid w:val="0008473C"/>
    <w:rsid w:val="0008520B"/>
    <w:rsid w:val="000857DE"/>
    <w:rsid w:val="00085898"/>
    <w:rsid w:val="000860BD"/>
    <w:rsid w:val="000871B8"/>
    <w:rsid w:val="00087B0A"/>
    <w:rsid w:val="0009039A"/>
    <w:rsid w:val="000916DA"/>
    <w:rsid w:val="000917CB"/>
    <w:rsid w:val="00091AAB"/>
    <w:rsid w:val="00092442"/>
    <w:rsid w:val="000929EF"/>
    <w:rsid w:val="00092C26"/>
    <w:rsid w:val="000933BE"/>
    <w:rsid w:val="00094428"/>
    <w:rsid w:val="0009560F"/>
    <w:rsid w:val="0009588E"/>
    <w:rsid w:val="000959EE"/>
    <w:rsid w:val="00096DB9"/>
    <w:rsid w:val="00097183"/>
    <w:rsid w:val="000972CB"/>
    <w:rsid w:val="00097608"/>
    <w:rsid w:val="000A0F35"/>
    <w:rsid w:val="000A1175"/>
    <w:rsid w:val="000A13F3"/>
    <w:rsid w:val="000A1C18"/>
    <w:rsid w:val="000A23B1"/>
    <w:rsid w:val="000A2B0E"/>
    <w:rsid w:val="000A327B"/>
    <w:rsid w:val="000A398F"/>
    <w:rsid w:val="000A448C"/>
    <w:rsid w:val="000A4D95"/>
    <w:rsid w:val="000A509C"/>
    <w:rsid w:val="000A54A7"/>
    <w:rsid w:val="000A5A17"/>
    <w:rsid w:val="000A6007"/>
    <w:rsid w:val="000A65A6"/>
    <w:rsid w:val="000A70E3"/>
    <w:rsid w:val="000A7275"/>
    <w:rsid w:val="000A7A12"/>
    <w:rsid w:val="000A7A72"/>
    <w:rsid w:val="000B1202"/>
    <w:rsid w:val="000B1801"/>
    <w:rsid w:val="000B1D0C"/>
    <w:rsid w:val="000B2273"/>
    <w:rsid w:val="000B2BC6"/>
    <w:rsid w:val="000B2D03"/>
    <w:rsid w:val="000B37F2"/>
    <w:rsid w:val="000B3815"/>
    <w:rsid w:val="000B3C7B"/>
    <w:rsid w:val="000B3E68"/>
    <w:rsid w:val="000B4321"/>
    <w:rsid w:val="000B6A6B"/>
    <w:rsid w:val="000B6C95"/>
    <w:rsid w:val="000B79FC"/>
    <w:rsid w:val="000C1679"/>
    <w:rsid w:val="000C1EE3"/>
    <w:rsid w:val="000C3AE7"/>
    <w:rsid w:val="000C3CC9"/>
    <w:rsid w:val="000C59C6"/>
    <w:rsid w:val="000C6DE4"/>
    <w:rsid w:val="000C7202"/>
    <w:rsid w:val="000D0A89"/>
    <w:rsid w:val="000D1389"/>
    <w:rsid w:val="000D1798"/>
    <w:rsid w:val="000D2626"/>
    <w:rsid w:val="000D4016"/>
    <w:rsid w:val="000D411D"/>
    <w:rsid w:val="000D4589"/>
    <w:rsid w:val="000D4809"/>
    <w:rsid w:val="000D73DD"/>
    <w:rsid w:val="000E1C51"/>
    <w:rsid w:val="000E28AB"/>
    <w:rsid w:val="000E2E3E"/>
    <w:rsid w:val="000E3583"/>
    <w:rsid w:val="000E3AF0"/>
    <w:rsid w:val="000E4E04"/>
    <w:rsid w:val="000E693B"/>
    <w:rsid w:val="000E6A93"/>
    <w:rsid w:val="000E6D5C"/>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1D1B"/>
    <w:rsid w:val="00102676"/>
    <w:rsid w:val="00103646"/>
    <w:rsid w:val="00103918"/>
    <w:rsid w:val="00104897"/>
    <w:rsid w:val="00104EDE"/>
    <w:rsid w:val="00104F54"/>
    <w:rsid w:val="00105CDA"/>
    <w:rsid w:val="00106BEE"/>
    <w:rsid w:val="0010711C"/>
    <w:rsid w:val="00107368"/>
    <w:rsid w:val="00107BDF"/>
    <w:rsid w:val="00107C74"/>
    <w:rsid w:val="0011091C"/>
    <w:rsid w:val="00111266"/>
    <w:rsid w:val="001112EB"/>
    <w:rsid w:val="0011247D"/>
    <w:rsid w:val="00113678"/>
    <w:rsid w:val="00113A7D"/>
    <w:rsid w:val="00113C3E"/>
    <w:rsid w:val="00115E11"/>
    <w:rsid w:val="00115EEE"/>
    <w:rsid w:val="00115F56"/>
    <w:rsid w:val="00116999"/>
    <w:rsid w:val="00116CA9"/>
    <w:rsid w:val="00116F38"/>
    <w:rsid w:val="001170A4"/>
    <w:rsid w:val="00117AE7"/>
    <w:rsid w:val="00117B85"/>
    <w:rsid w:val="00117CBD"/>
    <w:rsid w:val="0012006A"/>
    <w:rsid w:val="00121979"/>
    <w:rsid w:val="00122064"/>
    <w:rsid w:val="001222EC"/>
    <w:rsid w:val="00124341"/>
    <w:rsid w:val="00124492"/>
    <w:rsid w:val="00124B12"/>
    <w:rsid w:val="001250A0"/>
    <w:rsid w:val="001263B8"/>
    <w:rsid w:val="00130217"/>
    <w:rsid w:val="00130783"/>
    <w:rsid w:val="00130A47"/>
    <w:rsid w:val="00130FB0"/>
    <w:rsid w:val="00132B47"/>
    <w:rsid w:val="00132EAD"/>
    <w:rsid w:val="001337F8"/>
    <w:rsid w:val="001348B4"/>
    <w:rsid w:val="0013506E"/>
    <w:rsid w:val="001351CB"/>
    <w:rsid w:val="00135530"/>
    <w:rsid w:val="00135947"/>
    <w:rsid w:val="001359A2"/>
    <w:rsid w:val="00135F92"/>
    <w:rsid w:val="00136020"/>
    <w:rsid w:val="00136445"/>
    <w:rsid w:val="00136A9C"/>
    <w:rsid w:val="00137389"/>
    <w:rsid w:val="00140132"/>
    <w:rsid w:val="00141C9C"/>
    <w:rsid w:val="0014277F"/>
    <w:rsid w:val="001434BE"/>
    <w:rsid w:val="00143AAD"/>
    <w:rsid w:val="00144050"/>
    <w:rsid w:val="00144369"/>
    <w:rsid w:val="0014479F"/>
    <w:rsid w:val="001452B4"/>
    <w:rsid w:val="00145320"/>
    <w:rsid w:val="001476D3"/>
    <w:rsid w:val="001509CF"/>
    <w:rsid w:val="00150D1D"/>
    <w:rsid w:val="001525AA"/>
    <w:rsid w:val="00152A87"/>
    <w:rsid w:val="00152AC1"/>
    <w:rsid w:val="00153BB5"/>
    <w:rsid w:val="00154518"/>
    <w:rsid w:val="00156359"/>
    <w:rsid w:val="00156DD6"/>
    <w:rsid w:val="0016086E"/>
    <w:rsid w:val="001609B9"/>
    <w:rsid w:val="00160D0C"/>
    <w:rsid w:val="00160DD1"/>
    <w:rsid w:val="00161172"/>
    <w:rsid w:val="00161998"/>
    <w:rsid w:val="00161E65"/>
    <w:rsid w:val="00162597"/>
    <w:rsid w:val="001629AF"/>
    <w:rsid w:val="001629FD"/>
    <w:rsid w:val="00163D82"/>
    <w:rsid w:val="0016428A"/>
    <w:rsid w:val="001647C9"/>
    <w:rsid w:val="00165627"/>
    <w:rsid w:val="00165BED"/>
    <w:rsid w:val="001661A3"/>
    <w:rsid w:val="00167226"/>
    <w:rsid w:val="0016782B"/>
    <w:rsid w:val="0016784D"/>
    <w:rsid w:val="00167853"/>
    <w:rsid w:val="00167887"/>
    <w:rsid w:val="001705D6"/>
    <w:rsid w:val="00172CA8"/>
    <w:rsid w:val="00173256"/>
    <w:rsid w:val="00173B0E"/>
    <w:rsid w:val="00173E03"/>
    <w:rsid w:val="0017512C"/>
    <w:rsid w:val="001756AF"/>
    <w:rsid w:val="0017586A"/>
    <w:rsid w:val="00175BA6"/>
    <w:rsid w:val="00175D6F"/>
    <w:rsid w:val="00176CA7"/>
    <w:rsid w:val="00176D0C"/>
    <w:rsid w:val="00176F8E"/>
    <w:rsid w:val="001778C5"/>
    <w:rsid w:val="00177E56"/>
    <w:rsid w:val="00177F0A"/>
    <w:rsid w:val="00180DA0"/>
    <w:rsid w:val="00181EAD"/>
    <w:rsid w:val="00182862"/>
    <w:rsid w:val="0018470B"/>
    <w:rsid w:val="00184F57"/>
    <w:rsid w:val="00185091"/>
    <w:rsid w:val="00185544"/>
    <w:rsid w:val="00185617"/>
    <w:rsid w:val="00186FE1"/>
    <w:rsid w:val="00187A14"/>
    <w:rsid w:val="0019171E"/>
    <w:rsid w:val="00192368"/>
    <w:rsid w:val="001923A0"/>
    <w:rsid w:val="001928B1"/>
    <w:rsid w:val="00193537"/>
    <w:rsid w:val="00193846"/>
    <w:rsid w:val="00195424"/>
    <w:rsid w:val="001955FF"/>
    <w:rsid w:val="00197EDD"/>
    <w:rsid w:val="001A02B3"/>
    <w:rsid w:val="001A04BB"/>
    <w:rsid w:val="001A08D0"/>
    <w:rsid w:val="001A1B39"/>
    <w:rsid w:val="001A2120"/>
    <w:rsid w:val="001A28C6"/>
    <w:rsid w:val="001A2E69"/>
    <w:rsid w:val="001A3C34"/>
    <w:rsid w:val="001A3EDE"/>
    <w:rsid w:val="001A4222"/>
    <w:rsid w:val="001A50EA"/>
    <w:rsid w:val="001A5E24"/>
    <w:rsid w:val="001A647B"/>
    <w:rsid w:val="001A661D"/>
    <w:rsid w:val="001A6795"/>
    <w:rsid w:val="001A6B27"/>
    <w:rsid w:val="001A6D8B"/>
    <w:rsid w:val="001A6DAA"/>
    <w:rsid w:val="001A7717"/>
    <w:rsid w:val="001A793A"/>
    <w:rsid w:val="001B125A"/>
    <w:rsid w:val="001B1EBA"/>
    <w:rsid w:val="001B2142"/>
    <w:rsid w:val="001B2F2B"/>
    <w:rsid w:val="001B327A"/>
    <w:rsid w:val="001B35DE"/>
    <w:rsid w:val="001B3A13"/>
    <w:rsid w:val="001B3F5C"/>
    <w:rsid w:val="001B57C9"/>
    <w:rsid w:val="001B59FF"/>
    <w:rsid w:val="001B6512"/>
    <w:rsid w:val="001B65D7"/>
    <w:rsid w:val="001B6752"/>
    <w:rsid w:val="001B6768"/>
    <w:rsid w:val="001B6F1F"/>
    <w:rsid w:val="001B7ECC"/>
    <w:rsid w:val="001C025B"/>
    <w:rsid w:val="001C115F"/>
    <w:rsid w:val="001C1DED"/>
    <w:rsid w:val="001C1EAB"/>
    <w:rsid w:val="001C25A7"/>
    <w:rsid w:val="001C2775"/>
    <w:rsid w:val="001C318C"/>
    <w:rsid w:val="001C35C4"/>
    <w:rsid w:val="001C4287"/>
    <w:rsid w:val="001C4479"/>
    <w:rsid w:val="001C5190"/>
    <w:rsid w:val="001C6081"/>
    <w:rsid w:val="001C73EB"/>
    <w:rsid w:val="001C7B48"/>
    <w:rsid w:val="001D0CFB"/>
    <w:rsid w:val="001D1A0D"/>
    <w:rsid w:val="001D343C"/>
    <w:rsid w:val="001D4405"/>
    <w:rsid w:val="001D56E2"/>
    <w:rsid w:val="001D58A1"/>
    <w:rsid w:val="001D58C2"/>
    <w:rsid w:val="001D5A8A"/>
    <w:rsid w:val="001D61CA"/>
    <w:rsid w:val="001D6E87"/>
    <w:rsid w:val="001D735E"/>
    <w:rsid w:val="001D73C8"/>
    <w:rsid w:val="001D7BC6"/>
    <w:rsid w:val="001E129E"/>
    <w:rsid w:val="001E175C"/>
    <w:rsid w:val="001E1B0E"/>
    <w:rsid w:val="001E3B63"/>
    <w:rsid w:val="001E5A94"/>
    <w:rsid w:val="001E612B"/>
    <w:rsid w:val="001F13FD"/>
    <w:rsid w:val="001F2296"/>
    <w:rsid w:val="001F2A2E"/>
    <w:rsid w:val="001F3356"/>
    <w:rsid w:val="001F3C63"/>
    <w:rsid w:val="001F4460"/>
    <w:rsid w:val="001F6C96"/>
    <w:rsid w:val="001F711A"/>
    <w:rsid w:val="001F75B0"/>
    <w:rsid w:val="0020057C"/>
    <w:rsid w:val="0020083C"/>
    <w:rsid w:val="00200CE5"/>
    <w:rsid w:val="00200F7C"/>
    <w:rsid w:val="002014DB"/>
    <w:rsid w:val="0020150B"/>
    <w:rsid w:val="00201E12"/>
    <w:rsid w:val="00202295"/>
    <w:rsid w:val="002033B5"/>
    <w:rsid w:val="0020382C"/>
    <w:rsid w:val="0020437A"/>
    <w:rsid w:val="0020454C"/>
    <w:rsid w:val="00204740"/>
    <w:rsid w:val="00205129"/>
    <w:rsid w:val="0020521F"/>
    <w:rsid w:val="0020532C"/>
    <w:rsid w:val="002058A6"/>
    <w:rsid w:val="00206AE1"/>
    <w:rsid w:val="002114C7"/>
    <w:rsid w:val="00212F3D"/>
    <w:rsid w:val="0021302C"/>
    <w:rsid w:val="00213B1C"/>
    <w:rsid w:val="00213F1E"/>
    <w:rsid w:val="00214202"/>
    <w:rsid w:val="002148E3"/>
    <w:rsid w:val="0021552D"/>
    <w:rsid w:val="002156AE"/>
    <w:rsid w:val="00215E99"/>
    <w:rsid w:val="0022054D"/>
    <w:rsid w:val="0022107B"/>
    <w:rsid w:val="00223DDB"/>
    <w:rsid w:val="00223FA4"/>
    <w:rsid w:val="00223FB0"/>
    <w:rsid w:val="0022405A"/>
    <w:rsid w:val="00224067"/>
    <w:rsid w:val="0022421C"/>
    <w:rsid w:val="00224C4A"/>
    <w:rsid w:val="00224E83"/>
    <w:rsid w:val="00225664"/>
    <w:rsid w:val="0022663D"/>
    <w:rsid w:val="00227C56"/>
    <w:rsid w:val="00227F2D"/>
    <w:rsid w:val="00231851"/>
    <w:rsid w:val="002319FB"/>
    <w:rsid w:val="00231B89"/>
    <w:rsid w:val="00231F11"/>
    <w:rsid w:val="00231F5E"/>
    <w:rsid w:val="002346B4"/>
    <w:rsid w:val="00234F6E"/>
    <w:rsid w:val="002355BE"/>
    <w:rsid w:val="002358EA"/>
    <w:rsid w:val="00236578"/>
    <w:rsid w:val="00236DE9"/>
    <w:rsid w:val="00237342"/>
    <w:rsid w:val="00237D5A"/>
    <w:rsid w:val="00240D75"/>
    <w:rsid w:val="00241190"/>
    <w:rsid w:val="002415AE"/>
    <w:rsid w:val="00241D3C"/>
    <w:rsid w:val="00242109"/>
    <w:rsid w:val="00243189"/>
    <w:rsid w:val="002439AB"/>
    <w:rsid w:val="00243C19"/>
    <w:rsid w:val="00244AE8"/>
    <w:rsid w:val="00244DC9"/>
    <w:rsid w:val="00245587"/>
    <w:rsid w:val="00245F2B"/>
    <w:rsid w:val="002466CD"/>
    <w:rsid w:val="00247522"/>
    <w:rsid w:val="00247F3A"/>
    <w:rsid w:val="00250122"/>
    <w:rsid w:val="0025024D"/>
    <w:rsid w:val="00250755"/>
    <w:rsid w:val="002508B7"/>
    <w:rsid w:val="00251043"/>
    <w:rsid w:val="00251C4A"/>
    <w:rsid w:val="0025271C"/>
    <w:rsid w:val="0025277A"/>
    <w:rsid w:val="002533CD"/>
    <w:rsid w:val="002535EA"/>
    <w:rsid w:val="00254EAB"/>
    <w:rsid w:val="002557AF"/>
    <w:rsid w:val="0025589C"/>
    <w:rsid w:val="00255B62"/>
    <w:rsid w:val="002566B1"/>
    <w:rsid w:val="002575E3"/>
    <w:rsid w:val="00257A74"/>
    <w:rsid w:val="00257C5D"/>
    <w:rsid w:val="002603C1"/>
    <w:rsid w:val="002609A1"/>
    <w:rsid w:val="002612B1"/>
    <w:rsid w:val="00265A12"/>
    <w:rsid w:val="00266165"/>
    <w:rsid w:val="00266F2C"/>
    <w:rsid w:val="0027125E"/>
    <w:rsid w:val="00271767"/>
    <w:rsid w:val="00272293"/>
    <w:rsid w:val="002723C8"/>
    <w:rsid w:val="00273633"/>
    <w:rsid w:val="00273C2A"/>
    <w:rsid w:val="00273CBE"/>
    <w:rsid w:val="002746B1"/>
    <w:rsid w:val="00274BAD"/>
    <w:rsid w:val="002807B0"/>
    <w:rsid w:val="00282D56"/>
    <w:rsid w:val="002835B0"/>
    <w:rsid w:val="00283C74"/>
    <w:rsid w:val="0028407E"/>
    <w:rsid w:val="0028410F"/>
    <w:rsid w:val="00284572"/>
    <w:rsid w:val="002850AA"/>
    <w:rsid w:val="00285221"/>
    <w:rsid w:val="00286FB5"/>
    <w:rsid w:val="00287763"/>
    <w:rsid w:val="00290606"/>
    <w:rsid w:val="002909B2"/>
    <w:rsid w:val="00291D6D"/>
    <w:rsid w:val="00291FF1"/>
    <w:rsid w:val="00292AA2"/>
    <w:rsid w:val="00293361"/>
    <w:rsid w:val="00294F10"/>
    <w:rsid w:val="002952B1"/>
    <w:rsid w:val="00295D11"/>
    <w:rsid w:val="00296FB6"/>
    <w:rsid w:val="002A0001"/>
    <w:rsid w:val="002A0BD9"/>
    <w:rsid w:val="002A0C3A"/>
    <w:rsid w:val="002A0DF8"/>
    <w:rsid w:val="002A0F1C"/>
    <w:rsid w:val="002A1130"/>
    <w:rsid w:val="002A1880"/>
    <w:rsid w:val="002A23B7"/>
    <w:rsid w:val="002A3A57"/>
    <w:rsid w:val="002A4B4F"/>
    <w:rsid w:val="002A57A8"/>
    <w:rsid w:val="002A6DEF"/>
    <w:rsid w:val="002A6E7E"/>
    <w:rsid w:val="002A770B"/>
    <w:rsid w:val="002B013E"/>
    <w:rsid w:val="002B0438"/>
    <w:rsid w:val="002B058D"/>
    <w:rsid w:val="002B0C16"/>
    <w:rsid w:val="002B2456"/>
    <w:rsid w:val="002B2AC5"/>
    <w:rsid w:val="002B3528"/>
    <w:rsid w:val="002B3539"/>
    <w:rsid w:val="002B4395"/>
    <w:rsid w:val="002B4532"/>
    <w:rsid w:val="002B4DD9"/>
    <w:rsid w:val="002B5042"/>
    <w:rsid w:val="002B69CC"/>
    <w:rsid w:val="002B6D71"/>
    <w:rsid w:val="002C03AE"/>
    <w:rsid w:val="002C0C1C"/>
    <w:rsid w:val="002C41BF"/>
    <w:rsid w:val="002C4AD0"/>
    <w:rsid w:val="002C54C2"/>
    <w:rsid w:val="002C5D34"/>
    <w:rsid w:val="002C60BB"/>
    <w:rsid w:val="002C661A"/>
    <w:rsid w:val="002D0D6F"/>
    <w:rsid w:val="002D25FC"/>
    <w:rsid w:val="002D4AC6"/>
    <w:rsid w:val="002D59BF"/>
    <w:rsid w:val="002D5BF5"/>
    <w:rsid w:val="002D5EE8"/>
    <w:rsid w:val="002D7360"/>
    <w:rsid w:val="002D7648"/>
    <w:rsid w:val="002D7879"/>
    <w:rsid w:val="002D7C80"/>
    <w:rsid w:val="002E109C"/>
    <w:rsid w:val="002E193E"/>
    <w:rsid w:val="002E1A94"/>
    <w:rsid w:val="002E1D55"/>
    <w:rsid w:val="002E26C4"/>
    <w:rsid w:val="002E2734"/>
    <w:rsid w:val="002E30A5"/>
    <w:rsid w:val="002E47E4"/>
    <w:rsid w:val="002E4BF9"/>
    <w:rsid w:val="002E4D61"/>
    <w:rsid w:val="002E68A7"/>
    <w:rsid w:val="002E6E6C"/>
    <w:rsid w:val="002F016E"/>
    <w:rsid w:val="002F0522"/>
    <w:rsid w:val="002F16DD"/>
    <w:rsid w:val="002F199D"/>
    <w:rsid w:val="002F213C"/>
    <w:rsid w:val="002F2453"/>
    <w:rsid w:val="002F352D"/>
    <w:rsid w:val="002F381E"/>
    <w:rsid w:val="002F3AA6"/>
    <w:rsid w:val="002F4084"/>
    <w:rsid w:val="002F4A08"/>
    <w:rsid w:val="002F4ADB"/>
    <w:rsid w:val="002F531E"/>
    <w:rsid w:val="002F548D"/>
    <w:rsid w:val="002F5ACC"/>
    <w:rsid w:val="002F6EE0"/>
    <w:rsid w:val="002F704B"/>
    <w:rsid w:val="002F72C3"/>
    <w:rsid w:val="002F768C"/>
    <w:rsid w:val="002F7D1E"/>
    <w:rsid w:val="00300201"/>
    <w:rsid w:val="0030025A"/>
    <w:rsid w:val="00300861"/>
    <w:rsid w:val="00302EFC"/>
    <w:rsid w:val="00302F49"/>
    <w:rsid w:val="00303243"/>
    <w:rsid w:val="00303BCC"/>
    <w:rsid w:val="00303F2B"/>
    <w:rsid w:val="00303F8D"/>
    <w:rsid w:val="0030572D"/>
    <w:rsid w:val="0030586A"/>
    <w:rsid w:val="0030622D"/>
    <w:rsid w:val="00306811"/>
    <w:rsid w:val="00306F32"/>
    <w:rsid w:val="003074C5"/>
    <w:rsid w:val="00307A3C"/>
    <w:rsid w:val="00307FA4"/>
    <w:rsid w:val="00310290"/>
    <w:rsid w:val="00310CC1"/>
    <w:rsid w:val="0031203E"/>
    <w:rsid w:val="00312504"/>
    <w:rsid w:val="00312B89"/>
    <w:rsid w:val="00313026"/>
    <w:rsid w:val="00313913"/>
    <w:rsid w:val="0031421F"/>
    <w:rsid w:val="00314B31"/>
    <w:rsid w:val="00315A65"/>
    <w:rsid w:val="0031613A"/>
    <w:rsid w:val="003165D7"/>
    <w:rsid w:val="0031666B"/>
    <w:rsid w:val="00316ABE"/>
    <w:rsid w:val="00317BA7"/>
    <w:rsid w:val="00320BE2"/>
    <w:rsid w:val="00321886"/>
    <w:rsid w:val="00321EDC"/>
    <w:rsid w:val="00323694"/>
    <w:rsid w:val="0032376C"/>
    <w:rsid w:val="00323BE7"/>
    <w:rsid w:val="00324C3A"/>
    <w:rsid w:val="00324D63"/>
    <w:rsid w:val="003255AF"/>
    <w:rsid w:val="003256EB"/>
    <w:rsid w:val="003259DB"/>
    <w:rsid w:val="00325ACC"/>
    <w:rsid w:val="0032795B"/>
    <w:rsid w:val="003303CD"/>
    <w:rsid w:val="003314D9"/>
    <w:rsid w:val="00331653"/>
    <w:rsid w:val="00331A48"/>
    <w:rsid w:val="00331BCC"/>
    <w:rsid w:val="003330C9"/>
    <w:rsid w:val="0033364C"/>
    <w:rsid w:val="00334415"/>
    <w:rsid w:val="00334B8B"/>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4AE9"/>
    <w:rsid w:val="00355C0D"/>
    <w:rsid w:val="003566A9"/>
    <w:rsid w:val="00356988"/>
    <w:rsid w:val="003569D3"/>
    <w:rsid w:val="00356CE9"/>
    <w:rsid w:val="003570BB"/>
    <w:rsid w:val="00357128"/>
    <w:rsid w:val="0035755E"/>
    <w:rsid w:val="00357A80"/>
    <w:rsid w:val="00360339"/>
    <w:rsid w:val="00361441"/>
    <w:rsid w:val="00361B8B"/>
    <w:rsid w:val="00363F39"/>
    <w:rsid w:val="003640FC"/>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91A"/>
    <w:rsid w:val="00374E79"/>
    <w:rsid w:val="0037529A"/>
    <w:rsid w:val="00375388"/>
    <w:rsid w:val="00375559"/>
    <w:rsid w:val="00375FB9"/>
    <w:rsid w:val="00376170"/>
    <w:rsid w:val="00376851"/>
    <w:rsid w:val="00376FA2"/>
    <w:rsid w:val="00377133"/>
    <w:rsid w:val="00377A3B"/>
    <w:rsid w:val="00377E3C"/>
    <w:rsid w:val="00380874"/>
    <w:rsid w:val="00380BBE"/>
    <w:rsid w:val="00381D70"/>
    <w:rsid w:val="0038235E"/>
    <w:rsid w:val="003829D0"/>
    <w:rsid w:val="0038326A"/>
    <w:rsid w:val="0038444F"/>
    <w:rsid w:val="003861F0"/>
    <w:rsid w:val="00387051"/>
    <w:rsid w:val="00387ECF"/>
    <w:rsid w:val="0039021B"/>
    <w:rsid w:val="00390429"/>
    <w:rsid w:val="003906A0"/>
    <w:rsid w:val="003923D5"/>
    <w:rsid w:val="003931AF"/>
    <w:rsid w:val="0039366C"/>
    <w:rsid w:val="00393EC8"/>
    <w:rsid w:val="00395E42"/>
    <w:rsid w:val="00396409"/>
    <w:rsid w:val="00396A2D"/>
    <w:rsid w:val="00396FC3"/>
    <w:rsid w:val="003A1431"/>
    <w:rsid w:val="003A1A94"/>
    <w:rsid w:val="003A204E"/>
    <w:rsid w:val="003A2D25"/>
    <w:rsid w:val="003A5101"/>
    <w:rsid w:val="003A5728"/>
    <w:rsid w:val="003A60E7"/>
    <w:rsid w:val="003A7092"/>
    <w:rsid w:val="003A72A1"/>
    <w:rsid w:val="003A7611"/>
    <w:rsid w:val="003A7D1F"/>
    <w:rsid w:val="003B0137"/>
    <w:rsid w:val="003B0B6A"/>
    <w:rsid w:val="003B22F7"/>
    <w:rsid w:val="003B29CF"/>
    <w:rsid w:val="003B3A90"/>
    <w:rsid w:val="003B3D01"/>
    <w:rsid w:val="003B534F"/>
    <w:rsid w:val="003B6A44"/>
    <w:rsid w:val="003B7A79"/>
    <w:rsid w:val="003C0FE1"/>
    <w:rsid w:val="003C151A"/>
    <w:rsid w:val="003C29B4"/>
    <w:rsid w:val="003C350C"/>
    <w:rsid w:val="003C3733"/>
    <w:rsid w:val="003C3903"/>
    <w:rsid w:val="003C3BA0"/>
    <w:rsid w:val="003C4580"/>
    <w:rsid w:val="003C5C5E"/>
    <w:rsid w:val="003C6746"/>
    <w:rsid w:val="003C7555"/>
    <w:rsid w:val="003C7898"/>
    <w:rsid w:val="003D0FF5"/>
    <w:rsid w:val="003D11A3"/>
    <w:rsid w:val="003D1537"/>
    <w:rsid w:val="003D183C"/>
    <w:rsid w:val="003D26C0"/>
    <w:rsid w:val="003D2D1B"/>
    <w:rsid w:val="003D35FA"/>
    <w:rsid w:val="003D48C7"/>
    <w:rsid w:val="003D4C27"/>
    <w:rsid w:val="003D7109"/>
    <w:rsid w:val="003D7CE8"/>
    <w:rsid w:val="003E0255"/>
    <w:rsid w:val="003E0514"/>
    <w:rsid w:val="003E1032"/>
    <w:rsid w:val="003E1904"/>
    <w:rsid w:val="003E23E8"/>
    <w:rsid w:val="003E285E"/>
    <w:rsid w:val="003E3124"/>
    <w:rsid w:val="003E3300"/>
    <w:rsid w:val="003E43D3"/>
    <w:rsid w:val="003E48E1"/>
    <w:rsid w:val="003E50F4"/>
    <w:rsid w:val="003E59BB"/>
    <w:rsid w:val="003E6225"/>
    <w:rsid w:val="003E65AC"/>
    <w:rsid w:val="003E66AE"/>
    <w:rsid w:val="003E72B9"/>
    <w:rsid w:val="003E7612"/>
    <w:rsid w:val="003E7ED4"/>
    <w:rsid w:val="003F0CAA"/>
    <w:rsid w:val="003F0E52"/>
    <w:rsid w:val="003F0F6B"/>
    <w:rsid w:val="003F1FC6"/>
    <w:rsid w:val="003F1FE3"/>
    <w:rsid w:val="003F2359"/>
    <w:rsid w:val="003F3232"/>
    <w:rsid w:val="003F3865"/>
    <w:rsid w:val="003F38AC"/>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1CA"/>
    <w:rsid w:val="00404681"/>
    <w:rsid w:val="00405445"/>
    <w:rsid w:val="00405AC1"/>
    <w:rsid w:val="00406923"/>
    <w:rsid w:val="0040763D"/>
    <w:rsid w:val="00410D17"/>
    <w:rsid w:val="00412AA9"/>
    <w:rsid w:val="00413442"/>
    <w:rsid w:val="00413821"/>
    <w:rsid w:val="00413BA5"/>
    <w:rsid w:val="004141A3"/>
    <w:rsid w:val="00414909"/>
    <w:rsid w:val="0041582F"/>
    <w:rsid w:val="00416112"/>
    <w:rsid w:val="00417A1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8D7"/>
    <w:rsid w:val="00432A94"/>
    <w:rsid w:val="00432C95"/>
    <w:rsid w:val="00433827"/>
    <w:rsid w:val="00433A40"/>
    <w:rsid w:val="00434B70"/>
    <w:rsid w:val="004360C8"/>
    <w:rsid w:val="00436823"/>
    <w:rsid w:val="004371D5"/>
    <w:rsid w:val="0044006B"/>
    <w:rsid w:val="0044033F"/>
    <w:rsid w:val="00440630"/>
    <w:rsid w:val="00441F0F"/>
    <w:rsid w:val="00442965"/>
    <w:rsid w:val="004432B6"/>
    <w:rsid w:val="004437B6"/>
    <w:rsid w:val="00444157"/>
    <w:rsid w:val="0044417C"/>
    <w:rsid w:val="00444DB3"/>
    <w:rsid w:val="00445617"/>
    <w:rsid w:val="00445A2F"/>
    <w:rsid w:val="00445E2D"/>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64C1"/>
    <w:rsid w:val="004578EB"/>
    <w:rsid w:val="004604D5"/>
    <w:rsid w:val="00460697"/>
    <w:rsid w:val="0046117B"/>
    <w:rsid w:val="00461FC2"/>
    <w:rsid w:val="00464AB7"/>
    <w:rsid w:val="00465C99"/>
    <w:rsid w:val="00465DE5"/>
    <w:rsid w:val="00467EF8"/>
    <w:rsid w:val="00471AC3"/>
    <w:rsid w:val="00472429"/>
    <w:rsid w:val="004725E5"/>
    <w:rsid w:val="00472751"/>
    <w:rsid w:val="00473128"/>
    <w:rsid w:val="00473918"/>
    <w:rsid w:val="00475078"/>
    <w:rsid w:val="00475767"/>
    <w:rsid w:val="004779A0"/>
    <w:rsid w:val="004808E3"/>
    <w:rsid w:val="00481016"/>
    <w:rsid w:val="0048204C"/>
    <w:rsid w:val="004821BB"/>
    <w:rsid w:val="0048237A"/>
    <w:rsid w:val="004826FE"/>
    <w:rsid w:val="004827D5"/>
    <w:rsid w:val="00482AF2"/>
    <w:rsid w:val="004830C9"/>
    <w:rsid w:val="00483347"/>
    <w:rsid w:val="00483E2E"/>
    <w:rsid w:val="00484930"/>
    <w:rsid w:val="00484B69"/>
    <w:rsid w:val="00485406"/>
    <w:rsid w:val="0048590F"/>
    <w:rsid w:val="00486D60"/>
    <w:rsid w:val="00487E71"/>
    <w:rsid w:val="00491FA1"/>
    <w:rsid w:val="00492A25"/>
    <w:rsid w:val="004938A3"/>
    <w:rsid w:val="0049558B"/>
    <w:rsid w:val="00496350"/>
    <w:rsid w:val="0049797C"/>
    <w:rsid w:val="004A1405"/>
    <w:rsid w:val="004A15BD"/>
    <w:rsid w:val="004A1E28"/>
    <w:rsid w:val="004A1FC6"/>
    <w:rsid w:val="004A2E5F"/>
    <w:rsid w:val="004A38C2"/>
    <w:rsid w:val="004A3C03"/>
    <w:rsid w:val="004A3DB7"/>
    <w:rsid w:val="004A463B"/>
    <w:rsid w:val="004A5088"/>
    <w:rsid w:val="004A5255"/>
    <w:rsid w:val="004A6B28"/>
    <w:rsid w:val="004A6CB0"/>
    <w:rsid w:val="004A70FF"/>
    <w:rsid w:val="004A7EDE"/>
    <w:rsid w:val="004B0D93"/>
    <w:rsid w:val="004B1FA4"/>
    <w:rsid w:val="004B29AC"/>
    <w:rsid w:val="004B35DF"/>
    <w:rsid w:val="004B3627"/>
    <w:rsid w:val="004B4922"/>
    <w:rsid w:val="004B57DF"/>
    <w:rsid w:val="004B5976"/>
    <w:rsid w:val="004B6D3B"/>
    <w:rsid w:val="004B722E"/>
    <w:rsid w:val="004B72E8"/>
    <w:rsid w:val="004C01A5"/>
    <w:rsid w:val="004C041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B2B"/>
    <w:rsid w:val="004D4F35"/>
    <w:rsid w:val="004D51EE"/>
    <w:rsid w:val="004D5D45"/>
    <w:rsid w:val="004D618D"/>
    <w:rsid w:val="004D62A9"/>
    <w:rsid w:val="004D6FC3"/>
    <w:rsid w:val="004D7476"/>
    <w:rsid w:val="004D7716"/>
    <w:rsid w:val="004E0306"/>
    <w:rsid w:val="004E0572"/>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0E50"/>
    <w:rsid w:val="004F1D2A"/>
    <w:rsid w:val="004F243F"/>
    <w:rsid w:val="004F252C"/>
    <w:rsid w:val="004F2A29"/>
    <w:rsid w:val="004F36A3"/>
    <w:rsid w:val="004F3E0C"/>
    <w:rsid w:val="004F4308"/>
    <w:rsid w:val="004F7160"/>
    <w:rsid w:val="00500258"/>
    <w:rsid w:val="00500B2D"/>
    <w:rsid w:val="00501A99"/>
    <w:rsid w:val="00503180"/>
    <w:rsid w:val="005038A4"/>
    <w:rsid w:val="00504CD4"/>
    <w:rsid w:val="0050524B"/>
    <w:rsid w:val="00505450"/>
    <w:rsid w:val="005055D8"/>
    <w:rsid w:val="00505FC6"/>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608F"/>
    <w:rsid w:val="00516480"/>
    <w:rsid w:val="00520EF8"/>
    <w:rsid w:val="005210F7"/>
    <w:rsid w:val="00521753"/>
    <w:rsid w:val="0052239D"/>
    <w:rsid w:val="005224EE"/>
    <w:rsid w:val="00522879"/>
    <w:rsid w:val="00523BB1"/>
    <w:rsid w:val="00524B23"/>
    <w:rsid w:val="0052570E"/>
    <w:rsid w:val="005260CD"/>
    <w:rsid w:val="00526265"/>
    <w:rsid w:val="0052655D"/>
    <w:rsid w:val="005265E0"/>
    <w:rsid w:val="00526BC3"/>
    <w:rsid w:val="00530064"/>
    <w:rsid w:val="00531761"/>
    <w:rsid w:val="0053248F"/>
    <w:rsid w:val="005327AB"/>
    <w:rsid w:val="0053332A"/>
    <w:rsid w:val="0053358A"/>
    <w:rsid w:val="00534668"/>
    <w:rsid w:val="00534A6E"/>
    <w:rsid w:val="00534DDD"/>
    <w:rsid w:val="00535291"/>
    <w:rsid w:val="00535A94"/>
    <w:rsid w:val="00537874"/>
    <w:rsid w:val="0053795F"/>
    <w:rsid w:val="00537D3D"/>
    <w:rsid w:val="00540511"/>
    <w:rsid w:val="00540578"/>
    <w:rsid w:val="00540808"/>
    <w:rsid w:val="0054080E"/>
    <w:rsid w:val="00540D1A"/>
    <w:rsid w:val="00540DE5"/>
    <w:rsid w:val="00540EA1"/>
    <w:rsid w:val="00541E5A"/>
    <w:rsid w:val="0054358E"/>
    <w:rsid w:val="00543AF4"/>
    <w:rsid w:val="00543F53"/>
    <w:rsid w:val="00544191"/>
    <w:rsid w:val="0054440C"/>
    <w:rsid w:val="005448EC"/>
    <w:rsid w:val="00544C0A"/>
    <w:rsid w:val="00544F39"/>
    <w:rsid w:val="005457FB"/>
    <w:rsid w:val="00546B96"/>
    <w:rsid w:val="00546F90"/>
    <w:rsid w:val="00547EFB"/>
    <w:rsid w:val="00550192"/>
    <w:rsid w:val="005522F2"/>
    <w:rsid w:val="005531DF"/>
    <w:rsid w:val="00553874"/>
    <w:rsid w:val="00553DCE"/>
    <w:rsid w:val="005541E0"/>
    <w:rsid w:val="00554577"/>
    <w:rsid w:val="00554AD8"/>
    <w:rsid w:val="00554F78"/>
    <w:rsid w:val="00555DA1"/>
    <w:rsid w:val="00556BF7"/>
    <w:rsid w:val="00556E53"/>
    <w:rsid w:val="00557F60"/>
    <w:rsid w:val="00561730"/>
    <w:rsid w:val="00561B97"/>
    <w:rsid w:val="00562149"/>
    <w:rsid w:val="005640EB"/>
    <w:rsid w:val="005666A4"/>
    <w:rsid w:val="00567B5D"/>
    <w:rsid w:val="005702C8"/>
    <w:rsid w:val="00570757"/>
    <w:rsid w:val="00573733"/>
    <w:rsid w:val="00573F8B"/>
    <w:rsid w:val="00574554"/>
    <w:rsid w:val="00574E06"/>
    <w:rsid w:val="005751BB"/>
    <w:rsid w:val="00576089"/>
    <w:rsid w:val="005764B1"/>
    <w:rsid w:val="00576852"/>
    <w:rsid w:val="00576D06"/>
    <w:rsid w:val="005779E4"/>
    <w:rsid w:val="00580EC7"/>
    <w:rsid w:val="0058289C"/>
    <w:rsid w:val="005836C7"/>
    <w:rsid w:val="0058408E"/>
    <w:rsid w:val="005844C3"/>
    <w:rsid w:val="00585374"/>
    <w:rsid w:val="005854CA"/>
    <w:rsid w:val="00585FAB"/>
    <w:rsid w:val="00590B77"/>
    <w:rsid w:val="00590D9A"/>
    <w:rsid w:val="005913A3"/>
    <w:rsid w:val="00591A5A"/>
    <w:rsid w:val="005940D4"/>
    <w:rsid w:val="00594A7B"/>
    <w:rsid w:val="0059580E"/>
    <w:rsid w:val="00595D75"/>
    <w:rsid w:val="00595D90"/>
    <w:rsid w:val="00596A6F"/>
    <w:rsid w:val="00596FCE"/>
    <w:rsid w:val="005A11BC"/>
    <w:rsid w:val="005A1525"/>
    <w:rsid w:val="005A1E17"/>
    <w:rsid w:val="005A252B"/>
    <w:rsid w:val="005A2A8F"/>
    <w:rsid w:val="005A3008"/>
    <w:rsid w:val="005A3204"/>
    <w:rsid w:val="005A3341"/>
    <w:rsid w:val="005A3C3D"/>
    <w:rsid w:val="005A46EC"/>
    <w:rsid w:val="005A5EAE"/>
    <w:rsid w:val="005A6407"/>
    <w:rsid w:val="005A726C"/>
    <w:rsid w:val="005B07EC"/>
    <w:rsid w:val="005B2B11"/>
    <w:rsid w:val="005B32A4"/>
    <w:rsid w:val="005B3371"/>
    <w:rsid w:val="005B338D"/>
    <w:rsid w:val="005B33A1"/>
    <w:rsid w:val="005B3852"/>
    <w:rsid w:val="005B3BAF"/>
    <w:rsid w:val="005B4DA3"/>
    <w:rsid w:val="005B5BEE"/>
    <w:rsid w:val="005B77D2"/>
    <w:rsid w:val="005C0195"/>
    <w:rsid w:val="005C019B"/>
    <w:rsid w:val="005C08D0"/>
    <w:rsid w:val="005C1AED"/>
    <w:rsid w:val="005C2136"/>
    <w:rsid w:val="005C30F5"/>
    <w:rsid w:val="005C3840"/>
    <w:rsid w:val="005C51A5"/>
    <w:rsid w:val="005C557A"/>
    <w:rsid w:val="005C566F"/>
    <w:rsid w:val="005C5C47"/>
    <w:rsid w:val="005C61DD"/>
    <w:rsid w:val="005C6438"/>
    <w:rsid w:val="005C6B8B"/>
    <w:rsid w:val="005C727F"/>
    <w:rsid w:val="005D02E3"/>
    <w:rsid w:val="005D1F34"/>
    <w:rsid w:val="005D2C1F"/>
    <w:rsid w:val="005D34B2"/>
    <w:rsid w:val="005D3B54"/>
    <w:rsid w:val="005D40CD"/>
    <w:rsid w:val="005D6B59"/>
    <w:rsid w:val="005D784B"/>
    <w:rsid w:val="005E03E4"/>
    <w:rsid w:val="005E0454"/>
    <w:rsid w:val="005E05F6"/>
    <w:rsid w:val="005E1B9D"/>
    <w:rsid w:val="005E1BDA"/>
    <w:rsid w:val="005E2442"/>
    <w:rsid w:val="005E3111"/>
    <w:rsid w:val="005E3CA0"/>
    <w:rsid w:val="005E3F85"/>
    <w:rsid w:val="005E4A5F"/>
    <w:rsid w:val="005E516A"/>
    <w:rsid w:val="005E57B0"/>
    <w:rsid w:val="005E5B01"/>
    <w:rsid w:val="005E6D3B"/>
    <w:rsid w:val="005F009E"/>
    <w:rsid w:val="005F0DF1"/>
    <w:rsid w:val="005F1516"/>
    <w:rsid w:val="005F1A6F"/>
    <w:rsid w:val="005F229E"/>
    <w:rsid w:val="005F2564"/>
    <w:rsid w:val="005F3822"/>
    <w:rsid w:val="005F4635"/>
    <w:rsid w:val="005F4900"/>
    <w:rsid w:val="005F4E52"/>
    <w:rsid w:val="005F6D58"/>
    <w:rsid w:val="005F7383"/>
    <w:rsid w:val="0060058E"/>
    <w:rsid w:val="00602A3C"/>
    <w:rsid w:val="00603EFD"/>
    <w:rsid w:val="0060475B"/>
    <w:rsid w:val="00604BED"/>
    <w:rsid w:val="00604FB6"/>
    <w:rsid w:val="00605387"/>
    <w:rsid w:val="00606302"/>
    <w:rsid w:val="006076FD"/>
    <w:rsid w:val="00610811"/>
    <w:rsid w:val="0061143F"/>
    <w:rsid w:val="006114D8"/>
    <w:rsid w:val="00611912"/>
    <w:rsid w:val="00613553"/>
    <w:rsid w:val="00613601"/>
    <w:rsid w:val="00613791"/>
    <w:rsid w:val="006150D6"/>
    <w:rsid w:val="00615245"/>
    <w:rsid w:val="0061590D"/>
    <w:rsid w:val="00617699"/>
    <w:rsid w:val="00617EEE"/>
    <w:rsid w:val="00620A1F"/>
    <w:rsid w:val="0062169D"/>
    <w:rsid w:val="0062181E"/>
    <w:rsid w:val="0062211B"/>
    <w:rsid w:val="00622BB7"/>
    <w:rsid w:val="00622C1E"/>
    <w:rsid w:val="00623389"/>
    <w:rsid w:val="00623DAA"/>
    <w:rsid w:val="00623FAF"/>
    <w:rsid w:val="006265C4"/>
    <w:rsid w:val="0062678A"/>
    <w:rsid w:val="006270AF"/>
    <w:rsid w:val="00634367"/>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5171A"/>
    <w:rsid w:val="00652680"/>
    <w:rsid w:val="00653CDE"/>
    <w:rsid w:val="00654585"/>
    <w:rsid w:val="0065566E"/>
    <w:rsid w:val="00655AB6"/>
    <w:rsid w:val="00655EFA"/>
    <w:rsid w:val="00656061"/>
    <w:rsid w:val="00656281"/>
    <w:rsid w:val="0065636A"/>
    <w:rsid w:val="00657003"/>
    <w:rsid w:val="00660238"/>
    <w:rsid w:val="006602EF"/>
    <w:rsid w:val="00661277"/>
    <w:rsid w:val="006619E0"/>
    <w:rsid w:val="006624AC"/>
    <w:rsid w:val="00663FEA"/>
    <w:rsid w:val="00664803"/>
    <w:rsid w:val="00664C36"/>
    <w:rsid w:val="006657C5"/>
    <w:rsid w:val="00665D75"/>
    <w:rsid w:val="006661A4"/>
    <w:rsid w:val="00666AC0"/>
    <w:rsid w:val="006670E0"/>
    <w:rsid w:val="006671B8"/>
    <w:rsid w:val="00667275"/>
    <w:rsid w:val="00667532"/>
    <w:rsid w:val="0066783E"/>
    <w:rsid w:val="00667E53"/>
    <w:rsid w:val="00670559"/>
    <w:rsid w:val="006711C4"/>
    <w:rsid w:val="006713AB"/>
    <w:rsid w:val="00672CA5"/>
    <w:rsid w:val="00673711"/>
    <w:rsid w:val="00673F82"/>
    <w:rsid w:val="00674F74"/>
    <w:rsid w:val="0067508F"/>
    <w:rsid w:val="00677576"/>
    <w:rsid w:val="00680116"/>
    <w:rsid w:val="0068051E"/>
    <w:rsid w:val="00680B9D"/>
    <w:rsid w:val="00681F13"/>
    <w:rsid w:val="0068231C"/>
    <w:rsid w:val="00682344"/>
    <w:rsid w:val="00682F28"/>
    <w:rsid w:val="00683515"/>
    <w:rsid w:val="00684842"/>
    <w:rsid w:val="00685364"/>
    <w:rsid w:val="006859AA"/>
    <w:rsid w:val="00685BD6"/>
    <w:rsid w:val="00687116"/>
    <w:rsid w:val="006878A6"/>
    <w:rsid w:val="00687D5F"/>
    <w:rsid w:val="00690437"/>
    <w:rsid w:val="00690DC3"/>
    <w:rsid w:val="00690E65"/>
    <w:rsid w:val="006911B7"/>
    <w:rsid w:val="00691387"/>
    <w:rsid w:val="0069188E"/>
    <w:rsid w:val="00691974"/>
    <w:rsid w:val="00691F9D"/>
    <w:rsid w:val="00692BF6"/>
    <w:rsid w:val="00692CE6"/>
    <w:rsid w:val="00693186"/>
    <w:rsid w:val="00693381"/>
    <w:rsid w:val="00693B6C"/>
    <w:rsid w:val="006942AE"/>
    <w:rsid w:val="00695421"/>
    <w:rsid w:val="00697BD3"/>
    <w:rsid w:val="00697DFA"/>
    <w:rsid w:val="006A16D5"/>
    <w:rsid w:val="006A1772"/>
    <w:rsid w:val="006A1780"/>
    <w:rsid w:val="006A1EB8"/>
    <w:rsid w:val="006A21DD"/>
    <w:rsid w:val="006A26C6"/>
    <w:rsid w:val="006A3302"/>
    <w:rsid w:val="006A3B28"/>
    <w:rsid w:val="006A4FEE"/>
    <w:rsid w:val="006A5549"/>
    <w:rsid w:val="006A703E"/>
    <w:rsid w:val="006A7BE3"/>
    <w:rsid w:val="006A7D32"/>
    <w:rsid w:val="006B01D1"/>
    <w:rsid w:val="006B0DF4"/>
    <w:rsid w:val="006B16EA"/>
    <w:rsid w:val="006B1780"/>
    <w:rsid w:val="006B21DC"/>
    <w:rsid w:val="006B224E"/>
    <w:rsid w:val="006B376E"/>
    <w:rsid w:val="006B4589"/>
    <w:rsid w:val="006B5157"/>
    <w:rsid w:val="006B610E"/>
    <w:rsid w:val="006B6805"/>
    <w:rsid w:val="006B68DD"/>
    <w:rsid w:val="006B6C07"/>
    <w:rsid w:val="006B6DE0"/>
    <w:rsid w:val="006C16C3"/>
    <w:rsid w:val="006C2187"/>
    <w:rsid w:val="006C27D9"/>
    <w:rsid w:val="006C32F4"/>
    <w:rsid w:val="006C3C54"/>
    <w:rsid w:val="006C4B6B"/>
    <w:rsid w:val="006C4CE1"/>
    <w:rsid w:val="006C4F9F"/>
    <w:rsid w:val="006C71A2"/>
    <w:rsid w:val="006C73EC"/>
    <w:rsid w:val="006D0C1D"/>
    <w:rsid w:val="006D28F3"/>
    <w:rsid w:val="006D2E9D"/>
    <w:rsid w:val="006D4A4E"/>
    <w:rsid w:val="006D4C42"/>
    <w:rsid w:val="006D5389"/>
    <w:rsid w:val="006D53A2"/>
    <w:rsid w:val="006D5809"/>
    <w:rsid w:val="006D607E"/>
    <w:rsid w:val="006D615D"/>
    <w:rsid w:val="006D6E12"/>
    <w:rsid w:val="006D70CB"/>
    <w:rsid w:val="006D715C"/>
    <w:rsid w:val="006D7363"/>
    <w:rsid w:val="006D774E"/>
    <w:rsid w:val="006E0754"/>
    <w:rsid w:val="006E2668"/>
    <w:rsid w:val="006E2D39"/>
    <w:rsid w:val="006E2FE9"/>
    <w:rsid w:val="006E32B0"/>
    <w:rsid w:val="006E348E"/>
    <w:rsid w:val="006E396A"/>
    <w:rsid w:val="006E3D63"/>
    <w:rsid w:val="006E58BF"/>
    <w:rsid w:val="006E5DD8"/>
    <w:rsid w:val="006E5EA1"/>
    <w:rsid w:val="006E6DEE"/>
    <w:rsid w:val="006E7D4B"/>
    <w:rsid w:val="006F018A"/>
    <w:rsid w:val="006F0760"/>
    <w:rsid w:val="006F11E2"/>
    <w:rsid w:val="006F2574"/>
    <w:rsid w:val="006F3231"/>
    <w:rsid w:val="006F3DE3"/>
    <w:rsid w:val="006F4787"/>
    <w:rsid w:val="006F61D8"/>
    <w:rsid w:val="006F62B7"/>
    <w:rsid w:val="006F70BC"/>
    <w:rsid w:val="006F726C"/>
    <w:rsid w:val="006F7E7C"/>
    <w:rsid w:val="0070174E"/>
    <w:rsid w:val="007018DB"/>
    <w:rsid w:val="00701DE6"/>
    <w:rsid w:val="00702740"/>
    <w:rsid w:val="0070303F"/>
    <w:rsid w:val="0070381B"/>
    <w:rsid w:val="0070796C"/>
    <w:rsid w:val="007109BB"/>
    <w:rsid w:val="00710EBF"/>
    <w:rsid w:val="007110B8"/>
    <w:rsid w:val="0071209F"/>
    <w:rsid w:val="007125A2"/>
    <w:rsid w:val="00713DD9"/>
    <w:rsid w:val="00713F79"/>
    <w:rsid w:val="007148A8"/>
    <w:rsid w:val="00716AC8"/>
    <w:rsid w:val="00716E54"/>
    <w:rsid w:val="0072033C"/>
    <w:rsid w:val="00720B1B"/>
    <w:rsid w:val="00721062"/>
    <w:rsid w:val="00721E5D"/>
    <w:rsid w:val="007229D4"/>
    <w:rsid w:val="007230F8"/>
    <w:rsid w:val="007233F4"/>
    <w:rsid w:val="00724044"/>
    <w:rsid w:val="007243F2"/>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4142"/>
    <w:rsid w:val="007352EA"/>
    <w:rsid w:val="00736536"/>
    <w:rsid w:val="0073792F"/>
    <w:rsid w:val="00740C81"/>
    <w:rsid w:val="00740DA6"/>
    <w:rsid w:val="00741B4B"/>
    <w:rsid w:val="00741D1E"/>
    <w:rsid w:val="00741DD6"/>
    <w:rsid w:val="00741EE2"/>
    <w:rsid w:val="0074207F"/>
    <w:rsid w:val="00742367"/>
    <w:rsid w:val="00742EAA"/>
    <w:rsid w:val="00743360"/>
    <w:rsid w:val="00743818"/>
    <w:rsid w:val="00743857"/>
    <w:rsid w:val="00744019"/>
    <w:rsid w:val="007441FB"/>
    <w:rsid w:val="00744517"/>
    <w:rsid w:val="0074522A"/>
    <w:rsid w:val="00747295"/>
    <w:rsid w:val="00747829"/>
    <w:rsid w:val="0074789C"/>
    <w:rsid w:val="00747B0D"/>
    <w:rsid w:val="00747DE2"/>
    <w:rsid w:val="007502D0"/>
    <w:rsid w:val="007504BF"/>
    <w:rsid w:val="007506CD"/>
    <w:rsid w:val="0075267F"/>
    <w:rsid w:val="007526EC"/>
    <w:rsid w:val="00753C48"/>
    <w:rsid w:val="00754250"/>
    <w:rsid w:val="00754FE4"/>
    <w:rsid w:val="00755216"/>
    <w:rsid w:val="00756236"/>
    <w:rsid w:val="00756271"/>
    <w:rsid w:val="00756348"/>
    <w:rsid w:val="00756521"/>
    <w:rsid w:val="00756AB7"/>
    <w:rsid w:val="0076106D"/>
    <w:rsid w:val="007623FB"/>
    <w:rsid w:val="00762517"/>
    <w:rsid w:val="00762612"/>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153"/>
    <w:rsid w:val="007777CC"/>
    <w:rsid w:val="00777B32"/>
    <w:rsid w:val="0078051E"/>
    <w:rsid w:val="00781089"/>
    <w:rsid w:val="00781CB6"/>
    <w:rsid w:val="007838F3"/>
    <w:rsid w:val="007856FE"/>
    <w:rsid w:val="00785F46"/>
    <w:rsid w:val="007865F4"/>
    <w:rsid w:val="00786D5C"/>
    <w:rsid w:val="00786E96"/>
    <w:rsid w:val="00787BB6"/>
    <w:rsid w:val="00787DFF"/>
    <w:rsid w:val="00787F93"/>
    <w:rsid w:val="00791E6D"/>
    <w:rsid w:val="00791EB5"/>
    <w:rsid w:val="0079343F"/>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3BF0"/>
    <w:rsid w:val="007B723D"/>
    <w:rsid w:val="007B7490"/>
    <w:rsid w:val="007C0525"/>
    <w:rsid w:val="007C13F7"/>
    <w:rsid w:val="007C1D77"/>
    <w:rsid w:val="007C218D"/>
    <w:rsid w:val="007C2D28"/>
    <w:rsid w:val="007C3E22"/>
    <w:rsid w:val="007C58C1"/>
    <w:rsid w:val="007C6218"/>
    <w:rsid w:val="007C6484"/>
    <w:rsid w:val="007C67C6"/>
    <w:rsid w:val="007C78BE"/>
    <w:rsid w:val="007C7A5D"/>
    <w:rsid w:val="007C7E59"/>
    <w:rsid w:val="007D0476"/>
    <w:rsid w:val="007D0B91"/>
    <w:rsid w:val="007D0FE7"/>
    <w:rsid w:val="007D1452"/>
    <w:rsid w:val="007D1563"/>
    <w:rsid w:val="007D3DCB"/>
    <w:rsid w:val="007D460C"/>
    <w:rsid w:val="007D4996"/>
    <w:rsid w:val="007D4AD3"/>
    <w:rsid w:val="007D5D19"/>
    <w:rsid w:val="007D5FDC"/>
    <w:rsid w:val="007D6176"/>
    <w:rsid w:val="007D69CD"/>
    <w:rsid w:val="007D6D68"/>
    <w:rsid w:val="007E194F"/>
    <w:rsid w:val="007E2BAE"/>
    <w:rsid w:val="007E32DA"/>
    <w:rsid w:val="007E4998"/>
    <w:rsid w:val="007E4A9C"/>
    <w:rsid w:val="007E6914"/>
    <w:rsid w:val="007E7F78"/>
    <w:rsid w:val="007F0179"/>
    <w:rsid w:val="007F2C13"/>
    <w:rsid w:val="007F2CEC"/>
    <w:rsid w:val="007F2ED1"/>
    <w:rsid w:val="007F3435"/>
    <w:rsid w:val="007F505D"/>
    <w:rsid w:val="007F531B"/>
    <w:rsid w:val="007F55DE"/>
    <w:rsid w:val="007F762D"/>
    <w:rsid w:val="007F78F0"/>
    <w:rsid w:val="007F78FF"/>
    <w:rsid w:val="008001C5"/>
    <w:rsid w:val="00800F6C"/>
    <w:rsid w:val="0080104A"/>
    <w:rsid w:val="00801065"/>
    <w:rsid w:val="00802C0B"/>
    <w:rsid w:val="00805040"/>
    <w:rsid w:val="008051FC"/>
    <w:rsid w:val="008055A9"/>
    <w:rsid w:val="008056C4"/>
    <w:rsid w:val="008057FD"/>
    <w:rsid w:val="00805D8B"/>
    <w:rsid w:val="008100E6"/>
    <w:rsid w:val="0081010F"/>
    <w:rsid w:val="00810BB6"/>
    <w:rsid w:val="00810E8E"/>
    <w:rsid w:val="00812C44"/>
    <w:rsid w:val="008135E1"/>
    <w:rsid w:val="00813779"/>
    <w:rsid w:val="00813A59"/>
    <w:rsid w:val="00813E26"/>
    <w:rsid w:val="0081481D"/>
    <w:rsid w:val="00814BE8"/>
    <w:rsid w:val="00814F6E"/>
    <w:rsid w:val="00815B84"/>
    <w:rsid w:val="00816342"/>
    <w:rsid w:val="008166F6"/>
    <w:rsid w:val="00816BE9"/>
    <w:rsid w:val="00817D10"/>
    <w:rsid w:val="00822518"/>
    <w:rsid w:val="008226F5"/>
    <w:rsid w:val="00822835"/>
    <w:rsid w:val="00823FC6"/>
    <w:rsid w:val="00824306"/>
    <w:rsid w:val="00825C74"/>
    <w:rsid w:val="00825CFA"/>
    <w:rsid w:val="00826AB9"/>
    <w:rsid w:val="00826E0E"/>
    <w:rsid w:val="00827D11"/>
    <w:rsid w:val="00827E0F"/>
    <w:rsid w:val="00827F6E"/>
    <w:rsid w:val="00831758"/>
    <w:rsid w:val="008317D9"/>
    <w:rsid w:val="00831AEC"/>
    <w:rsid w:val="0083279F"/>
    <w:rsid w:val="00832CE9"/>
    <w:rsid w:val="008334DB"/>
    <w:rsid w:val="00833B7F"/>
    <w:rsid w:val="00833E8E"/>
    <w:rsid w:val="00834906"/>
    <w:rsid w:val="00836075"/>
    <w:rsid w:val="00836417"/>
    <w:rsid w:val="00836D47"/>
    <w:rsid w:val="00837526"/>
    <w:rsid w:val="008407A7"/>
    <w:rsid w:val="0084322B"/>
    <w:rsid w:val="00843F81"/>
    <w:rsid w:val="00844087"/>
    <w:rsid w:val="008448F1"/>
    <w:rsid w:val="0084519E"/>
    <w:rsid w:val="00845CAE"/>
    <w:rsid w:val="008462C5"/>
    <w:rsid w:val="008462FA"/>
    <w:rsid w:val="00846370"/>
    <w:rsid w:val="00846873"/>
    <w:rsid w:val="008477E7"/>
    <w:rsid w:val="00847C2B"/>
    <w:rsid w:val="00850272"/>
    <w:rsid w:val="008506B9"/>
    <w:rsid w:val="0085086F"/>
    <w:rsid w:val="00851822"/>
    <w:rsid w:val="00851C16"/>
    <w:rsid w:val="008532BF"/>
    <w:rsid w:val="008539B2"/>
    <w:rsid w:val="00853BF4"/>
    <w:rsid w:val="00854294"/>
    <w:rsid w:val="00854295"/>
    <w:rsid w:val="008552B1"/>
    <w:rsid w:val="0085572E"/>
    <w:rsid w:val="0085788B"/>
    <w:rsid w:val="00857A9E"/>
    <w:rsid w:val="00857DE2"/>
    <w:rsid w:val="0086003D"/>
    <w:rsid w:val="00863A8E"/>
    <w:rsid w:val="0086407F"/>
    <w:rsid w:val="008645E3"/>
    <w:rsid w:val="0086486A"/>
    <w:rsid w:val="00864E79"/>
    <w:rsid w:val="0086572B"/>
    <w:rsid w:val="00866615"/>
    <w:rsid w:val="0086661F"/>
    <w:rsid w:val="00866A0D"/>
    <w:rsid w:val="00866DB5"/>
    <w:rsid w:val="0086701D"/>
    <w:rsid w:val="0086702B"/>
    <w:rsid w:val="008672E2"/>
    <w:rsid w:val="0086784E"/>
    <w:rsid w:val="00870E55"/>
    <w:rsid w:val="0087121C"/>
    <w:rsid w:val="00871FD2"/>
    <w:rsid w:val="00872084"/>
    <w:rsid w:val="00872827"/>
    <w:rsid w:val="00872A32"/>
    <w:rsid w:val="00874911"/>
    <w:rsid w:val="008754E4"/>
    <w:rsid w:val="00876EAE"/>
    <w:rsid w:val="00880106"/>
    <w:rsid w:val="00880F95"/>
    <w:rsid w:val="00881862"/>
    <w:rsid w:val="00882B44"/>
    <w:rsid w:val="008838AD"/>
    <w:rsid w:val="00885BC9"/>
    <w:rsid w:val="008864B3"/>
    <w:rsid w:val="008865E5"/>
    <w:rsid w:val="008871B0"/>
    <w:rsid w:val="00890B57"/>
    <w:rsid w:val="008916BA"/>
    <w:rsid w:val="00891795"/>
    <w:rsid w:val="0089217C"/>
    <w:rsid w:val="00892790"/>
    <w:rsid w:val="00893671"/>
    <w:rsid w:val="00894784"/>
    <w:rsid w:val="008953B1"/>
    <w:rsid w:val="00895838"/>
    <w:rsid w:val="00895A1E"/>
    <w:rsid w:val="00895A72"/>
    <w:rsid w:val="00895CDF"/>
    <w:rsid w:val="00896679"/>
    <w:rsid w:val="008967E3"/>
    <w:rsid w:val="00896D8C"/>
    <w:rsid w:val="008A0FC9"/>
    <w:rsid w:val="008A1956"/>
    <w:rsid w:val="008A1A7C"/>
    <w:rsid w:val="008A2CE2"/>
    <w:rsid w:val="008A40D3"/>
    <w:rsid w:val="008A469C"/>
    <w:rsid w:val="008A50FB"/>
    <w:rsid w:val="008A51D1"/>
    <w:rsid w:val="008A5DCE"/>
    <w:rsid w:val="008A75D3"/>
    <w:rsid w:val="008A7AAA"/>
    <w:rsid w:val="008B05DD"/>
    <w:rsid w:val="008B07B8"/>
    <w:rsid w:val="008B17E8"/>
    <w:rsid w:val="008B2C45"/>
    <w:rsid w:val="008B2E7C"/>
    <w:rsid w:val="008B399A"/>
    <w:rsid w:val="008B45F0"/>
    <w:rsid w:val="008B4A70"/>
    <w:rsid w:val="008B502F"/>
    <w:rsid w:val="008B6DFC"/>
    <w:rsid w:val="008B7227"/>
    <w:rsid w:val="008C02FB"/>
    <w:rsid w:val="008C04E0"/>
    <w:rsid w:val="008C191C"/>
    <w:rsid w:val="008C1DA4"/>
    <w:rsid w:val="008C1DC2"/>
    <w:rsid w:val="008C2138"/>
    <w:rsid w:val="008C29B0"/>
    <w:rsid w:val="008C2CD5"/>
    <w:rsid w:val="008C33AE"/>
    <w:rsid w:val="008C3618"/>
    <w:rsid w:val="008C39E7"/>
    <w:rsid w:val="008C3CB2"/>
    <w:rsid w:val="008C43AD"/>
    <w:rsid w:val="008C6118"/>
    <w:rsid w:val="008C6341"/>
    <w:rsid w:val="008C653D"/>
    <w:rsid w:val="008C731F"/>
    <w:rsid w:val="008C74D9"/>
    <w:rsid w:val="008D2050"/>
    <w:rsid w:val="008D277B"/>
    <w:rsid w:val="008D3B2D"/>
    <w:rsid w:val="008D58D9"/>
    <w:rsid w:val="008D5AD4"/>
    <w:rsid w:val="008D5F3C"/>
    <w:rsid w:val="008D695E"/>
    <w:rsid w:val="008D6DD5"/>
    <w:rsid w:val="008D6E59"/>
    <w:rsid w:val="008D7155"/>
    <w:rsid w:val="008D76E0"/>
    <w:rsid w:val="008E0B29"/>
    <w:rsid w:val="008E141A"/>
    <w:rsid w:val="008E1A44"/>
    <w:rsid w:val="008E28E6"/>
    <w:rsid w:val="008E3232"/>
    <w:rsid w:val="008E3674"/>
    <w:rsid w:val="008E3B6C"/>
    <w:rsid w:val="008E3DE7"/>
    <w:rsid w:val="008E5227"/>
    <w:rsid w:val="008E562C"/>
    <w:rsid w:val="008E6540"/>
    <w:rsid w:val="008E6FBE"/>
    <w:rsid w:val="008E77D4"/>
    <w:rsid w:val="008E7ADD"/>
    <w:rsid w:val="008F091F"/>
    <w:rsid w:val="008F1304"/>
    <w:rsid w:val="008F17B2"/>
    <w:rsid w:val="008F22B3"/>
    <w:rsid w:val="008F357B"/>
    <w:rsid w:val="008F44CA"/>
    <w:rsid w:val="008F49D3"/>
    <w:rsid w:val="008F4E1E"/>
    <w:rsid w:val="008F6519"/>
    <w:rsid w:val="008F7012"/>
    <w:rsid w:val="008F7ADA"/>
    <w:rsid w:val="008F7B17"/>
    <w:rsid w:val="00900042"/>
    <w:rsid w:val="0090034B"/>
    <w:rsid w:val="0090087C"/>
    <w:rsid w:val="00901121"/>
    <w:rsid w:val="00901FCF"/>
    <w:rsid w:val="00902623"/>
    <w:rsid w:val="00902A67"/>
    <w:rsid w:val="00902C5E"/>
    <w:rsid w:val="009034F4"/>
    <w:rsid w:val="00904BE4"/>
    <w:rsid w:val="0090504A"/>
    <w:rsid w:val="009051F5"/>
    <w:rsid w:val="00905221"/>
    <w:rsid w:val="00905664"/>
    <w:rsid w:val="00905A7C"/>
    <w:rsid w:val="00905D7E"/>
    <w:rsid w:val="00907037"/>
    <w:rsid w:val="00907259"/>
    <w:rsid w:val="00910C5D"/>
    <w:rsid w:val="0091112C"/>
    <w:rsid w:val="0091160A"/>
    <w:rsid w:val="00912C56"/>
    <w:rsid w:val="00912E04"/>
    <w:rsid w:val="00913258"/>
    <w:rsid w:val="00913851"/>
    <w:rsid w:val="00913BB0"/>
    <w:rsid w:val="0091456C"/>
    <w:rsid w:val="00914C58"/>
    <w:rsid w:val="00914D78"/>
    <w:rsid w:val="00915529"/>
    <w:rsid w:val="0091564D"/>
    <w:rsid w:val="009156DA"/>
    <w:rsid w:val="00915766"/>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21B1"/>
    <w:rsid w:val="009327F0"/>
    <w:rsid w:val="00932ED7"/>
    <w:rsid w:val="0093422D"/>
    <w:rsid w:val="0093483B"/>
    <w:rsid w:val="00934CF9"/>
    <w:rsid w:val="00934DD7"/>
    <w:rsid w:val="00935CB2"/>
    <w:rsid w:val="00935CE6"/>
    <w:rsid w:val="009369A9"/>
    <w:rsid w:val="00936CF7"/>
    <w:rsid w:val="00937783"/>
    <w:rsid w:val="00937EAD"/>
    <w:rsid w:val="00937F28"/>
    <w:rsid w:val="00940FE1"/>
    <w:rsid w:val="00941474"/>
    <w:rsid w:val="00942306"/>
    <w:rsid w:val="009424B8"/>
    <w:rsid w:val="009432E2"/>
    <w:rsid w:val="00944668"/>
    <w:rsid w:val="00944DC6"/>
    <w:rsid w:val="009458B0"/>
    <w:rsid w:val="00945B52"/>
    <w:rsid w:val="00945B7A"/>
    <w:rsid w:val="00945F05"/>
    <w:rsid w:val="00946348"/>
    <w:rsid w:val="00947224"/>
    <w:rsid w:val="00947797"/>
    <w:rsid w:val="009478A2"/>
    <w:rsid w:val="009533BD"/>
    <w:rsid w:val="009536FB"/>
    <w:rsid w:val="00953808"/>
    <w:rsid w:val="009539A6"/>
    <w:rsid w:val="00954032"/>
    <w:rsid w:val="00954537"/>
    <w:rsid w:val="0095472D"/>
    <w:rsid w:val="00955342"/>
    <w:rsid w:val="00955FBB"/>
    <w:rsid w:val="0095694B"/>
    <w:rsid w:val="00956BD5"/>
    <w:rsid w:val="00956D84"/>
    <w:rsid w:val="009577B5"/>
    <w:rsid w:val="009608E6"/>
    <w:rsid w:val="00960F57"/>
    <w:rsid w:val="00961C90"/>
    <w:rsid w:val="009648E4"/>
    <w:rsid w:val="00965443"/>
    <w:rsid w:val="00965954"/>
    <w:rsid w:val="00965A21"/>
    <w:rsid w:val="00965E55"/>
    <w:rsid w:val="0096608E"/>
    <w:rsid w:val="00966522"/>
    <w:rsid w:val="00966C33"/>
    <w:rsid w:val="00970F18"/>
    <w:rsid w:val="00971CF1"/>
    <w:rsid w:val="00971F5D"/>
    <w:rsid w:val="009721E9"/>
    <w:rsid w:val="00973772"/>
    <w:rsid w:val="009747AF"/>
    <w:rsid w:val="0097560A"/>
    <w:rsid w:val="00975E1E"/>
    <w:rsid w:val="00975E70"/>
    <w:rsid w:val="009761DE"/>
    <w:rsid w:val="009766FA"/>
    <w:rsid w:val="00977CD6"/>
    <w:rsid w:val="0098048B"/>
    <w:rsid w:val="00980908"/>
    <w:rsid w:val="00980DF9"/>
    <w:rsid w:val="00981CD8"/>
    <w:rsid w:val="0098243D"/>
    <w:rsid w:val="00982D26"/>
    <w:rsid w:val="00983B6E"/>
    <w:rsid w:val="00983FE5"/>
    <w:rsid w:val="009849E9"/>
    <w:rsid w:val="00984AFF"/>
    <w:rsid w:val="009859E4"/>
    <w:rsid w:val="00985D7F"/>
    <w:rsid w:val="00987812"/>
    <w:rsid w:val="00990225"/>
    <w:rsid w:val="00991307"/>
    <w:rsid w:val="00991FAA"/>
    <w:rsid w:val="00992A13"/>
    <w:rsid w:val="00994AAD"/>
    <w:rsid w:val="00995150"/>
    <w:rsid w:val="00995D67"/>
    <w:rsid w:val="00997613"/>
    <w:rsid w:val="009A004F"/>
    <w:rsid w:val="009A013B"/>
    <w:rsid w:val="009A02F4"/>
    <w:rsid w:val="009A06BF"/>
    <w:rsid w:val="009A0D17"/>
    <w:rsid w:val="009A2494"/>
    <w:rsid w:val="009A32B1"/>
    <w:rsid w:val="009A33A3"/>
    <w:rsid w:val="009A36F2"/>
    <w:rsid w:val="009A40C3"/>
    <w:rsid w:val="009A40D5"/>
    <w:rsid w:val="009A5268"/>
    <w:rsid w:val="009A57D0"/>
    <w:rsid w:val="009A6559"/>
    <w:rsid w:val="009A68FC"/>
    <w:rsid w:val="009A6CE4"/>
    <w:rsid w:val="009A7514"/>
    <w:rsid w:val="009A7E7A"/>
    <w:rsid w:val="009B0925"/>
    <w:rsid w:val="009B1584"/>
    <w:rsid w:val="009B18F0"/>
    <w:rsid w:val="009B1F4C"/>
    <w:rsid w:val="009B2471"/>
    <w:rsid w:val="009B314F"/>
    <w:rsid w:val="009B439C"/>
    <w:rsid w:val="009B4478"/>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03C"/>
    <w:rsid w:val="009C6606"/>
    <w:rsid w:val="009C6CE5"/>
    <w:rsid w:val="009C6D50"/>
    <w:rsid w:val="009C72B2"/>
    <w:rsid w:val="009C7547"/>
    <w:rsid w:val="009D05EC"/>
    <w:rsid w:val="009D18D4"/>
    <w:rsid w:val="009D1FCF"/>
    <w:rsid w:val="009D2F60"/>
    <w:rsid w:val="009D3A2E"/>
    <w:rsid w:val="009D5ADE"/>
    <w:rsid w:val="009D5BAC"/>
    <w:rsid w:val="009D5C56"/>
    <w:rsid w:val="009D6265"/>
    <w:rsid w:val="009D64BD"/>
    <w:rsid w:val="009D6CB1"/>
    <w:rsid w:val="009E0286"/>
    <w:rsid w:val="009E153F"/>
    <w:rsid w:val="009E18C5"/>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5893"/>
    <w:rsid w:val="009F65F4"/>
    <w:rsid w:val="009F676B"/>
    <w:rsid w:val="009F6D2D"/>
    <w:rsid w:val="009F6D54"/>
    <w:rsid w:val="00A004DF"/>
    <w:rsid w:val="00A00FD5"/>
    <w:rsid w:val="00A012C0"/>
    <w:rsid w:val="00A019A8"/>
    <w:rsid w:val="00A01B03"/>
    <w:rsid w:val="00A01B89"/>
    <w:rsid w:val="00A02C66"/>
    <w:rsid w:val="00A02C84"/>
    <w:rsid w:val="00A0464C"/>
    <w:rsid w:val="00A050BB"/>
    <w:rsid w:val="00A0521B"/>
    <w:rsid w:val="00A054E0"/>
    <w:rsid w:val="00A05D91"/>
    <w:rsid w:val="00A06D94"/>
    <w:rsid w:val="00A0740B"/>
    <w:rsid w:val="00A07ED3"/>
    <w:rsid w:val="00A10CA8"/>
    <w:rsid w:val="00A11042"/>
    <w:rsid w:val="00A12579"/>
    <w:rsid w:val="00A12CDC"/>
    <w:rsid w:val="00A133D8"/>
    <w:rsid w:val="00A15655"/>
    <w:rsid w:val="00A160B0"/>
    <w:rsid w:val="00A1740C"/>
    <w:rsid w:val="00A17904"/>
    <w:rsid w:val="00A20069"/>
    <w:rsid w:val="00A2244D"/>
    <w:rsid w:val="00A2253D"/>
    <w:rsid w:val="00A2267F"/>
    <w:rsid w:val="00A22CDB"/>
    <w:rsid w:val="00A247B8"/>
    <w:rsid w:val="00A2495A"/>
    <w:rsid w:val="00A24C7A"/>
    <w:rsid w:val="00A24D8F"/>
    <w:rsid w:val="00A25B8B"/>
    <w:rsid w:val="00A2689F"/>
    <w:rsid w:val="00A26ECA"/>
    <w:rsid w:val="00A27461"/>
    <w:rsid w:val="00A27D67"/>
    <w:rsid w:val="00A30ABC"/>
    <w:rsid w:val="00A33489"/>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951"/>
    <w:rsid w:val="00A43A26"/>
    <w:rsid w:val="00A447A0"/>
    <w:rsid w:val="00A459F5"/>
    <w:rsid w:val="00A45FC0"/>
    <w:rsid w:val="00A46B74"/>
    <w:rsid w:val="00A47BF7"/>
    <w:rsid w:val="00A47ECC"/>
    <w:rsid w:val="00A50171"/>
    <w:rsid w:val="00A504FA"/>
    <w:rsid w:val="00A5102E"/>
    <w:rsid w:val="00A5132E"/>
    <w:rsid w:val="00A51375"/>
    <w:rsid w:val="00A51533"/>
    <w:rsid w:val="00A531D4"/>
    <w:rsid w:val="00A54572"/>
    <w:rsid w:val="00A56D4D"/>
    <w:rsid w:val="00A575B8"/>
    <w:rsid w:val="00A619BB"/>
    <w:rsid w:val="00A61C60"/>
    <w:rsid w:val="00A61ECB"/>
    <w:rsid w:val="00A631C4"/>
    <w:rsid w:val="00A637FB"/>
    <w:rsid w:val="00A6410C"/>
    <w:rsid w:val="00A647B1"/>
    <w:rsid w:val="00A64DEF"/>
    <w:rsid w:val="00A654D2"/>
    <w:rsid w:val="00A665DF"/>
    <w:rsid w:val="00A66D4D"/>
    <w:rsid w:val="00A67FCC"/>
    <w:rsid w:val="00A705F5"/>
    <w:rsid w:val="00A70AA5"/>
    <w:rsid w:val="00A70C03"/>
    <w:rsid w:val="00A71256"/>
    <w:rsid w:val="00A7217B"/>
    <w:rsid w:val="00A722D7"/>
    <w:rsid w:val="00A723A3"/>
    <w:rsid w:val="00A73861"/>
    <w:rsid w:val="00A739A6"/>
    <w:rsid w:val="00A740ED"/>
    <w:rsid w:val="00A74C29"/>
    <w:rsid w:val="00A74C62"/>
    <w:rsid w:val="00A75EF9"/>
    <w:rsid w:val="00A7657C"/>
    <w:rsid w:val="00A8311C"/>
    <w:rsid w:val="00A83295"/>
    <w:rsid w:val="00A835D0"/>
    <w:rsid w:val="00A84C5F"/>
    <w:rsid w:val="00A85930"/>
    <w:rsid w:val="00A863F7"/>
    <w:rsid w:val="00A86604"/>
    <w:rsid w:val="00A87519"/>
    <w:rsid w:val="00A9246D"/>
    <w:rsid w:val="00A92CCA"/>
    <w:rsid w:val="00A93BD0"/>
    <w:rsid w:val="00A93CC2"/>
    <w:rsid w:val="00A94D4B"/>
    <w:rsid w:val="00A974CC"/>
    <w:rsid w:val="00A97889"/>
    <w:rsid w:val="00AA05FB"/>
    <w:rsid w:val="00AA07B5"/>
    <w:rsid w:val="00AA2001"/>
    <w:rsid w:val="00AA2B5C"/>
    <w:rsid w:val="00AA32D2"/>
    <w:rsid w:val="00AA3B8B"/>
    <w:rsid w:val="00AA4016"/>
    <w:rsid w:val="00AA4C1F"/>
    <w:rsid w:val="00AA5328"/>
    <w:rsid w:val="00AA5393"/>
    <w:rsid w:val="00AA63D4"/>
    <w:rsid w:val="00AB03FD"/>
    <w:rsid w:val="00AB2000"/>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396"/>
    <w:rsid w:val="00AC5B36"/>
    <w:rsid w:val="00AC6377"/>
    <w:rsid w:val="00AC66A4"/>
    <w:rsid w:val="00AC6CB1"/>
    <w:rsid w:val="00AC75E9"/>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297"/>
    <w:rsid w:val="00AE33A6"/>
    <w:rsid w:val="00AE3513"/>
    <w:rsid w:val="00AE3729"/>
    <w:rsid w:val="00AE4A3E"/>
    <w:rsid w:val="00AE4CCE"/>
    <w:rsid w:val="00AE51C2"/>
    <w:rsid w:val="00AE5C6A"/>
    <w:rsid w:val="00AE7280"/>
    <w:rsid w:val="00AF01FA"/>
    <w:rsid w:val="00AF033A"/>
    <w:rsid w:val="00AF1658"/>
    <w:rsid w:val="00AF1699"/>
    <w:rsid w:val="00AF1FD3"/>
    <w:rsid w:val="00AF2910"/>
    <w:rsid w:val="00AF34B8"/>
    <w:rsid w:val="00AF3896"/>
    <w:rsid w:val="00AF39C9"/>
    <w:rsid w:val="00AF3FC2"/>
    <w:rsid w:val="00AF4DEC"/>
    <w:rsid w:val="00B003FF"/>
    <w:rsid w:val="00B0098A"/>
    <w:rsid w:val="00B00A5F"/>
    <w:rsid w:val="00B029B8"/>
    <w:rsid w:val="00B02F60"/>
    <w:rsid w:val="00B02F94"/>
    <w:rsid w:val="00B032B8"/>
    <w:rsid w:val="00B04721"/>
    <w:rsid w:val="00B04B15"/>
    <w:rsid w:val="00B04B46"/>
    <w:rsid w:val="00B050F2"/>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80B"/>
    <w:rsid w:val="00B14A06"/>
    <w:rsid w:val="00B158E1"/>
    <w:rsid w:val="00B16715"/>
    <w:rsid w:val="00B1768E"/>
    <w:rsid w:val="00B17910"/>
    <w:rsid w:val="00B20F18"/>
    <w:rsid w:val="00B21516"/>
    <w:rsid w:val="00B21A37"/>
    <w:rsid w:val="00B21CDE"/>
    <w:rsid w:val="00B21D23"/>
    <w:rsid w:val="00B21F62"/>
    <w:rsid w:val="00B22CE0"/>
    <w:rsid w:val="00B23738"/>
    <w:rsid w:val="00B23BEF"/>
    <w:rsid w:val="00B24253"/>
    <w:rsid w:val="00B247BB"/>
    <w:rsid w:val="00B2504A"/>
    <w:rsid w:val="00B25EE6"/>
    <w:rsid w:val="00B3115A"/>
    <w:rsid w:val="00B3178B"/>
    <w:rsid w:val="00B31825"/>
    <w:rsid w:val="00B31A5C"/>
    <w:rsid w:val="00B32265"/>
    <w:rsid w:val="00B3276D"/>
    <w:rsid w:val="00B33B06"/>
    <w:rsid w:val="00B33C19"/>
    <w:rsid w:val="00B35A15"/>
    <w:rsid w:val="00B35B45"/>
    <w:rsid w:val="00B36165"/>
    <w:rsid w:val="00B36A99"/>
    <w:rsid w:val="00B42264"/>
    <w:rsid w:val="00B42EF9"/>
    <w:rsid w:val="00B434B2"/>
    <w:rsid w:val="00B43D45"/>
    <w:rsid w:val="00B459AF"/>
    <w:rsid w:val="00B468F2"/>
    <w:rsid w:val="00B469DE"/>
    <w:rsid w:val="00B47286"/>
    <w:rsid w:val="00B47EB4"/>
    <w:rsid w:val="00B50234"/>
    <w:rsid w:val="00B51BF4"/>
    <w:rsid w:val="00B52C68"/>
    <w:rsid w:val="00B5372B"/>
    <w:rsid w:val="00B542FE"/>
    <w:rsid w:val="00B55A1B"/>
    <w:rsid w:val="00B561B3"/>
    <w:rsid w:val="00B561DB"/>
    <w:rsid w:val="00B56DF9"/>
    <w:rsid w:val="00B56E80"/>
    <w:rsid w:val="00B571F1"/>
    <w:rsid w:val="00B600BD"/>
    <w:rsid w:val="00B60281"/>
    <w:rsid w:val="00B60E4E"/>
    <w:rsid w:val="00B61274"/>
    <w:rsid w:val="00B61DCE"/>
    <w:rsid w:val="00B62188"/>
    <w:rsid w:val="00B62F79"/>
    <w:rsid w:val="00B62F82"/>
    <w:rsid w:val="00B6306A"/>
    <w:rsid w:val="00B635E3"/>
    <w:rsid w:val="00B662FF"/>
    <w:rsid w:val="00B66679"/>
    <w:rsid w:val="00B70145"/>
    <w:rsid w:val="00B71A92"/>
    <w:rsid w:val="00B721D8"/>
    <w:rsid w:val="00B730CA"/>
    <w:rsid w:val="00B732EA"/>
    <w:rsid w:val="00B73747"/>
    <w:rsid w:val="00B747C5"/>
    <w:rsid w:val="00B74F2F"/>
    <w:rsid w:val="00B753ED"/>
    <w:rsid w:val="00B7665F"/>
    <w:rsid w:val="00B769BC"/>
    <w:rsid w:val="00B76C41"/>
    <w:rsid w:val="00B770F7"/>
    <w:rsid w:val="00B77349"/>
    <w:rsid w:val="00B7761E"/>
    <w:rsid w:val="00B80A3D"/>
    <w:rsid w:val="00B80B04"/>
    <w:rsid w:val="00B821E4"/>
    <w:rsid w:val="00B823E0"/>
    <w:rsid w:val="00B8260D"/>
    <w:rsid w:val="00B82B78"/>
    <w:rsid w:val="00B845B4"/>
    <w:rsid w:val="00B84662"/>
    <w:rsid w:val="00B84C74"/>
    <w:rsid w:val="00B84CE9"/>
    <w:rsid w:val="00B85191"/>
    <w:rsid w:val="00B858A1"/>
    <w:rsid w:val="00B85FEC"/>
    <w:rsid w:val="00B864A3"/>
    <w:rsid w:val="00B86C2A"/>
    <w:rsid w:val="00B902A5"/>
    <w:rsid w:val="00B90420"/>
    <w:rsid w:val="00B90848"/>
    <w:rsid w:val="00B91146"/>
    <w:rsid w:val="00B913E4"/>
    <w:rsid w:val="00B91DB9"/>
    <w:rsid w:val="00B91FF3"/>
    <w:rsid w:val="00B925F8"/>
    <w:rsid w:val="00B93EFE"/>
    <w:rsid w:val="00B944B9"/>
    <w:rsid w:val="00B94956"/>
    <w:rsid w:val="00B94C7F"/>
    <w:rsid w:val="00B94E93"/>
    <w:rsid w:val="00B956B5"/>
    <w:rsid w:val="00B95956"/>
    <w:rsid w:val="00B96DF2"/>
    <w:rsid w:val="00B96E18"/>
    <w:rsid w:val="00B96F5A"/>
    <w:rsid w:val="00BA0B39"/>
    <w:rsid w:val="00BA0CB2"/>
    <w:rsid w:val="00BA0E26"/>
    <w:rsid w:val="00BA138B"/>
    <w:rsid w:val="00BA305B"/>
    <w:rsid w:val="00BA31BF"/>
    <w:rsid w:val="00BA3C0F"/>
    <w:rsid w:val="00BA3FC7"/>
    <w:rsid w:val="00BA478B"/>
    <w:rsid w:val="00BA5224"/>
    <w:rsid w:val="00BA575E"/>
    <w:rsid w:val="00BA76B7"/>
    <w:rsid w:val="00BA7E3B"/>
    <w:rsid w:val="00BB078D"/>
    <w:rsid w:val="00BB079C"/>
    <w:rsid w:val="00BB0CC8"/>
    <w:rsid w:val="00BB0D7A"/>
    <w:rsid w:val="00BB10E1"/>
    <w:rsid w:val="00BB2471"/>
    <w:rsid w:val="00BB3035"/>
    <w:rsid w:val="00BB39C1"/>
    <w:rsid w:val="00BB3DF5"/>
    <w:rsid w:val="00BB3EA7"/>
    <w:rsid w:val="00BB5909"/>
    <w:rsid w:val="00BB5D16"/>
    <w:rsid w:val="00BB6180"/>
    <w:rsid w:val="00BB69E6"/>
    <w:rsid w:val="00BB7323"/>
    <w:rsid w:val="00BB7BE5"/>
    <w:rsid w:val="00BC08BD"/>
    <w:rsid w:val="00BC11E8"/>
    <w:rsid w:val="00BC1B7A"/>
    <w:rsid w:val="00BC2C17"/>
    <w:rsid w:val="00BC3ACD"/>
    <w:rsid w:val="00BC3B20"/>
    <w:rsid w:val="00BC3EE4"/>
    <w:rsid w:val="00BC588C"/>
    <w:rsid w:val="00BC6E73"/>
    <w:rsid w:val="00BC74D3"/>
    <w:rsid w:val="00BC7DAC"/>
    <w:rsid w:val="00BD0014"/>
    <w:rsid w:val="00BD01D8"/>
    <w:rsid w:val="00BD255F"/>
    <w:rsid w:val="00BD2895"/>
    <w:rsid w:val="00BD4236"/>
    <w:rsid w:val="00BD483B"/>
    <w:rsid w:val="00BD51F9"/>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2E9"/>
    <w:rsid w:val="00BF4342"/>
    <w:rsid w:val="00BF4704"/>
    <w:rsid w:val="00BF4FFC"/>
    <w:rsid w:val="00BF5050"/>
    <w:rsid w:val="00BF50D1"/>
    <w:rsid w:val="00BF5422"/>
    <w:rsid w:val="00BF59B1"/>
    <w:rsid w:val="00BF6625"/>
    <w:rsid w:val="00BF6A78"/>
    <w:rsid w:val="00BF7695"/>
    <w:rsid w:val="00BF79B4"/>
    <w:rsid w:val="00BF7C61"/>
    <w:rsid w:val="00C01427"/>
    <w:rsid w:val="00C014C7"/>
    <w:rsid w:val="00C031CF"/>
    <w:rsid w:val="00C047AB"/>
    <w:rsid w:val="00C058AF"/>
    <w:rsid w:val="00C075B6"/>
    <w:rsid w:val="00C124C1"/>
    <w:rsid w:val="00C128AE"/>
    <w:rsid w:val="00C12BA8"/>
    <w:rsid w:val="00C13094"/>
    <w:rsid w:val="00C136D6"/>
    <w:rsid w:val="00C13D5B"/>
    <w:rsid w:val="00C141D7"/>
    <w:rsid w:val="00C1711B"/>
    <w:rsid w:val="00C17AE2"/>
    <w:rsid w:val="00C20140"/>
    <w:rsid w:val="00C20848"/>
    <w:rsid w:val="00C20F27"/>
    <w:rsid w:val="00C215CF"/>
    <w:rsid w:val="00C2244B"/>
    <w:rsid w:val="00C22711"/>
    <w:rsid w:val="00C2280A"/>
    <w:rsid w:val="00C22B0D"/>
    <w:rsid w:val="00C22BFF"/>
    <w:rsid w:val="00C23522"/>
    <w:rsid w:val="00C240C1"/>
    <w:rsid w:val="00C244A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4619"/>
    <w:rsid w:val="00C348D9"/>
    <w:rsid w:val="00C35D01"/>
    <w:rsid w:val="00C360B3"/>
    <w:rsid w:val="00C37027"/>
    <w:rsid w:val="00C373BF"/>
    <w:rsid w:val="00C37B19"/>
    <w:rsid w:val="00C41349"/>
    <w:rsid w:val="00C413CB"/>
    <w:rsid w:val="00C41966"/>
    <w:rsid w:val="00C42752"/>
    <w:rsid w:val="00C42973"/>
    <w:rsid w:val="00C46B95"/>
    <w:rsid w:val="00C4712A"/>
    <w:rsid w:val="00C5034F"/>
    <w:rsid w:val="00C50830"/>
    <w:rsid w:val="00C52479"/>
    <w:rsid w:val="00C5266E"/>
    <w:rsid w:val="00C52C59"/>
    <w:rsid w:val="00C5349E"/>
    <w:rsid w:val="00C539FF"/>
    <w:rsid w:val="00C544BD"/>
    <w:rsid w:val="00C5478D"/>
    <w:rsid w:val="00C54D3D"/>
    <w:rsid w:val="00C55A30"/>
    <w:rsid w:val="00C56384"/>
    <w:rsid w:val="00C60F8C"/>
    <w:rsid w:val="00C61424"/>
    <w:rsid w:val="00C61794"/>
    <w:rsid w:val="00C62A48"/>
    <w:rsid w:val="00C62AC4"/>
    <w:rsid w:val="00C62B59"/>
    <w:rsid w:val="00C62F96"/>
    <w:rsid w:val="00C631E1"/>
    <w:rsid w:val="00C638D8"/>
    <w:rsid w:val="00C63A43"/>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23C"/>
    <w:rsid w:val="00C827B4"/>
    <w:rsid w:val="00C83214"/>
    <w:rsid w:val="00C83257"/>
    <w:rsid w:val="00C8329F"/>
    <w:rsid w:val="00C84F8A"/>
    <w:rsid w:val="00C85BA4"/>
    <w:rsid w:val="00C8618F"/>
    <w:rsid w:val="00C8625D"/>
    <w:rsid w:val="00C90372"/>
    <w:rsid w:val="00C9041F"/>
    <w:rsid w:val="00C90A64"/>
    <w:rsid w:val="00C9166B"/>
    <w:rsid w:val="00C91945"/>
    <w:rsid w:val="00C91A45"/>
    <w:rsid w:val="00C91FB4"/>
    <w:rsid w:val="00C92150"/>
    <w:rsid w:val="00C92328"/>
    <w:rsid w:val="00C92D42"/>
    <w:rsid w:val="00C938C2"/>
    <w:rsid w:val="00C93F8A"/>
    <w:rsid w:val="00C94EA1"/>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46E1"/>
    <w:rsid w:val="00CB5010"/>
    <w:rsid w:val="00CB53E8"/>
    <w:rsid w:val="00CB594A"/>
    <w:rsid w:val="00CB5CB2"/>
    <w:rsid w:val="00CB6979"/>
    <w:rsid w:val="00CB7DDE"/>
    <w:rsid w:val="00CC0A3D"/>
    <w:rsid w:val="00CC2FF0"/>
    <w:rsid w:val="00CC3C53"/>
    <w:rsid w:val="00CC3D24"/>
    <w:rsid w:val="00CC3F91"/>
    <w:rsid w:val="00CC47EE"/>
    <w:rsid w:val="00CC4ACD"/>
    <w:rsid w:val="00CC4B0A"/>
    <w:rsid w:val="00CC4CD2"/>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5DAD"/>
    <w:rsid w:val="00CD72C5"/>
    <w:rsid w:val="00CD79A7"/>
    <w:rsid w:val="00CD7FAD"/>
    <w:rsid w:val="00CE0789"/>
    <w:rsid w:val="00CE0E8D"/>
    <w:rsid w:val="00CE1A03"/>
    <w:rsid w:val="00CE2346"/>
    <w:rsid w:val="00CE25B2"/>
    <w:rsid w:val="00CE3529"/>
    <w:rsid w:val="00CE35C8"/>
    <w:rsid w:val="00CE3962"/>
    <w:rsid w:val="00CE4D0A"/>
    <w:rsid w:val="00CE4D1A"/>
    <w:rsid w:val="00CE4E8A"/>
    <w:rsid w:val="00CE5105"/>
    <w:rsid w:val="00CE56BD"/>
    <w:rsid w:val="00CE5EC0"/>
    <w:rsid w:val="00CE68AD"/>
    <w:rsid w:val="00CE6F9F"/>
    <w:rsid w:val="00CE781A"/>
    <w:rsid w:val="00CE7B08"/>
    <w:rsid w:val="00CE7D52"/>
    <w:rsid w:val="00CF0AB7"/>
    <w:rsid w:val="00CF1D74"/>
    <w:rsid w:val="00CF2BE2"/>
    <w:rsid w:val="00CF3DEB"/>
    <w:rsid w:val="00CF55F9"/>
    <w:rsid w:val="00CF7074"/>
    <w:rsid w:val="00CF7495"/>
    <w:rsid w:val="00D01CF9"/>
    <w:rsid w:val="00D0334D"/>
    <w:rsid w:val="00D0374D"/>
    <w:rsid w:val="00D0391F"/>
    <w:rsid w:val="00D06D7B"/>
    <w:rsid w:val="00D06DA5"/>
    <w:rsid w:val="00D07191"/>
    <w:rsid w:val="00D07F1D"/>
    <w:rsid w:val="00D10558"/>
    <w:rsid w:val="00D11D4D"/>
    <w:rsid w:val="00D11DB1"/>
    <w:rsid w:val="00D126DC"/>
    <w:rsid w:val="00D12B03"/>
    <w:rsid w:val="00D13E70"/>
    <w:rsid w:val="00D13EE7"/>
    <w:rsid w:val="00D15FCD"/>
    <w:rsid w:val="00D16C58"/>
    <w:rsid w:val="00D17019"/>
    <w:rsid w:val="00D17FC8"/>
    <w:rsid w:val="00D2015B"/>
    <w:rsid w:val="00D20B44"/>
    <w:rsid w:val="00D20F15"/>
    <w:rsid w:val="00D21168"/>
    <w:rsid w:val="00D2385D"/>
    <w:rsid w:val="00D2438C"/>
    <w:rsid w:val="00D2585A"/>
    <w:rsid w:val="00D259B0"/>
    <w:rsid w:val="00D259C2"/>
    <w:rsid w:val="00D26C3F"/>
    <w:rsid w:val="00D27185"/>
    <w:rsid w:val="00D3028A"/>
    <w:rsid w:val="00D33488"/>
    <w:rsid w:val="00D33AB3"/>
    <w:rsid w:val="00D33F24"/>
    <w:rsid w:val="00D34160"/>
    <w:rsid w:val="00D346B8"/>
    <w:rsid w:val="00D34DCA"/>
    <w:rsid w:val="00D35AC8"/>
    <w:rsid w:val="00D36F87"/>
    <w:rsid w:val="00D37696"/>
    <w:rsid w:val="00D37E4E"/>
    <w:rsid w:val="00D4032D"/>
    <w:rsid w:val="00D417D8"/>
    <w:rsid w:val="00D41F78"/>
    <w:rsid w:val="00D42E6C"/>
    <w:rsid w:val="00D4351C"/>
    <w:rsid w:val="00D43B80"/>
    <w:rsid w:val="00D44988"/>
    <w:rsid w:val="00D45B4C"/>
    <w:rsid w:val="00D45BA4"/>
    <w:rsid w:val="00D471AF"/>
    <w:rsid w:val="00D471E2"/>
    <w:rsid w:val="00D4724F"/>
    <w:rsid w:val="00D50519"/>
    <w:rsid w:val="00D50779"/>
    <w:rsid w:val="00D51601"/>
    <w:rsid w:val="00D51ECB"/>
    <w:rsid w:val="00D5264C"/>
    <w:rsid w:val="00D52BBC"/>
    <w:rsid w:val="00D537FE"/>
    <w:rsid w:val="00D53CC9"/>
    <w:rsid w:val="00D54A6A"/>
    <w:rsid w:val="00D54B8F"/>
    <w:rsid w:val="00D55848"/>
    <w:rsid w:val="00D55951"/>
    <w:rsid w:val="00D559F0"/>
    <w:rsid w:val="00D5650F"/>
    <w:rsid w:val="00D57EB6"/>
    <w:rsid w:val="00D608C0"/>
    <w:rsid w:val="00D60D6D"/>
    <w:rsid w:val="00D6128C"/>
    <w:rsid w:val="00D63B22"/>
    <w:rsid w:val="00D66D8B"/>
    <w:rsid w:val="00D70849"/>
    <w:rsid w:val="00D72297"/>
    <w:rsid w:val="00D72A1C"/>
    <w:rsid w:val="00D7308F"/>
    <w:rsid w:val="00D7313E"/>
    <w:rsid w:val="00D73580"/>
    <w:rsid w:val="00D73802"/>
    <w:rsid w:val="00D73C2C"/>
    <w:rsid w:val="00D73D52"/>
    <w:rsid w:val="00D745E7"/>
    <w:rsid w:val="00D75FDA"/>
    <w:rsid w:val="00D774ED"/>
    <w:rsid w:val="00D777C3"/>
    <w:rsid w:val="00D7797C"/>
    <w:rsid w:val="00D77C44"/>
    <w:rsid w:val="00D77F88"/>
    <w:rsid w:val="00D81AFA"/>
    <w:rsid w:val="00D81EAA"/>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6D47"/>
    <w:rsid w:val="00D8710C"/>
    <w:rsid w:val="00D873C6"/>
    <w:rsid w:val="00D9074A"/>
    <w:rsid w:val="00D9099E"/>
    <w:rsid w:val="00D9193A"/>
    <w:rsid w:val="00D91EDB"/>
    <w:rsid w:val="00D923B2"/>
    <w:rsid w:val="00D92463"/>
    <w:rsid w:val="00D93E64"/>
    <w:rsid w:val="00D93F64"/>
    <w:rsid w:val="00D94CA4"/>
    <w:rsid w:val="00D95E99"/>
    <w:rsid w:val="00D965D5"/>
    <w:rsid w:val="00D97DA2"/>
    <w:rsid w:val="00DA0485"/>
    <w:rsid w:val="00DA074F"/>
    <w:rsid w:val="00DA1A3A"/>
    <w:rsid w:val="00DA2351"/>
    <w:rsid w:val="00DA249E"/>
    <w:rsid w:val="00DA2D3D"/>
    <w:rsid w:val="00DA3855"/>
    <w:rsid w:val="00DA39BA"/>
    <w:rsid w:val="00DA4C30"/>
    <w:rsid w:val="00DA6A44"/>
    <w:rsid w:val="00DA7A3C"/>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2DE8"/>
    <w:rsid w:val="00DC34DC"/>
    <w:rsid w:val="00DC3780"/>
    <w:rsid w:val="00DC3ADA"/>
    <w:rsid w:val="00DC3CC6"/>
    <w:rsid w:val="00DC3F55"/>
    <w:rsid w:val="00DC4782"/>
    <w:rsid w:val="00DC514A"/>
    <w:rsid w:val="00DC67B1"/>
    <w:rsid w:val="00DC7FBC"/>
    <w:rsid w:val="00DD0019"/>
    <w:rsid w:val="00DD132B"/>
    <w:rsid w:val="00DD1725"/>
    <w:rsid w:val="00DD1B09"/>
    <w:rsid w:val="00DD2159"/>
    <w:rsid w:val="00DD218B"/>
    <w:rsid w:val="00DD28BA"/>
    <w:rsid w:val="00DD2A18"/>
    <w:rsid w:val="00DD3044"/>
    <w:rsid w:val="00DD3985"/>
    <w:rsid w:val="00DD61E8"/>
    <w:rsid w:val="00DD62C0"/>
    <w:rsid w:val="00DD64DE"/>
    <w:rsid w:val="00DD66DE"/>
    <w:rsid w:val="00DD7859"/>
    <w:rsid w:val="00DD7B41"/>
    <w:rsid w:val="00DD7DB0"/>
    <w:rsid w:val="00DE0784"/>
    <w:rsid w:val="00DE0A1D"/>
    <w:rsid w:val="00DE15B2"/>
    <w:rsid w:val="00DE1A9A"/>
    <w:rsid w:val="00DE3D2C"/>
    <w:rsid w:val="00DE4757"/>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419"/>
    <w:rsid w:val="00E009B0"/>
    <w:rsid w:val="00E00A12"/>
    <w:rsid w:val="00E00B39"/>
    <w:rsid w:val="00E00C49"/>
    <w:rsid w:val="00E01C9C"/>
    <w:rsid w:val="00E0219D"/>
    <w:rsid w:val="00E04C0F"/>
    <w:rsid w:val="00E0570B"/>
    <w:rsid w:val="00E069C5"/>
    <w:rsid w:val="00E101E7"/>
    <w:rsid w:val="00E10913"/>
    <w:rsid w:val="00E10B87"/>
    <w:rsid w:val="00E121CE"/>
    <w:rsid w:val="00E12209"/>
    <w:rsid w:val="00E1478B"/>
    <w:rsid w:val="00E14FAC"/>
    <w:rsid w:val="00E15007"/>
    <w:rsid w:val="00E16277"/>
    <w:rsid w:val="00E16EC7"/>
    <w:rsid w:val="00E17DCC"/>
    <w:rsid w:val="00E219CE"/>
    <w:rsid w:val="00E21D93"/>
    <w:rsid w:val="00E22954"/>
    <w:rsid w:val="00E22D2A"/>
    <w:rsid w:val="00E24071"/>
    <w:rsid w:val="00E24DCA"/>
    <w:rsid w:val="00E24EBC"/>
    <w:rsid w:val="00E2522C"/>
    <w:rsid w:val="00E2552F"/>
    <w:rsid w:val="00E2599B"/>
    <w:rsid w:val="00E2710C"/>
    <w:rsid w:val="00E272BD"/>
    <w:rsid w:val="00E27428"/>
    <w:rsid w:val="00E305B4"/>
    <w:rsid w:val="00E31AFA"/>
    <w:rsid w:val="00E31CB7"/>
    <w:rsid w:val="00E324EE"/>
    <w:rsid w:val="00E32C27"/>
    <w:rsid w:val="00E34DB1"/>
    <w:rsid w:val="00E35931"/>
    <w:rsid w:val="00E359FF"/>
    <w:rsid w:val="00E36172"/>
    <w:rsid w:val="00E3699A"/>
    <w:rsid w:val="00E402C5"/>
    <w:rsid w:val="00E402F4"/>
    <w:rsid w:val="00E405F1"/>
    <w:rsid w:val="00E417DB"/>
    <w:rsid w:val="00E43054"/>
    <w:rsid w:val="00E43655"/>
    <w:rsid w:val="00E44440"/>
    <w:rsid w:val="00E46013"/>
    <w:rsid w:val="00E47099"/>
    <w:rsid w:val="00E47284"/>
    <w:rsid w:val="00E477C3"/>
    <w:rsid w:val="00E506F1"/>
    <w:rsid w:val="00E514A5"/>
    <w:rsid w:val="00E51E16"/>
    <w:rsid w:val="00E52DED"/>
    <w:rsid w:val="00E53730"/>
    <w:rsid w:val="00E5438D"/>
    <w:rsid w:val="00E54511"/>
    <w:rsid w:val="00E54E50"/>
    <w:rsid w:val="00E55288"/>
    <w:rsid w:val="00E57577"/>
    <w:rsid w:val="00E62043"/>
    <w:rsid w:val="00E624CB"/>
    <w:rsid w:val="00E626B9"/>
    <w:rsid w:val="00E627C9"/>
    <w:rsid w:val="00E630F3"/>
    <w:rsid w:val="00E6332F"/>
    <w:rsid w:val="00E637C9"/>
    <w:rsid w:val="00E63B54"/>
    <w:rsid w:val="00E6402D"/>
    <w:rsid w:val="00E6496D"/>
    <w:rsid w:val="00E6680A"/>
    <w:rsid w:val="00E66F0D"/>
    <w:rsid w:val="00E70615"/>
    <w:rsid w:val="00E7161E"/>
    <w:rsid w:val="00E7207B"/>
    <w:rsid w:val="00E72DCE"/>
    <w:rsid w:val="00E7347A"/>
    <w:rsid w:val="00E75A47"/>
    <w:rsid w:val="00E75BB6"/>
    <w:rsid w:val="00E75D8C"/>
    <w:rsid w:val="00E777F2"/>
    <w:rsid w:val="00E802C9"/>
    <w:rsid w:val="00E80BFB"/>
    <w:rsid w:val="00E80C00"/>
    <w:rsid w:val="00E80EC2"/>
    <w:rsid w:val="00E80F0A"/>
    <w:rsid w:val="00E815D4"/>
    <w:rsid w:val="00E8291B"/>
    <w:rsid w:val="00E82E70"/>
    <w:rsid w:val="00E82F92"/>
    <w:rsid w:val="00E8395F"/>
    <w:rsid w:val="00E8410F"/>
    <w:rsid w:val="00E849D7"/>
    <w:rsid w:val="00E853E8"/>
    <w:rsid w:val="00E85E41"/>
    <w:rsid w:val="00E85EA1"/>
    <w:rsid w:val="00E86703"/>
    <w:rsid w:val="00E900DA"/>
    <w:rsid w:val="00E91044"/>
    <w:rsid w:val="00E910D3"/>
    <w:rsid w:val="00E91E6B"/>
    <w:rsid w:val="00E9209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430A"/>
    <w:rsid w:val="00EB559F"/>
    <w:rsid w:val="00EB566C"/>
    <w:rsid w:val="00EB5A18"/>
    <w:rsid w:val="00EB5F16"/>
    <w:rsid w:val="00EB5F3D"/>
    <w:rsid w:val="00EB6C97"/>
    <w:rsid w:val="00EC1CEB"/>
    <w:rsid w:val="00EC1DC0"/>
    <w:rsid w:val="00EC1DC2"/>
    <w:rsid w:val="00EC1E09"/>
    <w:rsid w:val="00EC210E"/>
    <w:rsid w:val="00EC21EC"/>
    <w:rsid w:val="00EC24B8"/>
    <w:rsid w:val="00EC268C"/>
    <w:rsid w:val="00EC3613"/>
    <w:rsid w:val="00EC3753"/>
    <w:rsid w:val="00EC4E71"/>
    <w:rsid w:val="00EC5F1C"/>
    <w:rsid w:val="00ED0365"/>
    <w:rsid w:val="00ED0865"/>
    <w:rsid w:val="00ED0C1C"/>
    <w:rsid w:val="00ED1C60"/>
    <w:rsid w:val="00ED2EB9"/>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73D0"/>
    <w:rsid w:val="00EE7CB0"/>
    <w:rsid w:val="00EF08A8"/>
    <w:rsid w:val="00EF167B"/>
    <w:rsid w:val="00EF2496"/>
    <w:rsid w:val="00EF41A8"/>
    <w:rsid w:val="00EF44FB"/>
    <w:rsid w:val="00EF5122"/>
    <w:rsid w:val="00EF5554"/>
    <w:rsid w:val="00EF5AD8"/>
    <w:rsid w:val="00EF6B90"/>
    <w:rsid w:val="00EF7807"/>
    <w:rsid w:val="00EF79F7"/>
    <w:rsid w:val="00F006C0"/>
    <w:rsid w:val="00F0125F"/>
    <w:rsid w:val="00F019AA"/>
    <w:rsid w:val="00F022BF"/>
    <w:rsid w:val="00F0267E"/>
    <w:rsid w:val="00F02686"/>
    <w:rsid w:val="00F030C0"/>
    <w:rsid w:val="00F03291"/>
    <w:rsid w:val="00F03A85"/>
    <w:rsid w:val="00F0459B"/>
    <w:rsid w:val="00F04DA4"/>
    <w:rsid w:val="00F04E15"/>
    <w:rsid w:val="00F05DF3"/>
    <w:rsid w:val="00F06829"/>
    <w:rsid w:val="00F069EA"/>
    <w:rsid w:val="00F070E5"/>
    <w:rsid w:val="00F07DDE"/>
    <w:rsid w:val="00F11675"/>
    <w:rsid w:val="00F123DA"/>
    <w:rsid w:val="00F12557"/>
    <w:rsid w:val="00F13599"/>
    <w:rsid w:val="00F13B28"/>
    <w:rsid w:val="00F142C9"/>
    <w:rsid w:val="00F156A0"/>
    <w:rsid w:val="00F15730"/>
    <w:rsid w:val="00F176A6"/>
    <w:rsid w:val="00F202C2"/>
    <w:rsid w:val="00F212F6"/>
    <w:rsid w:val="00F22756"/>
    <w:rsid w:val="00F23248"/>
    <w:rsid w:val="00F23890"/>
    <w:rsid w:val="00F23C0F"/>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2FCF"/>
    <w:rsid w:val="00F436B2"/>
    <w:rsid w:val="00F43813"/>
    <w:rsid w:val="00F43FEE"/>
    <w:rsid w:val="00F4492F"/>
    <w:rsid w:val="00F45A72"/>
    <w:rsid w:val="00F46723"/>
    <w:rsid w:val="00F4706D"/>
    <w:rsid w:val="00F476E1"/>
    <w:rsid w:val="00F47D1D"/>
    <w:rsid w:val="00F47F29"/>
    <w:rsid w:val="00F50016"/>
    <w:rsid w:val="00F5014C"/>
    <w:rsid w:val="00F5118A"/>
    <w:rsid w:val="00F51A21"/>
    <w:rsid w:val="00F522F7"/>
    <w:rsid w:val="00F52614"/>
    <w:rsid w:val="00F5276E"/>
    <w:rsid w:val="00F52E9F"/>
    <w:rsid w:val="00F53304"/>
    <w:rsid w:val="00F53B81"/>
    <w:rsid w:val="00F540FE"/>
    <w:rsid w:val="00F5459A"/>
    <w:rsid w:val="00F556FF"/>
    <w:rsid w:val="00F55D12"/>
    <w:rsid w:val="00F5687F"/>
    <w:rsid w:val="00F56D3F"/>
    <w:rsid w:val="00F575C7"/>
    <w:rsid w:val="00F57FD0"/>
    <w:rsid w:val="00F60305"/>
    <w:rsid w:val="00F61B12"/>
    <w:rsid w:val="00F61C70"/>
    <w:rsid w:val="00F6221F"/>
    <w:rsid w:val="00F63264"/>
    <w:rsid w:val="00F634E4"/>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3F"/>
    <w:rsid w:val="00F81587"/>
    <w:rsid w:val="00F8288F"/>
    <w:rsid w:val="00F8376E"/>
    <w:rsid w:val="00F83C52"/>
    <w:rsid w:val="00F84802"/>
    <w:rsid w:val="00F85B72"/>
    <w:rsid w:val="00F86540"/>
    <w:rsid w:val="00F865CE"/>
    <w:rsid w:val="00F8766F"/>
    <w:rsid w:val="00F90282"/>
    <w:rsid w:val="00F91082"/>
    <w:rsid w:val="00F9116D"/>
    <w:rsid w:val="00F91342"/>
    <w:rsid w:val="00F91A9A"/>
    <w:rsid w:val="00F92634"/>
    <w:rsid w:val="00F933F3"/>
    <w:rsid w:val="00F93ABB"/>
    <w:rsid w:val="00F94D79"/>
    <w:rsid w:val="00F9658C"/>
    <w:rsid w:val="00F96EEB"/>
    <w:rsid w:val="00F97A7F"/>
    <w:rsid w:val="00F97CD0"/>
    <w:rsid w:val="00FA0889"/>
    <w:rsid w:val="00FA16E7"/>
    <w:rsid w:val="00FA31C7"/>
    <w:rsid w:val="00FA472D"/>
    <w:rsid w:val="00FA681F"/>
    <w:rsid w:val="00FB0CBF"/>
    <w:rsid w:val="00FB18F6"/>
    <w:rsid w:val="00FB2A52"/>
    <w:rsid w:val="00FB3F92"/>
    <w:rsid w:val="00FB52C7"/>
    <w:rsid w:val="00FB57DC"/>
    <w:rsid w:val="00FB6E19"/>
    <w:rsid w:val="00FB71F6"/>
    <w:rsid w:val="00FC07AF"/>
    <w:rsid w:val="00FC0AF8"/>
    <w:rsid w:val="00FC0B69"/>
    <w:rsid w:val="00FC1483"/>
    <w:rsid w:val="00FC1C47"/>
    <w:rsid w:val="00FC3102"/>
    <w:rsid w:val="00FC39ED"/>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74D"/>
    <w:rsid w:val="00FD5BEC"/>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5CE"/>
    <w:rsid w:val="00FF1C9B"/>
    <w:rsid w:val="00FF1D49"/>
    <w:rsid w:val="00FF203B"/>
    <w:rsid w:val="00FF2562"/>
    <w:rsid w:val="00FF3A41"/>
    <w:rsid w:val="00FF3E5B"/>
    <w:rsid w:val="00FF57E4"/>
    <w:rsid w:val="00FF78E5"/>
    <w:rsid w:val="012C5FAF"/>
    <w:rsid w:val="01AF3D99"/>
    <w:rsid w:val="01C357AC"/>
    <w:rsid w:val="02511F9D"/>
    <w:rsid w:val="032B09E8"/>
    <w:rsid w:val="039D045C"/>
    <w:rsid w:val="03A314B8"/>
    <w:rsid w:val="03D82B98"/>
    <w:rsid w:val="03F83E8B"/>
    <w:rsid w:val="0468421D"/>
    <w:rsid w:val="048379C7"/>
    <w:rsid w:val="04E3310D"/>
    <w:rsid w:val="05C56868"/>
    <w:rsid w:val="062B688B"/>
    <w:rsid w:val="06C00F4C"/>
    <w:rsid w:val="06E47F32"/>
    <w:rsid w:val="06E56981"/>
    <w:rsid w:val="07426C8F"/>
    <w:rsid w:val="07A539BD"/>
    <w:rsid w:val="07AC6E7F"/>
    <w:rsid w:val="07B72767"/>
    <w:rsid w:val="07B906F1"/>
    <w:rsid w:val="07C15AE9"/>
    <w:rsid w:val="07DB47E0"/>
    <w:rsid w:val="08077E72"/>
    <w:rsid w:val="08882DD0"/>
    <w:rsid w:val="08C619D9"/>
    <w:rsid w:val="09CC2AAC"/>
    <w:rsid w:val="09F00295"/>
    <w:rsid w:val="0A652D3E"/>
    <w:rsid w:val="0A9D6A8E"/>
    <w:rsid w:val="0AB617A4"/>
    <w:rsid w:val="0AB92B07"/>
    <w:rsid w:val="0B326F2A"/>
    <w:rsid w:val="0BC7297B"/>
    <w:rsid w:val="0BFC1F17"/>
    <w:rsid w:val="0C1E2888"/>
    <w:rsid w:val="0C92213C"/>
    <w:rsid w:val="0CC045A8"/>
    <w:rsid w:val="0CC2027E"/>
    <w:rsid w:val="0D3D750F"/>
    <w:rsid w:val="0D84032B"/>
    <w:rsid w:val="0E8B33B0"/>
    <w:rsid w:val="0F2A74C4"/>
    <w:rsid w:val="0F366148"/>
    <w:rsid w:val="0FF34E05"/>
    <w:rsid w:val="10A27F31"/>
    <w:rsid w:val="10B65D95"/>
    <w:rsid w:val="11824CB6"/>
    <w:rsid w:val="11927058"/>
    <w:rsid w:val="120E171E"/>
    <w:rsid w:val="123E3773"/>
    <w:rsid w:val="126E3E7D"/>
    <w:rsid w:val="12BB0545"/>
    <w:rsid w:val="130F0CEA"/>
    <w:rsid w:val="13794D02"/>
    <w:rsid w:val="13AF4F03"/>
    <w:rsid w:val="14104B78"/>
    <w:rsid w:val="14736E66"/>
    <w:rsid w:val="147F458F"/>
    <w:rsid w:val="149A59CD"/>
    <w:rsid w:val="1534169A"/>
    <w:rsid w:val="15C03E03"/>
    <w:rsid w:val="162A25EB"/>
    <w:rsid w:val="16735895"/>
    <w:rsid w:val="16D451C7"/>
    <w:rsid w:val="16E72D2E"/>
    <w:rsid w:val="16FD2A55"/>
    <w:rsid w:val="17067C1A"/>
    <w:rsid w:val="171A599A"/>
    <w:rsid w:val="17366761"/>
    <w:rsid w:val="177C01F0"/>
    <w:rsid w:val="179E3EFA"/>
    <w:rsid w:val="17BE7C25"/>
    <w:rsid w:val="17CA1AA7"/>
    <w:rsid w:val="17CE6630"/>
    <w:rsid w:val="17D72324"/>
    <w:rsid w:val="17DF12DE"/>
    <w:rsid w:val="192835A8"/>
    <w:rsid w:val="194874FB"/>
    <w:rsid w:val="1A197394"/>
    <w:rsid w:val="1A627D40"/>
    <w:rsid w:val="1A69612E"/>
    <w:rsid w:val="1AA10BB0"/>
    <w:rsid w:val="1AFF0AFE"/>
    <w:rsid w:val="1B187CDF"/>
    <w:rsid w:val="1B4F19F8"/>
    <w:rsid w:val="1B981B63"/>
    <w:rsid w:val="1BAA0BEC"/>
    <w:rsid w:val="1C6A3ED7"/>
    <w:rsid w:val="1C9A5DF9"/>
    <w:rsid w:val="1CA97E14"/>
    <w:rsid w:val="1CB82E95"/>
    <w:rsid w:val="1DE79587"/>
    <w:rsid w:val="1DF43472"/>
    <w:rsid w:val="1ECC44FA"/>
    <w:rsid w:val="1F063325"/>
    <w:rsid w:val="1F541E27"/>
    <w:rsid w:val="1F70115D"/>
    <w:rsid w:val="1F7F472C"/>
    <w:rsid w:val="1FBC5DF5"/>
    <w:rsid w:val="1FF90588"/>
    <w:rsid w:val="1FFD3611"/>
    <w:rsid w:val="200768CB"/>
    <w:rsid w:val="203046DB"/>
    <w:rsid w:val="205F43DC"/>
    <w:rsid w:val="2061093C"/>
    <w:rsid w:val="20C3623F"/>
    <w:rsid w:val="21781212"/>
    <w:rsid w:val="21B83F86"/>
    <w:rsid w:val="21ED4214"/>
    <w:rsid w:val="221178A8"/>
    <w:rsid w:val="221213CF"/>
    <w:rsid w:val="22327A92"/>
    <w:rsid w:val="228363AD"/>
    <w:rsid w:val="231D53A2"/>
    <w:rsid w:val="232017F3"/>
    <w:rsid w:val="236D5383"/>
    <w:rsid w:val="23B7504C"/>
    <w:rsid w:val="23E846C3"/>
    <w:rsid w:val="24571307"/>
    <w:rsid w:val="25110A2A"/>
    <w:rsid w:val="25184DB5"/>
    <w:rsid w:val="256C0944"/>
    <w:rsid w:val="258F1846"/>
    <w:rsid w:val="2595067F"/>
    <w:rsid w:val="25EA2B78"/>
    <w:rsid w:val="261F3EAB"/>
    <w:rsid w:val="26446DE3"/>
    <w:rsid w:val="267F2426"/>
    <w:rsid w:val="26877DFE"/>
    <w:rsid w:val="269669E7"/>
    <w:rsid w:val="26A270C1"/>
    <w:rsid w:val="26D7699F"/>
    <w:rsid w:val="27D17A7E"/>
    <w:rsid w:val="28355F98"/>
    <w:rsid w:val="28E7762C"/>
    <w:rsid w:val="29D75F7F"/>
    <w:rsid w:val="2A8668D4"/>
    <w:rsid w:val="2A937209"/>
    <w:rsid w:val="2AD1091E"/>
    <w:rsid w:val="2ADC37A7"/>
    <w:rsid w:val="2B2C3780"/>
    <w:rsid w:val="2B774624"/>
    <w:rsid w:val="2BA967CA"/>
    <w:rsid w:val="2C1E6D92"/>
    <w:rsid w:val="2C672A43"/>
    <w:rsid w:val="2C7A72BE"/>
    <w:rsid w:val="2C9A6794"/>
    <w:rsid w:val="2C9A7D75"/>
    <w:rsid w:val="2CC17412"/>
    <w:rsid w:val="2D0C48C7"/>
    <w:rsid w:val="2D2074FA"/>
    <w:rsid w:val="2D7C1E99"/>
    <w:rsid w:val="2D935682"/>
    <w:rsid w:val="2D9B4590"/>
    <w:rsid w:val="2D9D5735"/>
    <w:rsid w:val="2E852A72"/>
    <w:rsid w:val="2E9976CE"/>
    <w:rsid w:val="2EC333C5"/>
    <w:rsid w:val="2EF01DEE"/>
    <w:rsid w:val="2EF75B80"/>
    <w:rsid w:val="2F401D3C"/>
    <w:rsid w:val="2F5B24E1"/>
    <w:rsid w:val="2F9C03F4"/>
    <w:rsid w:val="2FA95C88"/>
    <w:rsid w:val="2FCF6356"/>
    <w:rsid w:val="3041370F"/>
    <w:rsid w:val="304C46BA"/>
    <w:rsid w:val="30B87FED"/>
    <w:rsid w:val="312B50A3"/>
    <w:rsid w:val="312F7772"/>
    <w:rsid w:val="316D5D4C"/>
    <w:rsid w:val="31894FD2"/>
    <w:rsid w:val="31CC5F6D"/>
    <w:rsid w:val="31FF27B0"/>
    <w:rsid w:val="32161171"/>
    <w:rsid w:val="32453A27"/>
    <w:rsid w:val="3263064A"/>
    <w:rsid w:val="32A43132"/>
    <w:rsid w:val="32AC0C06"/>
    <w:rsid w:val="33344EF5"/>
    <w:rsid w:val="33C20997"/>
    <w:rsid w:val="341F4A2D"/>
    <w:rsid w:val="347B73EC"/>
    <w:rsid w:val="34F16283"/>
    <w:rsid w:val="3537750C"/>
    <w:rsid w:val="3537798C"/>
    <w:rsid w:val="35C13FC9"/>
    <w:rsid w:val="35FD4AEE"/>
    <w:rsid w:val="36372B05"/>
    <w:rsid w:val="364257B6"/>
    <w:rsid w:val="3650036E"/>
    <w:rsid w:val="37034D02"/>
    <w:rsid w:val="37286DC2"/>
    <w:rsid w:val="37EA5922"/>
    <w:rsid w:val="38276B93"/>
    <w:rsid w:val="38286769"/>
    <w:rsid w:val="382E58B8"/>
    <w:rsid w:val="38322E83"/>
    <w:rsid w:val="383F60E2"/>
    <w:rsid w:val="3872750D"/>
    <w:rsid w:val="38AC3431"/>
    <w:rsid w:val="392F2E16"/>
    <w:rsid w:val="39E00529"/>
    <w:rsid w:val="39EE7FCA"/>
    <w:rsid w:val="3A0B64A7"/>
    <w:rsid w:val="3A300736"/>
    <w:rsid w:val="3A574DDA"/>
    <w:rsid w:val="3AD3075A"/>
    <w:rsid w:val="3AF74C02"/>
    <w:rsid w:val="3B1E65E7"/>
    <w:rsid w:val="3B650338"/>
    <w:rsid w:val="3BAA3FB1"/>
    <w:rsid w:val="3BCF2606"/>
    <w:rsid w:val="3BEF73A9"/>
    <w:rsid w:val="3C0059A5"/>
    <w:rsid w:val="3C0F436B"/>
    <w:rsid w:val="3C134E78"/>
    <w:rsid w:val="3C13617B"/>
    <w:rsid w:val="3C375562"/>
    <w:rsid w:val="3CAD697D"/>
    <w:rsid w:val="3CD97263"/>
    <w:rsid w:val="3D0418D3"/>
    <w:rsid w:val="3D5C4FEC"/>
    <w:rsid w:val="3DF6345D"/>
    <w:rsid w:val="3E2B5515"/>
    <w:rsid w:val="3E4D4F28"/>
    <w:rsid w:val="3E8E35FE"/>
    <w:rsid w:val="3ED92EC4"/>
    <w:rsid w:val="3EDB7F93"/>
    <w:rsid w:val="3EE13701"/>
    <w:rsid w:val="3F1A4BB3"/>
    <w:rsid w:val="3F3444A9"/>
    <w:rsid w:val="3F556194"/>
    <w:rsid w:val="3F9C9D76"/>
    <w:rsid w:val="3FFA5C38"/>
    <w:rsid w:val="401419DE"/>
    <w:rsid w:val="40192BA6"/>
    <w:rsid w:val="41766EA9"/>
    <w:rsid w:val="41A61ADE"/>
    <w:rsid w:val="4253523F"/>
    <w:rsid w:val="42550A18"/>
    <w:rsid w:val="429D496A"/>
    <w:rsid w:val="42F473A1"/>
    <w:rsid w:val="43100E16"/>
    <w:rsid w:val="437217EA"/>
    <w:rsid w:val="43A02171"/>
    <w:rsid w:val="43AB7156"/>
    <w:rsid w:val="441E62C0"/>
    <w:rsid w:val="445B2F03"/>
    <w:rsid w:val="44693A30"/>
    <w:rsid w:val="44852BD3"/>
    <w:rsid w:val="448940E0"/>
    <w:rsid w:val="45325D14"/>
    <w:rsid w:val="45811C7C"/>
    <w:rsid w:val="45906116"/>
    <w:rsid w:val="45931B8C"/>
    <w:rsid w:val="45B7168C"/>
    <w:rsid w:val="45EF2552"/>
    <w:rsid w:val="468B3EFB"/>
    <w:rsid w:val="46977A97"/>
    <w:rsid w:val="470A6193"/>
    <w:rsid w:val="47385210"/>
    <w:rsid w:val="475510F8"/>
    <w:rsid w:val="47DC4F5C"/>
    <w:rsid w:val="48B40671"/>
    <w:rsid w:val="49496C76"/>
    <w:rsid w:val="499B5738"/>
    <w:rsid w:val="499F244D"/>
    <w:rsid w:val="49DA6F87"/>
    <w:rsid w:val="4A973F3F"/>
    <w:rsid w:val="4AC705C3"/>
    <w:rsid w:val="4AF96BC7"/>
    <w:rsid w:val="4B862A85"/>
    <w:rsid w:val="4C6E2634"/>
    <w:rsid w:val="4C865336"/>
    <w:rsid w:val="4CEF36E2"/>
    <w:rsid w:val="4CEF4DC5"/>
    <w:rsid w:val="4DAF4DA4"/>
    <w:rsid w:val="4DBE4F9A"/>
    <w:rsid w:val="4E257655"/>
    <w:rsid w:val="4E8428DD"/>
    <w:rsid w:val="4F1D397D"/>
    <w:rsid w:val="4F372380"/>
    <w:rsid w:val="4F372FFB"/>
    <w:rsid w:val="4FA15F48"/>
    <w:rsid w:val="4FEF4CCE"/>
    <w:rsid w:val="4FFAF198"/>
    <w:rsid w:val="501E0EA8"/>
    <w:rsid w:val="5025116D"/>
    <w:rsid w:val="50F95558"/>
    <w:rsid w:val="52253346"/>
    <w:rsid w:val="52395ECD"/>
    <w:rsid w:val="526B6ECC"/>
    <w:rsid w:val="52742AB2"/>
    <w:rsid w:val="52C10D75"/>
    <w:rsid w:val="53BA4C66"/>
    <w:rsid w:val="53C27FF8"/>
    <w:rsid w:val="5466366B"/>
    <w:rsid w:val="54806794"/>
    <w:rsid w:val="549E1A80"/>
    <w:rsid w:val="54A8308B"/>
    <w:rsid w:val="54C658F4"/>
    <w:rsid w:val="550C4BD7"/>
    <w:rsid w:val="554C1D56"/>
    <w:rsid w:val="55572986"/>
    <w:rsid w:val="55DB5A40"/>
    <w:rsid w:val="56073E4D"/>
    <w:rsid w:val="56450A32"/>
    <w:rsid w:val="565340FA"/>
    <w:rsid w:val="566118CC"/>
    <w:rsid w:val="56AD5F59"/>
    <w:rsid w:val="56C60774"/>
    <w:rsid w:val="56D748DF"/>
    <w:rsid w:val="56DA628A"/>
    <w:rsid w:val="57000841"/>
    <w:rsid w:val="57936D6B"/>
    <w:rsid w:val="57B12A52"/>
    <w:rsid w:val="581E6E15"/>
    <w:rsid w:val="593D4A70"/>
    <w:rsid w:val="59860196"/>
    <w:rsid w:val="59C02A25"/>
    <w:rsid w:val="5A2F2CC8"/>
    <w:rsid w:val="5A9F56BB"/>
    <w:rsid w:val="5B2F5A0D"/>
    <w:rsid w:val="5B5785C3"/>
    <w:rsid w:val="5B875BFF"/>
    <w:rsid w:val="5BD4669C"/>
    <w:rsid w:val="5C10702D"/>
    <w:rsid w:val="5C152601"/>
    <w:rsid w:val="5C591F03"/>
    <w:rsid w:val="5C8A1B2F"/>
    <w:rsid w:val="5D4F190D"/>
    <w:rsid w:val="5D657148"/>
    <w:rsid w:val="5DBB3FB7"/>
    <w:rsid w:val="5E1A20EF"/>
    <w:rsid w:val="5EC0115A"/>
    <w:rsid w:val="5F51E473"/>
    <w:rsid w:val="5F561B72"/>
    <w:rsid w:val="5FD36309"/>
    <w:rsid w:val="5FF5AA7E"/>
    <w:rsid w:val="5FF9F818"/>
    <w:rsid w:val="606007BB"/>
    <w:rsid w:val="609C108B"/>
    <w:rsid w:val="60AC7F66"/>
    <w:rsid w:val="61A95D40"/>
    <w:rsid w:val="61BF10D9"/>
    <w:rsid w:val="625466C9"/>
    <w:rsid w:val="62AC22DC"/>
    <w:rsid w:val="63157721"/>
    <w:rsid w:val="632F68AE"/>
    <w:rsid w:val="63A22BFD"/>
    <w:rsid w:val="63D52BD9"/>
    <w:rsid w:val="63FB4E95"/>
    <w:rsid w:val="64E45EF7"/>
    <w:rsid w:val="64EF2799"/>
    <w:rsid w:val="65790A41"/>
    <w:rsid w:val="6691014E"/>
    <w:rsid w:val="66C87CCE"/>
    <w:rsid w:val="66E76973"/>
    <w:rsid w:val="670E659E"/>
    <w:rsid w:val="6715578A"/>
    <w:rsid w:val="674E5104"/>
    <w:rsid w:val="677435B2"/>
    <w:rsid w:val="67C67515"/>
    <w:rsid w:val="67EF75F1"/>
    <w:rsid w:val="68050472"/>
    <w:rsid w:val="680D4910"/>
    <w:rsid w:val="684F4F11"/>
    <w:rsid w:val="686007CB"/>
    <w:rsid w:val="68670155"/>
    <w:rsid w:val="6897319C"/>
    <w:rsid w:val="68A1024E"/>
    <w:rsid w:val="69124F16"/>
    <w:rsid w:val="69AA114D"/>
    <w:rsid w:val="69AC0C58"/>
    <w:rsid w:val="69CD5C14"/>
    <w:rsid w:val="69CF0D33"/>
    <w:rsid w:val="6A2E7AC1"/>
    <w:rsid w:val="6A826757"/>
    <w:rsid w:val="6AAA5F88"/>
    <w:rsid w:val="6B0625EA"/>
    <w:rsid w:val="6B3105E9"/>
    <w:rsid w:val="6B465087"/>
    <w:rsid w:val="6B9946B3"/>
    <w:rsid w:val="6BAB5AAF"/>
    <w:rsid w:val="6BE518DA"/>
    <w:rsid w:val="6BF473FA"/>
    <w:rsid w:val="6C0905E4"/>
    <w:rsid w:val="6C276F3A"/>
    <w:rsid w:val="6C7007C7"/>
    <w:rsid w:val="6CF56FD0"/>
    <w:rsid w:val="6DE76850"/>
    <w:rsid w:val="6E0E6EC0"/>
    <w:rsid w:val="6EB96D19"/>
    <w:rsid w:val="6EBF2D51"/>
    <w:rsid w:val="6F301D7B"/>
    <w:rsid w:val="6F404D6A"/>
    <w:rsid w:val="6F814935"/>
    <w:rsid w:val="6FB20BD4"/>
    <w:rsid w:val="6FBA59BE"/>
    <w:rsid w:val="70260308"/>
    <w:rsid w:val="70296B3E"/>
    <w:rsid w:val="70611204"/>
    <w:rsid w:val="70A66E97"/>
    <w:rsid w:val="715B517C"/>
    <w:rsid w:val="7165620F"/>
    <w:rsid w:val="717039F8"/>
    <w:rsid w:val="7193305B"/>
    <w:rsid w:val="721A4E8B"/>
    <w:rsid w:val="72622183"/>
    <w:rsid w:val="72BA00C5"/>
    <w:rsid w:val="730E64E0"/>
    <w:rsid w:val="73191CDA"/>
    <w:rsid w:val="734B1B9C"/>
    <w:rsid w:val="739F163C"/>
    <w:rsid w:val="73F2195D"/>
    <w:rsid w:val="74077E32"/>
    <w:rsid w:val="74D13AD5"/>
    <w:rsid w:val="74FA2C30"/>
    <w:rsid w:val="750616B1"/>
    <w:rsid w:val="754D5C4B"/>
    <w:rsid w:val="75995441"/>
    <w:rsid w:val="75D30ED5"/>
    <w:rsid w:val="75EB384B"/>
    <w:rsid w:val="764A18F1"/>
    <w:rsid w:val="76636B42"/>
    <w:rsid w:val="766A5691"/>
    <w:rsid w:val="76C240A7"/>
    <w:rsid w:val="76DA416A"/>
    <w:rsid w:val="770A3AA7"/>
    <w:rsid w:val="774F6423"/>
    <w:rsid w:val="775246B7"/>
    <w:rsid w:val="781E69D1"/>
    <w:rsid w:val="78E73A5B"/>
    <w:rsid w:val="7901747F"/>
    <w:rsid w:val="791E0789"/>
    <w:rsid w:val="79490272"/>
    <w:rsid w:val="79F2063F"/>
    <w:rsid w:val="7A263B6B"/>
    <w:rsid w:val="7A805488"/>
    <w:rsid w:val="7AF46346"/>
    <w:rsid w:val="7B0F5EBF"/>
    <w:rsid w:val="7B130FB9"/>
    <w:rsid w:val="7BC94525"/>
    <w:rsid w:val="7BD71E38"/>
    <w:rsid w:val="7BEA40B7"/>
    <w:rsid w:val="7BF64EDE"/>
    <w:rsid w:val="7BF653C3"/>
    <w:rsid w:val="7C400C1E"/>
    <w:rsid w:val="7C5AC54D"/>
    <w:rsid w:val="7CCFCC7C"/>
    <w:rsid w:val="7CFC4F7F"/>
    <w:rsid w:val="7D3A3102"/>
    <w:rsid w:val="7D91104F"/>
    <w:rsid w:val="7D941212"/>
    <w:rsid w:val="7DBE59A5"/>
    <w:rsid w:val="7DD11708"/>
    <w:rsid w:val="7DEE4A4F"/>
    <w:rsid w:val="7EAE6230"/>
    <w:rsid w:val="7EBD579E"/>
    <w:rsid w:val="7EC167BD"/>
    <w:rsid w:val="7F272D9E"/>
    <w:rsid w:val="7F4F1675"/>
    <w:rsid w:val="7F5DED59"/>
    <w:rsid w:val="7F9A60E4"/>
    <w:rsid w:val="9A732FF2"/>
    <w:rsid w:val="9FDACC6E"/>
    <w:rsid w:val="AF3F52E8"/>
    <w:rsid w:val="AFFC1A27"/>
    <w:rsid w:val="BDE7589D"/>
    <w:rsid w:val="BEBE74D7"/>
    <w:rsid w:val="CBF59A7B"/>
    <w:rsid w:val="D7BD7DF0"/>
    <w:rsid w:val="DACDE735"/>
    <w:rsid w:val="DCAF3540"/>
    <w:rsid w:val="DF630541"/>
    <w:rsid w:val="E5BBCC97"/>
    <w:rsid w:val="EB9E6E7C"/>
    <w:rsid w:val="EEFF5B82"/>
    <w:rsid w:val="EFB6B5CB"/>
    <w:rsid w:val="F6FD63B3"/>
    <w:rsid w:val="F6FD76AA"/>
    <w:rsid w:val="F7A752E1"/>
    <w:rsid w:val="F7F12831"/>
    <w:rsid w:val="F88B0D2B"/>
    <w:rsid w:val="FCE60012"/>
    <w:rsid w:val="FDFA84B4"/>
    <w:rsid w:val="FDFF8180"/>
    <w:rsid w:val="FE3D704F"/>
    <w:rsid w:val="FE7D42C7"/>
    <w:rsid w:val="FEF38421"/>
    <w:rsid w:val="FF57A0B5"/>
    <w:rsid w:val="FF77C662"/>
    <w:rsid w:val="FF7E934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qFormat="1" w:uiPriority="0" w:semiHidden="0"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6"/>
    <w:qFormat/>
    <w:uiPriority w:val="0"/>
    <w:pPr>
      <w:keepNext/>
      <w:keepLines/>
      <w:numPr>
        <w:ilvl w:val="0"/>
        <w:numId w:val="1"/>
      </w:numPr>
      <w:spacing w:before="260" w:beforeLines="0" w:after="260" w:afterLines="0" w:line="416" w:lineRule="auto"/>
      <w:outlineLvl w:val="2"/>
    </w:pPr>
    <w:rPr>
      <w:b/>
      <w:sz w:val="24"/>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6"/>
    <w:link w:val="39"/>
    <w:qFormat/>
    <w:uiPriority w:val="9"/>
    <w:pPr>
      <w:keepNext/>
      <w:keepLines/>
      <w:spacing w:before="280" w:after="290" w:line="376" w:lineRule="auto"/>
      <w:outlineLvl w:val="4"/>
    </w:pPr>
    <w:rPr>
      <w:b/>
      <w:bCs/>
      <w:sz w:val="28"/>
      <w:szCs w:val="28"/>
    </w:rPr>
  </w:style>
  <w:style w:type="paragraph" w:styleId="9">
    <w:name w:val="heading 8"/>
    <w:basedOn w:val="1"/>
    <w:next w:val="1"/>
    <w:link w:val="40"/>
    <w:qFormat/>
    <w:uiPriority w:val="9"/>
    <w:pPr>
      <w:keepNext/>
      <w:keepLines/>
      <w:spacing w:before="240" w:after="64" w:line="320" w:lineRule="auto"/>
      <w:outlineLvl w:val="7"/>
    </w:pPr>
    <w:rPr>
      <w:rFonts w:ascii="等线 Light" w:hAnsi="等线 Light" w:eastAsia="等线 Light"/>
      <w:sz w:val="24"/>
    </w:rPr>
  </w:style>
  <w:style w:type="character" w:default="1" w:styleId="31">
    <w:name w:val="Default Paragraph Font"/>
    <w:unhideWhenUsed/>
    <w:qFormat/>
    <w:uiPriority w:val="1"/>
  </w:style>
  <w:style w:type="table" w:default="1" w:styleId="29">
    <w:name w:val="Normal Table"/>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6">
    <w:name w:val="Normal Indent"/>
    <w:basedOn w:val="1"/>
    <w:qFormat/>
    <w:uiPriority w:val="0"/>
    <w:pPr>
      <w:ind w:firstLine="420"/>
    </w:pPr>
    <w:rPr>
      <w:szCs w:val="20"/>
    </w:rPr>
  </w:style>
  <w:style w:type="paragraph" w:styleId="10">
    <w:name w:val="table of authorities"/>
    <w:basedOn w:val="1"/>
    <w:next w:val="1"/>
    <w:unhideWhenUsed/>
    <w:qFormat/>
    <w:uiPriority w:val="0"/>
    <w:pPr>
      <w:spacing w:line="560" w:lineRule="exact"/>
      <w:ind w:left="420" w:leftChars="200"/>
    </w:pPr>
    <w:rPr>
      <w:rFonts w:ascii="Times New Roman" w:hAnsi="Times New Roman" w:eastAsia="宋体" w:cs="Times New Roman"/>
    </w:rPr>
  </w:style>
  <w:style w:type="paragraph" w:styleId="11">
    <w:name w:val="index 8"/>
    <w:basedOn w:val="1"/>
    <w:next w:val="1"/>
    <w:semiHidden/>
    <w:qFormat/>
    <w:uiPriority w:val="99"/>
    <w:pPr>
      <w:adjustRightInd w:val="0"/>
      <w:spacing w:line="360" w:lineRule="atLeast"/>
      <w:ind w:left="2940"/>
      <w:textAlignment w:val="baseline"/>
    </w:p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annotation text"/>
    <w:basedOn w:val="1"/>
    <w:link w:val="41"/>
    <w:qFormat/>
    <w:uiPriority w:val="0"/>
    <w:pPr>
      <w:jc w:val="left"/>
    </w:pPr>
  </w:style>
  <w:style w:type="paragraph" w:styleId="14">
    <w:name w:val="Body Text 3"/>
    <w:basedOn w:val="1"/>
    <w:link w:val="42"/>
    <w:unhideWhenUsed/>
    <w:qFormat/>
    <w:uiPriority w:val="99"/>
    <w:pPr>
      <w:spacing w:after="120"/>
    </w:pPr>
    <w:rPr>
      <w:sz w:val="16"/>
      <w:szCs w:val="16"/>
    </w:rPr>
  </w:style>
  <w:style w:type="paragraph" w:styleId="15">
    <w:name w:val="Body Text"/>
    <w:basedOn w:val="1"/>
    <w:next w:val="1"/>
    <w:link w:val="36"/>
    <w:unhideWhenUsed/>
    <w:qFormat/>
    <w:uiPriority w:val="0"/>
    <w:pPr>
      <w:spacing w:after="120"/>
    </w:pPr>
  </w:style>
  <w:style w:type="paragraph" w:styleId="16">
    <w:name w:val="Body Text Indent"/>
    <w:basedOn w:val="1"/>
    <w:link w:val="43"/>
    <w:qFormat/>
    <w:uiPriority w:val="0"/>
    <w:pPr>
      <w:ind w:firstLine="830" w:firstLineChars="352"/>
    </w:pPr>
    <w:rPr>
      <w:rFonts w:ascii="仿宋_GB2312" w:eastAsia="仿宋_GB2312"/>
      <w:kern w:val="0"/>
      <w:sz w:val="32"/>
      <w:szCs w:val="20"/>
    </w:rPr>
  </w:style>
  <w:style w:type="paragraph" w:styleId="17">
    <w:name w:val="List 2"/>
    <w:basedOn w:val="1"/>
    <w:unhideWhenUsed/>
    <w:qFormat/>
    <w:uiPriority w:val="99"/>
    <w:pPr>
      <w:ind w:left="100" w:leftChars="200" w:hanging="200" w:hangingChars="200"/>
      <w:contextualSpacing/>
    </w:pPr>
  </w:style>
  <w:style w:type="paragraph" w:styleId="18">
    <w:name w:val="toc 3"/>
    <w:basedOn w:val="1"/>
    <w:next w:val="1"/>
    <w:unhideWhenUsed/>
    <w:qFormat/>
    <w:uiPriority w:val="39"/>
    <w:pPr>
      <w:ind w:left="840" w:leftChars="400"/>
    </w:pPr>
  </w:style>
  <w:style w:type="paragraph" w:styleId="19">
    <w:name w:val="Plain Text"/>
    <w:basedOn w:val="1"/>
    <w:next w:val="7"/>
    <w:link w:val="44"/>
    <w:qFormat/>
    <w:uiPriority w:val="0"/>
    <w:rPr>
      <w:rFonts w:ascii="宋体" w:hAnsi="Courier New"/>
      <w:kern w:val="0"/>
      <w:sz w:val="20"/>
      <w:szCs w:val="21"/>
    </w:rPr>
  </w:style>
  <w:style w:type="paragraph" w:styleId="20">
    <w:name w:val="Date"/>
    <w:basedOn w:val="1"/>
    <w:next w:val="1"/>
    <w:link w:val="45"/>
    <w:unhideWhenUsed/>
    <w:qFormat/>
    <w:uiPriority w:val="99"/>
    <w:pPr>
      <w:ind w:left="100" w:leftChars="2500"/>
    </w:pPr>
  </w:style>
  <w:style w:type="paragraph" w:styleId="21">
    <w:name w:val="Balloon Text"/>
    <w:basedOn w:val="1"/>
    <w:semiHidden/>
    <w:qFormat/>
    <w:uiPriority w:val="0"/>
    <w:rPr>
      <w:sz w:val="18"/>
      <w:szCs w:val="18"/>
    </w:rPr>
  </w:style>
  <w:style w:type="paragraph" w:styleId="22">
    <w:name w:val="footer"/>
    <w:basedOn w:val="1"/>
    <w:link w:val="46"/>
    <w:unhideWhenUsed/>
    <w:qFormat/>
    <w:uiPriority w:val="99"/>
    <w:pPr>
      <w:tabs>
        <w:tab w:val="center" w:pos="4153"/>
        <w:tab w:val="right" w:pos="8306"/>
      </w:tabs>
      <w:snapToGrid w:val="0"/>
      <w:jc w:val="left"/>
    </w:pPr>
    <w:rPr>
      <w:kern w:val="0"/>
      <w:sz w:val="18"/>
      <w:szCs w:val="18"/>
    </w:rPr>
  </w:style>
  <w:style w:type="paragraph" w:styleId="23">
    <w:name w:val="header"/>
    <w:basedOn w:val="1"/>
    <w:link w:val="4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4">
    <w:name w:val="toc 2"/>
    <w:basedOn w:val="1"/>
    <w:next w:val="1"/>
    <w:unhideWhenUsed/>
    <w:qFormat/>
    <w:uiPriority w:val="39"/>
    <w:pPr>
      <w:tabs>
        <w:tab w:val="right" w:leader="dot" w:pos="8296"/>
      </w:tabs>
      <w:ind w:left="420" w:leftChars="200"/>
    </w:pPr>
  </w:style>
  <w:style w:type="paragraph" w:styleId="25">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6">
    <w:name w:val="Title"/>
    <w:basedOn w:val="1"/>
    <w:next w:val="1"/>
    <w:qFormat/>
    <w:uiPriority w:val="0"/>
    <w:pPr>
      <w:spacing w:before="240" w:after="60"/>
      <w:jc w:val="center"/>
      <w:outlineLvl w:val="0"/>
    </w:pPr>
    <w:rPr>
      <w:rFonts w:hint="default" w:ascii="Cambria" w:hAnsi="Cambria"/>
      <w:b/>
      <w:sz w:val="32"/>
      <w:szCs w:val="32"/>
    </w:rPr>
  </w:style>
  <w:style w:type="paragraph" w:styleId="27">
    <w:name w:val="annotation subject"/>
    <w:basedOn w:val="13"/>
    <w:next w:val="13"/>
    <w:link w:val="48"/>
    <w:qFormat/>
    <w:uiPriority w:val="99"/>
    <w:rPr>
      <w:b/>
      <w:bCs/>
    </w:rPr>
  </w:style>
  <w:style w:type="paragraph" w:styleId="28">
    <w:name w:val="Body Text First Indent 2"/>
    <w:basedOn w:val="16"/>
    <w:link w:val="49"/>
    <w:unhideWhenUsed/>
    <w:qFormat/>
    <w:uiPriority w:val="99"/>
    <w:pPr>
      <w:spacing w:after="120"/>
      <w:ind w:left="420" w:leftChars="200" w:firstLine="420" w:firstLineChars="200"/>
    </w:pPr>
    <w:rPr>
      <w:rFonts w:ascii="等线" w:hAnsi="等线" w:eastAsia="等线" w:cs="等线"/>
      <w:kern w:val="2"/>
      <w:sz w:val="21"/>
      <w:szCs w:val="21"/>
      <w:lang w:val="en-US" w:eastAsia="zh-CN"/>
    </w:rPr>
  </w:style>
  <w:style w:type="table" w:styleId="30">
    <w:name w:val="Table Grid"/>
    <w:basedOn w:val="2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endnote reference"/>
    <w:unhideWhenUsed/>
    <w:qFormat/>
    <w:uiPriority w:val="99"/>
    <w:rPr>
      <w:vertAlign w:val="superscript"/>
    </w:rPr>
  </w:style>
  <w:style w:type="character" w:styleId="33">
    <w:name w:val="page number"/>
    <w:basedOn w:val="31"/>
    <w:qFormat/>
    <w:uiPriority w:val="0"/>
  </w:style>
  <w:style w:type="character" w:styleId="34">
    <w:name w:val="Hyperlink"/>
    <w:unhideWhenUsed/>
    <w:qFormat/>
    <w:uiPriority w:val="99"/>
    <w:rPr>
      <w:color w:val="0000FF"/>
      <w:u w:val="single"/>
    </w:rPr>
  </w:style>
  <w:style w:type="character" w:styleId="35">
    <w:name w:val="annotation reference"/>
    <w:qFormat/>
    <w:uiPriority w:val="0"/>
    <w:rPr>
      <w:sz w:val="21"/>
      <w:szCs w:val="21"/>
    </w:rPr>
  </w:style>
  <w:style w:type="character" w:customStyle="1" w:styleId="36">
    <w:name w:val="正文文本 字符1"/>
    <w:link w:val="15"/>
    <w:qFormat/>
    <w:uiPriority w:val="0"/>
    <w:rPr>
      <w:rFonts w:ascii="Times New Roman" w:hAnsi="Times New Roman"/>
      <w:kern w:val="2"/>
      <w:sz w:val="21"/>
      <w:szCs w:val="24"/>
    </w:rPr>
  </w:style>
  <w:style w:type="character" w:customStyle="1" w:styleId="37">
    <w:name w:val="标题 1 字符"/>
    <w:link w:val="3"/>
    <w:qFormat/>
    <w:uiPriority w:val="9"/>
    <w:rPr>
      <w:b/>
      <w:bCs/>
      <w:kern w:val="44"/>
      <w:sz w:val="44"/>
      <w:szCs w:val="44"/>
    </w:rPr>
  </w:style>
  <w:style w:type="character" w:customStyle="1" w:styleId="38">
    <w:name w:val="标题 2 字符"/>
    <w:link w:val="4"/>
    <w:qFormat/>
    <w:uiPriority w:val="9"/>
    <w:rPr>
      <w:rFonts w:ascii="Cambria" w:hAnsi="Cambria" w:eastAsia="宋体" w:cs="Times New Roman"/>
      <w:b/>
      <w:bCs/>
      <w:kern w:val="2"/>
      <w:sz w:val="32"/>
      <w:szCs w:val="32"/>
    </w:rPr>
  </w:style>
  <w:style w:type="character" w:customStyle="1" w:styleId="39">
    <w:name w:val="标题 5 字符"/>
    <w:link w:val="8"/>
    <w:semiHidden/>
    <w:qFormat/>
    <w:uiPriority w:val="9"/>
    <w:rPr>
      <w:rFonts w:ascii="Times New Roman" w:hAnsi="Times New Roman"/>
      <w:b/>
      <w:bCs/>
      <w:kern w:val="2"/>
      <w:sz w:val="28"/>
      <w:szCs w:val="28"/>
    </w:rPr>
  </w:style>
  <w:style w:type="character" w:customStyle="1" w:styleId="40">
    <w:name w:val="标题 8 字符"/>
    <w:link w:val="9"/>
    <w:semiHidden/>
    <w:qFormat/>
    <w:uiPriority w:val="9"/>
    <w:rPr>
      <w:rFonts w:ascii="等线 Light" w:hAnsi="等线 Light" w:eastAsia="等线 Light" w:cs="Times New Roman"/>
      <w:kern w:val="2"/>
      <w:sz w:val="24"/>
      <w:szCs w:val="24"/>
    </w:rPr>
  </w:style>
  <w:style w:type="character" w:customStyle="1" w:styleId="41">
    <w:name w:val="批注文字 字符2"/>
    <w:link w:val="13"/>
    <w:qFormat/>
    <w:uiPriority w:val="0"/>
    <w:rPr>
      <w:rFonts w:ascii="Times New Roman" w:hAnsi="Times New Roman"/>
      <w:kern w:val="2"/>
      <w:sz w:val="21"/>
      <w:szCs w:val="24"/>
    </w:rPr>
  </w:style>
  <w:style w:type="character" w:customStyle="1" w:styleId="42">
    <w:name w:val="正文文本 3 字符"/>
    <w:link w:val="14"/>
    <w:semiHidden/>
    <w:qFormat/>
    <w:uiPriority w:val="99"/>
    <w:rPr>
      <w:kern w:val="2"/>
      <w:sz w:val="16"/>
      <w:szCs w:val="16"/>
    </w:rPr>
  </w:style>
  <w:style w:type="character" w:customStyle="1" w:styleId="43">
    <w:name w:val="正文文本缩进 字符"/>
    <w:link w:val="16"/>
    <w:qFormat/>
    <w:uiPriority w:val="0"/>
    <w:rPr>
      <w:rFonts w:ascii="仿宋_GB2312" w:hAnsi="Times New Roman" w:eastAsia="仿宋_GB2312" w:cs="Times New Roman"/>
      <w:sz w:val="32"/>
      <w:szCs w:val="20"/>
    </w:rPr>
  </w:style>
  <w:style w:type="character" w:customStyle="1" w:styleId="44">
    <w:name w:val="纯文本 字符3"/>
    <w:link w:val="19"/>
    <w:qFormat/>
    <w:uiPriority w:val="0"/>
    <w:rPr>
      <w:rFonts w:ascii="宋体" w:hAnsi="Courier New" w:eastAsia="宋体" w:cs="Courier New"/>
      <w:szCs w:val="21"/>
    </w:rPr>
  </w:style>
  <w:style w:type="character" w:customStyle="1" w:styleId="45">
    <w:name w:val="日期 字符"/>
    <w:link w:val="20"/>
    <w:semiHidden/>
    <w:qFormat/>
    <w:uiPriority w:val="99"/>
    <w:rPr>
      <w:rFonts w:ascii="Times New Roman" w:hAnsi="Times New Roman"/>
      <w:kern w:val="2"/>
      <w:sz w:val="21"/>
      <w:szCs w:val="24"/>
    </w:rPr>
  </w:style>
  <w:style w:type="character" w:customStyle="1" w:styleId="46">
    <w:name w:val="页脚 字符"/>
    <w:link w:val="22"/>
    <w:qFormat/>
    <w:uiPriority w:val="99"/>
    <w:rPr>
      <w:sz w:val="18"/>
      <w:szCs w:val="18"/>
    </w:rPr>
  </w:style>
  <w:style w:type="character" w:customStyle="1" w:styleId="47">
    <w:name w:val="页眉 字符"/>
    <w:link w:val="23"/>
    <w:qFormat/>
    <w:uiPriority w:val="99"/>
    <w:rPr>
      <w:sz w:val="18"/>
      <w:szCs w:val="18"/>
    </w:rPr>
  </w:style>
  <w:style w:type="character" w:customStyle="1" w:styleId="48">
    <w:name w:val="批注主题 字符"/>
    <w:link w:val="27"/>
    <w:qFormat/>
    <w:uiPriority w:val="99"/>
    <w:rPr>
      <w:rFonts w:ascii="Times New Roman" w:hAnsi="Times New Roman"/>
      <w:b/>
      <w:bCs/>
      <w:kern w:val="2"/>
      <w:sz w:val="21"/>
      <w:szCs w:val="24"/>
    </w:rPr>
  </w:style>
  <w:style w:type="character" w:customStyle="1" w:styleId="49">
    <w:name w:val="正文首行缩进 2 字符"/>
    <w:link w:val="28"/>
    <w:semiHidden/>
    <w:qFormat/>
    <w:uiPriority w:val="99"/>
    <w:rPr>
      <w:rFonts w:ascii="等线" w:hAnsi="等线" w:eastAsia="等线" w:cs="等线"/>
      <w:kern w:val="2"/>
      <w:sz w:val="21"/>
      <w:szCs w:val="21"/>
    </w:rPr>
  </w:style>
  <w:style w:type="paragraph" w:customStyle="1" w:styleId="50">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51">
    <w:name w:val="标题 1 字符1"/>
    <w:qFormat/>
    <w:uiPriority w:val="0"/>
    <w:rPr>
      <w:b/>
      <w:bCs/>
      <w:kern w:val="44"/>
      <w:sz w:val="44"/>
      <w:szCs w:val="44"/>
    </w:rPr>
  </w:style>
  <w:style w:type="character" w:customStyle="1" w:styleId="52">
    <w:name w:val="textcontents"/>
    <w:qFormat/>
    <w:uiPriority w:val="0"/>
  </w:style>
  <w:style w:type="character" w:customStyle="1" w:styleId="53">
    <w:name w:val="批注文字 Char"/>
    <w:qFormat/>
    <w:uiPriority w:val="0"/>
    <w:rPr>
      <w:rFonts w:ascii="Times New Roman" w:hAnsi="Times New Roman"/>
      <w:kern w:val="2"/>
      <w:sz w:val="21"/>
      <w:szCs w:val="24"/>
    </w:rPr>
  </w:style>
  <w:style w:type="character" w:customStyle="1" w:styleId="54">
    <w:name w:val="纯文本 字符"/>
    <w:qFormat/>
    <w:uiPriority w:val="0"/>
    <w:rPr>
      <w:rFonts w:ascii="宋体" w:hAnsi="Courier New" w:eastAsia="宋体" w:cs="Courier New"/>
      <w:szCs w:val="21"/>
    </w:rPr>
  </w:style>
  <w:style w:type="character" w:customStyle="1" w:styleId="55">
    <w:name w:val="纯文本 Char"/>
    <w:qFormat/>
    <w:uiPriority w:val="0"/>
    <w:rPr>
      <w:rFonts w:ascii="宋体" w:hAnsi="Courier New" w:eastAsia="宋体" w:cs="Courier New"/>
      <w:szCs w:val="21"/>
    </w:rPr>
  </w:style>
  <w:style w:type="character" w:customStyle="1" w:styleId="56">
    <w:name w:val="纯文本 字符2"/>
    <w:qFormat/>
    <w:uiPriority w:val="0"/>
    <w:rPr>
      <w:rFonts w:ascii="宋体" w:hAnsi="Courier New" w:eastAsia="宋体" w:cs="Courier New"/>
      <w:szCs w:val="21"/>
    </w:rPr>
  </w:style>
  <w:style w:type="character" w:customStyle="1" w:styleId="57">
    <w:name w:val="批注文字 字符1"/>
    <w:qFormat/>
    <w:uiPriority w:val="0"/>
    <w:rPr>
      <w:rFonts w:ascii="Times New Roman" w:hAnsi="Times New Roman"/>
      <w:kern w:val="2"/>
      <w:sz w:val="21"/>
      <w:szCs w:val="24"/>
    </w:rPr>
  </w:style>
  <w:style w:type="character" w:customStyle="1" w:styleId="5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59">
    <w:name w:val="纯文本 字符1"/>
    <w:qFormat/>
    <w:uiPriority w:val="0"/>
    <w:rPr>
      <w:rFonts w:ascii="宋体" w:hAnsi="Courier New"/>
    </w:rPr>
  </w:style>
  <w:style w:type="character" w:customStyle="1" w:styleId="60">
    <w:name w:val="正文文本 Char"/>
    <w:qFormat/>
    <w:uiPriority w:val="99"/>
    <w:rPr>
      <w:rFonts w:ascii="Times New Roman" w:hAnsi="Times New Roman"/>
      <w:kern w:val="2"/>
      <w:sz w:val="21"/>
      <w:szCs w:val="24"/>
    </w:rPr>
  </w:style>
  <w:style w:type="character" w:customStyle="1" w:styleId="61">
    <w:name w:val="批注文字 字符"/>
    <w:qFormat/>
    <w:uiPriority w:val="0"/>
    <w:rPr>
      <w:rFonts w:ascii="Times New Roman" w:hAnsi="Times New Roman"/>
      <w:kern w:val="2"/>
      <w:sz w:val="21"/>
      <w:szCs w:val="24"/>
    </w:rPr>
  </w:style>
  <w:style w:type="character" w:customStyle="1" w:styleId="62">
    <w:name w:val="标题 2 Char"/>
    <w:qFormat/>
    <w:uiPriority w:val="9"/>
    <w:rPr>
      <w:rFonts w:ascii="Cambria" w:hAnsi="Cambria" w:eastAsia="宋体" w:cs="Times New Roman"/>
      <w:b/>
      <w:bCs/>
      <w:kern w:val="2"/>
      <w:sz w:val="32"/>
      <w:szCs w:val="32"/>
    </w:rPr>
  </w:style>
  <w:style w:type="character" w:customStyle="1" w:styleId="63">
    <w:name w:val="标题 8 Char"/>
    <w:qFormat/>
    <w:uiPriority w:val="0"/>
    <w:rPr>
      <w:rFonts w:ascii="Arial" w:hAnsi="Arial" w:eastAsia="黑体"/>
      <w:kern w:val="2"/>
      <w:sz w:val="24"/>
      <w:szCs w:val="24"/>
    </w:rPr>
  </w:style>
  <w:style w:type="character" w:customStyle="1" w:styleId="64">
    <w:name w:val="apple-style-span"/>
    <w:qFormat/>
    <w:uiPriority w:val="0"/>
  </w:style>
  <w:style w:type="paragraph" w:customStyle="1" w:styleId="65">
    <w:name w:val="默认段落字体 Para Char Char Char Char Char Char Char Char Char1 Char Char Char Char"/>
    <w:basedOn w:val="1"/>
    <w:qFormat/>
    <w:uiPriority w:val="0"/>
    <w:rPr>
      <w:rFonts w:ascii="Tahoma" w:hAnsi="Tahoma"/>
      <w:sz w:val="24"/>
      <w:szCs w:val="20"/>
    </w:rPr>
  </w:style>
  <w:style w:type="paragraph" w:customStyle="1" w:styleId="6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jc w:val="left"/>
    </w:pPr>
    <w:rPr>
      <w:rFonts w:ascii="Calibri" w:hAnsi="Calibri"/>
      <w:kern w:val="0"/>
      <w:sz w:val="22"/>
      <w:szCs w:val="22"/>
      <w:lang w:eastAsia="en-US"/>
    </w:rPr>
  </w:style>
  <w:style w:type="character" w:customStyle="1" w:styleId="69">
    <w:name w:val="正文文本 字符"/>
    <w:qFormat/>
    <w:uiPriority w:val="0"/>
    <w:rPr>
      <w:rFonts w:ascii="Times New Roman" w:hAnsi="Times New Roman"/>
      <w:kern w:val="2"/>
      <w:sz w:val="21"/>
      <w:szCs w:val="24"/>
    </w:rPr>
  </w:style>
  <w:style w:type="character" w:customStyle="1" w:styleId="70">
    <w:name w:val="批注文字 Char2"/>
    <w:qFormat/>
    <w:uiPriority w:val="0"/>
    <w:rPr>
      <w:rFonts w:ascii="Times New Roman" w:hAnsi="Times New Roman"/>
      <w:kern w:val="2"/>
      <w:sz w:val="21"/>
      <w:szCs w:val="24"/>
    </w:rPr>
  </w:style>
  <w:style w:type="character" w:customStyle="1" w:styleId="71">
    <w:name w:val="正文2 Char Char"/>
    <w:link w:val="72"/>
    <w:qFormat/>
    <w:uiPriority w:val="0"/>
    <w:rPr>
      <w:kern w:val="2"/>
      <w:sz w:val="24"/>
    </w:rPr>
  </w:style>
  <w:style w:type="paragraph" w:customStyle="1" w:styleId="72">
    <w:name w:val="正文2"/>
    <w:basedOn w:val="1"/>
    <w:link w:val="71"/>
    <w:qFormat/>
    <w:uiPriority w:val="0"/>
    <w:pPr>
      <w:adjustRightInd w:val="0"/>
      <w:spacing w:before="156" w:line="360" w:lineRule="auto"/>
      <w:ind w:firstLine="510" w:firstLineChars="200"/>
    </w:pPr>
    <w:rPr>
      <w:sz w:val="24"/>
      <w:szCs w:val="20"/>
    </w:rPr>
  </w:style>
  <w:style w:type="paragraph" w:customStyle="1" w:styleId="7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4">
    <w:name w:val="列出段落1"/>
    <w:basedOn w:val="1"/>
    <w:qFormat/>
    <w:uiPriority w:val="0"/>
    <w:pPr>
      <w:ind w:firstLine="420" w:firstLineChars="200"/>
    </w:pPr>
    <w:rPr>
      <w:szCs w:val="21"/>
    </w:rPr>
  </w:style>
  <w:style w:type="paragraph" w:customStyle="1" w:styleId="7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76">
    <w:name w:val="Table Text"/>
    <w:basedOn w:val="1"/>
    <w:semiHidden/>
    <w:qFormat/>
    <w:uiPriority w:val="0"/>
    <w:rPr>
      <w:rFonts w:ascii="宋体" w:hAnsi="宋体" w:eastAsia="宋体" w:cs="宋体"/>
      <w:sz w:val="19"/>
      <w:szCs w:val="19"/>
      <w:lang w:val="en-US" w:eastAsia="en-US" w:bidi="ar-SA"/>
    </w:rPr>
  </w:style>
  <w:style w:type="table" w:customStyle="1" w:styleId="77">
    <w:name w:val="Table Normal"/>
    <w:unhideWhenUsed/>
    <w:qFormat/>
    <w:uiPriority w:val="0"/>
    <w:tblPr>
      <w:tblCellMar>
        <w:top w:w="0" w:type="dxa"/>
        <w:left w:w="0" w:type="dxa"/>
        <w:bottom w:w="0" w:type="dxa"/>
        <w:right w:w="0" w:type="dxa"/>
      </w:tblCellMar>
    </w:tblPr>
  </w:style>
  <w:style w:type="paragraph" w:customStyle="1" w:styleId="78">
    <w:name w:val="正文_0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p0"/>
    <w:basedOn w:val="1"/>
    <w:qFormat/>
    <w:uiPriority w:val="0"/>
    <w:pPr>
      <w:widowControl/>
    </w:pPr>
    <w:rPr>
      <w:kern w:val="0"/>
      <w:szCs w:val="21"/>
    </w:rPr>
  </w:style>
  <w:style w:type="paragraph" w:customStyle="1" w:styleId="80">
    <w:name w:val="正文1"/>
    <w:basedOn w:val="1"/>
    <w:next w:val="1"/>
    <w:qFormat/>
    <w:uiPriority w:val="99"/>
    <w:pPr>
      <w:spacing w:line="440" w:lineRule="exact"/>
    </w:pPr>
    <w:rPr>
      <w:rFonts w:ascii="仿宋_GB2312" w:hAnsi="宋体"/>
      <w:sz w:val="24"/>
      <w:szCs w:val="24"/>
    </w:rPr>
  </w:style>
  <w:style w:type="paragraph" w:customStyle="1" w:styleId="81">
    <w:name w:val="纯文本1"/>
    <w:basedOn w:val="1"/>
    <w:qFormat/>
    <w:uiPriority w:val="0"/>
    <w:rPr>
      <w:rFonts w:ascii="宋体" w:hAnsi="Courier New"/>
      <w:szCs w:val="20"/>
    </w:rPr>
  </w:style>
  <w:style w:type="character" w:customStyle="1" w:styleId="82">
    <w:name w:val="font71"/>
    <w:basedOn w:val="31"/>
    <w:qFormat/>
    <w:uiPriority w:val="0"/>
    <w:rPr>
      <w:rFonts w:ascii="Arial" w:hAnsi="Arial" w:cs="Arial"/>
      <w:color w:val="000000"/>
      <w:sz w:val="20"/>
      <w:szCs w:val="20"/>
      <w:u w:val="none"/>
    </w:rPr>
  </w:style>
  <w:style w:type="character" w:customStyle="1" w:styleId="83">
    <w:name w:val="font151"/>
    <w:basedOn w:val="31"/>
    <w:qFormat/>
    <w:uiPriority w:val="0"/>
    <w:rPr>
      <w:rFonts w:hint="eastAsia" w:ascii="宋体" w:hAnsi="宋体" w:eastAsia="宋体" w:cs="宋体"/>
      <w:color w:val="000000"/>
      <w:sz w:val="20"/>
      <w:szCs w:val="20"/>
      <w:u w:val="none"/>
    </w:rPr>
  </w:style>
  <w:style w:type="character" w:customStyle="1" w:styleId="84">
    <w:name w:val="font141"/>
    <w:basedOn w:val="31"/>
    <w:qFormat/>
    <w:uiPriority w:val="0"/>
    <w:rPr>
      <w:rFonts w:hint="eastAsia" w:ascii="宋体" w:hAnsi="宋体" w:eastAsia="宋体" w:cs="宋体"/>
      <w:b/>
      <w:bCs/>
      <w:color w:val="000000"/>
      <w:sz w:val="20"/>
      <w:szCs w:val="20"/>
      <w:u w:val="none"/>
    </w:rPr>
  </w:style>
  <w:style w:type="paragraph" w:styleId="85">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Body text|1"/>
    <w:basedOn w:val="1"/>
    <w:qFormat/>
    <w:uiPriority w:val="0"/>
    <w:pPr>
      <w:spacing w:line="360" w:lineRule="auto"/>
      <w:ind w:firstLine="400"/>
    </w:pPr>
    <w:rPr>
      <w:rFonts w:ascii="宋体" w:hAnsi="宋体" w:eastAsia="宋体" w:cs="宋体"/>
      <w:sz w:val="20"/>
      <w:szCs w:val="20"/>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85</Pages>
  <Words>1610</Words>
  <Characters>2062</Characters>
  <Lines>1475</Lines>
  <Paragraphs>1401</Paragraphs>
  <TotalTime>222</TotalTime>
  <ScaleCrop>false</ScaleCrop>
  <LinksUpToDate>false</LinksUpToDate>
  <CharactersWithSpaces>2118</CharactersWithSpaces>
  <Application>WPS Office_12.1.0.28500_F1E327BC-269C-435d-A152-05C5408002CA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2024-05-15T16:44:00Z</dcterms:created>
  <dc:creator>唐冰</dc:creator>
  <cp:lastModifiedBy>Administrator</cp:lastModifiedBy>
  <cp:lastPrinted>2025-06-17T07:08:00Z</cp:lastPrinted>
  <dcterms:modified xsi:type="dcterms:W3CDTF">2026-08-21T14:22:28Z</dcterms:modified>
  <dc:title>竞争性谈判文件规范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ICV">
    <vt:lpwstr>723323F0FE3E40C184E719A555A0AC48_13</vt:lpwstr>
  </property>
  <property fmtid="{D5CDD505-2E9C-101B-9397-08002B2CF9AE}" pid="4" name="KSOTemplateDocerSaveRecord">
    <vt:lpwstr>eyJoZGlkIjoiMDQ5MGRjNDRjNTA5NDVmMWY2MTA5N2Y0MWE5NjExNWEiLCJ1c2VySWQiOiIxNTQ4OTc5NDEzIn0=</vt:lpwstr>
  </property>
</Properties>
</file>