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B51E0">
      <w:pPr>
        <w:spacing w:line="360" w:lineRule="auto"/>
        <w:jc w:val="center"/>
        <w:rPr>
          <w:color w:val="auto"/>
          <w:highlight w:val="none"/>
        </w:rPr>
      </w:pPr>
      <w:bookmarkStart w:id="105" w:name="_GoBack"/>
      <w:bookmarkEnd w:id="105"/>
    </w:p>
    <w:p w14:paraId="1804A87C">
      <w:pPr>
        <w:spacing w:line="360" w:lineRule="auto"/>
        <w:jc w:val="center"/>
        <w:rPr>
          <w:rFonts w:ascii="方正小标宋简体" w:hAnsi="方正小标宋简体" w:eastAsia="方正小标宋简体" w:cs="方正小标宋简体"/>
          <w:b/>
          <w:color w:val="auto"/>
          <w:sz w:val="44"/>
          <w:szCs w:val="44"/>
          <w:highlight w:val="none"/>
        </w:rPr>
      </w:pPr>
      <w:r>
        <w:rPr>
          <w:color w:val="auto"/>
          <w:highlight w:val="none"/>
        </w:rPr>
        <w:drawing>
          <wp:inline distT="0" distB="0" distL="114300" distR="114300">
            <wp:extent cx="1887855" cy="1844040"/>
            <wp:effectExtent l="0" t="0" r="1270" b="1905"/>
            <wp:docPr id="1" name="图片 2" descr="TIM图片2019040917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IM图片20190409175741"/>
                    <pic:cNvPicPr>
                      <a:picLocks noChangeAspect="1"/>
                    </pic:cNvPicPr>
                  </pic:nvPicPr>
                  <pic:blipFill>
                    <a:blip r:embed="rId11"/>
                    <a:stretch>
                      <a:fillRect/>
                    </a:stretch>
                  </pic:blipFill>
                  <pic:spPr>
                    <a:xfrm>
                      <a:off x="0" y="0"/>
                      <a:ext cx="1887855" cy="1844040"/>
                    </a:xfrm>
                    <a:prstGeom prst="rect">
                      <a:avLst/>
                    </a:prstGeom>
                    <a:noFill/>
                    <a:ln>
                      <a:noFill/>
                    </a:ln>
                  </pic:spPr>
                </pic:pic>
              </a:graphicData>
            </a:graphic>
          </wp:inline>
        </w:drawing>
      </w:r>
    </w:p>
    <w:p w14:paraId="4599D045">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32E9C377">
      <w:pPr>
        <w:snapToGrid w:val="0"/>
        <w:spacing w:before="156" w:beforeLines="50"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41B40E45">
      <w:pPr>
        <w:snapToGrid w:val="0"/>
        <w:spacing w:before="156" w:beforeLines="50" w:line="360" w:lineRule="auto"/>
        <w:jc w:val="center"/>
        <w:rPr>
          <w:rFonts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5583EA8D">
      <w:pPr>
        <w:snapToGrid w:val="0"/>
        <w:spacing w:line="360" w:lineRule="auto"/>
        <w:rPr>
          <w:rFonts w:hint="eastAsia" w:ascii="仿宋_GB2312" w:hAnsi="宋体" w:eastAsia="仿宋_GB2312"/>
          <w:color w:val="auto"/>
          <w:sz w:val="30"/>
          <w:szCs w:val="72"/>
          <w:highlight w:val="none"/>
        </w:rPr>
      </w:pPr>
    </w:p>
    <w:p w14:paraId="22335FE1">
      <w:pPr>
        <w:snapToGrid w:val="0"/>
        <w:spacing w:line="360" w:lineRule="auto"/>
        <w:ind w:firstLine="602" w:firstLineChars="200"/>
        <w:rPr>
          <w:rFonts w:hint="eastAsia" w:hAnsi="宋体" w:cs="宋体"/>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hAnsi="宋体" w:cs="宋体"/>
          <w:b/>
          <w:bCs/>
          <w:color w:val="auto"/>
          <w:sz w:val="30"/>
          <w:szCs w:val="30"/>
          <w:highlight w:val="none"/>
          <w:lang w:eastAsia="zh-CN"/>
        </w:rPr>
        <w:t>广西物流职业技术学院安防设备重建项目</w:t>
      </w:r>
    </w:p>
    <w:p w14:paraId="00A2CEFA">
      <w:pPr>
        <w:snapToGrid w:val="0"/>
        <w:spacing w:line="360" w:lineRule="auto"/>
        <w:ind w:firstLine="602" w:firstLineChars="200"/>
        <w:rPr>
          <w:rFonts w:ascii="仿宋_GB2312" w:hAnsi="宋体" w:eastAsia="仿宋_GB2312"/>
          <w:b/>
          <w:bCs/>
          <w:color w:val="auto"/>
          <w:sz w:val="30"/>
          <w:szCs w:val="30"/>
          <w:highlight w:val="none"/>
        </w:rPr>
      </w:pPr>
      <w:r>
        <w:rPr>
          <w:rFonts w:hint="eastAsia" w:hAnsi="宋体" w:cs="宋体"/>
          <w:b/>
          <w:bCs/>
          <w:color w:val="auto"/>
          <w:sz w:val="30"/>
          <w:szCs w:val="30"/>
          <w:highlight w:val="none"/>
          <w:lang w:eastAsia="zh-CN"/>
        </w:rPr>
        <w:t>（保开学部分）</w:t>
      </w:r>
    </w:p>
    <w:p w14:paraId="1379E71F">
      <w:pPr>
        <w:ind w:firstLine="572" w:firstLineChars="200"/>
        <w:rPr>
          <w:rFonts w:hint="eastAsia" w:ascii="仿宋_GB2312" w:hAnsi="宋体" w:eastAsia="仿宋_GB2312"/>
          <w:b/>
          <w:bCs/>
          <w:color w:val="auto"/>
          <w:w w:val="95"/>
          <w:sz w:val="30"/>
          <w:szCs w:val="30"/>
          <w:highlight w:val="none"/>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Courier New"/>
          <w:b/>
          <w:bCs/>
          <w:color w:val="auto"/>
          <w:w w:val="95"/>
          <w:sz w:val="30"/>
          <w:szCs w:val="30"/>
          <w:highlight w:val="none"/>
          <w:lang w:eastAsia="zh-CN"/>
        </w:rPr>
        <w:t>GXZC2026-C3-002634-JGJD</w:t>
      </w:r>
    </w:p>
    <w:p w14:paraId="0FE10EF2">
      <w:pPr>
        <w:pStyle w:val="14"/>
        <w:snapToGrid w:val="0"/>
        <w:spacing w:line="360" w:lineRule="auto"/>
        <w:ind w:firstLine="572" w:firstLineChars="200"/>
        <w:rPr>
          <w:rFonts w:hint="eastAsia" w:ascii="仿宋_GB2312" w:hAnsi="宋体" w:eastAsia="仿宋_GB2312"/>
          <w:b/>
          <w:bCs/>
          <w:color w:val="auto"/>
          <w:w w:val="95"/>
          <w:sz w:val="30"/>
          <w:szCs w:val="30"/>
          <w:highlight w:val="none"/>
        </w:rPr>
      </w:pPr>
    </w:p>
    <w:p w14:paraId="670751DA">
      <w:pPr>
        <w:pStyle w:val="14"/>
        <w:snapToGrid w:val="0"/>
        <w:spacing w:line="360" w:lineRule="auto"/>
        <w:ind w:firstLine="572" w:firstLineChars="200"/>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 购 人：</w:t>
      </w:r>
      <w:r>
        <w:rPr>
          <w:rFonts w:hint="eastAsia" w:ascii="仿宋_GB2312" w:hAnsi="宋体" w:eastAsia="仿宋_GB2312"/>
          <w:b/>
          <w:bCs/>
          <w:color w:val="auto"/>
          <w:w w:val="95"/>
          <w:sz w:val="30"/>
          <w:szCs w:val="30"/>
          <w:highlight w:val="none"/>
          <w:lang w:eastAsia="zh-CN"/>
        </w:rPr>
        <w:t>广西物流职业技术学院</w:t>
      </w:r>
      <w:r>
        <w:rPr>
          <w:rFonts w:hint="eastAsia" w:ascii="仿宋_GB2312" w:hAnsi="宋体" w:eastAsia="仿宋_GB2312"/>
          <w:b/>
          <w:bCs/>
          <w:color w:val="auto"/>
          <w:w w:val="95"/>
          <w:sz w:val="30"/>
          <w:szCs w:val="30"/>
          <w:highlight w:val="none"/>
        </w:rPr>
        <w:t xml:space="preserve"> </w:t>
      </w:r>
    </w:p>
    <w:p w14:paraId="283BD96A">
      <w:pPr>
        <w:pStyle w:val="14"/>
        <w:snapToGrid w:val="0"/>
        <w:spacing w:line="360" w:lineRule="auto"/>
        <w:ind w:firstLine="572" w:firstLineChars="200"/>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采购代理机构：广西建设工程机电设备招标中心有限公司</w:t>
      </w:r>
    </w:p>
    <w:p w14:paraId="366ED088">
      <w:pPr>
        <w:pStyle w:val="14"/>
        <w:snapToGrid w:val="0"/>
        <w:spacing w:line="360" w:lineRule="auto"/>
        <w:ind w:firstLine="1125" w:firstLineChars="393"/>
        <w:rPr>
          <w:rFonts w:hint="eastAsia" w:ascii="仿宋_GB2312" w:hAnsi="宋体" w:eastAsia="仿宋_GB2312"/>
          <w:b/>
          <w:bCs/>
          <w:color w:val="auto"/>
          <w:w w:val="95"/>
          <w:sz w:val="30"/>
          <w:szCs w:val="30"/>
          <w:highlight w:val="none"/>
        </w:rPr>
      </w:pPr>
    </w:p>
    <w:p w14:paraId="04209429">
      <w:pPr>
        <w:pStyle w:val="14"/>
        <w:snapToGrid w:val="0"/>
        <w:spacing w:line="360" w:lineRule="auto"/>
        <w:ind w:firstLine="1125" w:firstLineChars="393"/>
        <w:rPr>
          <w:rFonts w:hint="eastAsia" w:ascii="仿宋_GB2312" w:hAnsi="宋体" w:eastAsia="仿宋_GB2312"/>
          <w:b/>
          <w:bCs/>
          <w:color w:val="auto"/>
          <w:w w:val="95"/>
          <w:sz w:val="30"/>
          <w:szCs w:val="30"/>
          <w:highlight w:val="none"/>
        </w:rPr>
      </w:pPr>
    </w:p>
    <w:p w14:paraId="6B770E41">
      <w:pPr>
        <w:pStyle w:val="14"/>
        <w:snapToGrid w:val="0"/>
        <w:spacing w:line="360" w:lineRule="auto"/>
        <w:ind w:left="420" w:firstLine="841" w:firstLineChars="294"/>
        <w:rPr>
          <w:rFonts w:hint="eastAsia" w:ascii="仿宋_GB2312" w:eastAsia="仿宋_GB2312"/>
          <w:color w:val="auto"/>
          <w:szCs w:val="20"/>
          <w:highlight w:val="none"/>
          <w:lang w:eastAsia="zh-CN"/>
        </w:r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eastAsia="zh-CN"/>
        </w:rPr>
        <w:t xml:space="preserve"> 2026年</w:t>
      </w:r>
      <w:r>
        <w:rPr>
          <w:rFonts w:hint="eastAsia" w:ascii="仿宋_GB2312" w:hAnsi="宋体" w:eastAsia="仿宋_GB2312"/>
          <w:b/>
          <w:bCs/>
          <w:color w:val="auto"/>
          <w:w w:val="95"/>
          <w:sz w:val="30"/>
          <w:szCs w:val="30"/>
          <w:highlight w:val="none"/>
          <w:lang w:val="en-US" w:eastAsia="zh-CN"/>
        </w:rPr>
        <w:t>8</w:t>
      </w:r>
      <w:r>
        <w:rPr>
          <w:rFonts w:hint="eastAsia" w:ascii="仿宋_GB2312" w:hAnsi="宋体" w:eastAsia="仿宋_GB2312"/>
          <w:b/>
          <w:bCs/>
          <w:color w:val="auto"/>
          <w:w w:val="95"/>
          <w:sz w:val="30"/>
          <w:szCs w:val="30"/>
          <w:highlight w:val="none"/>
          <w:lang w:eastAsia="zh-CN"/>
        </w:rPr>
        <w:t>月</w:t>
      </w:r>
      <w:r>
        <w:rPr>
          <w:rFonts w:hint="eastAsia" w:ascii="仿宋_GB2312" w:hAnsi="宋体" w:eastAsia="仿宋_GB2312"/>
          <w:b/>
          <w:bCs/>
          <w:color w:val="auto"/>
          <w:w w:val="95"/>
          <w:sz w:val="30"/>
          <w:szCs w:val="30"/>
          <w:highlight w:val="none"/>
          <w:lang w:val="en-US" w:eastAsia="zh-CN"/>
        </w:rPr>
        <w:t>12</w:t>
      </w:r>
      <w:r>
        <w:rPr>
          <w:rFonts w:hint="eastAsia" w:ascii="仿宋_GB2312" w:hAnsi="宋体" w:eastAsia="仿宋_GB2312"/>
          <w:b/>
          <w:bCs/>
          <w:color w:val="auto"/>
          <w:w w:val="95"/>
          <w:sz w:val="30"/>
          <w:szCs w:val="30"/>
          <w:highlight w:val="none"/>
          <w:lang w:eastAsia="zh-CN"/>
        </w:rPr>
        <w:t>日</w:t>
      </w:r>
    </w:p>
    <w:p w14:paraId="403316FD">
      <w:pPr>
        <w:spacing w:line="360" w:lineRule="auto"/>
        <w:jc w:val="center"/>
        <w:rPr>
          <w:rFonts w:hint="eastAsia" w:ascii="宋体" w:hAnsi="宋体" w:cs="宋体"/>
          <w:b/>
          <w:bCs/>
          <w:color w:val="auto"/>
          <w:kern w:val="0"/>
          <w:sz w:val="32"/>
          <w:szCs w:val="32"/>
          <w:highlight w:val="none"/>
        </w:rPr>
      </w:pPr>
    </w:p>
    <w:p w14:paraId="2D4FAD19">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289A720F">
      <w:pPr>
        <w:spacing w:line="400" w:lineRule="exact"/>
        <w:jc w:val="center"/>
        <w:rPr>
          <w:rFonts w:hint="eastAsia" w:ascii="宋体" w:hAnsi="宋体"/>
          <w:b/>
          <w:color w:val="auto"/>
          <w:sz w:val="44"/>
          <w:szCs w:val="44"/>
          <w:highlight w:val="none"/>
        </w:rPr>
      </w:pPr>
    </w:p>
    <w:p w14:paraId="13F5DA75">
      <w:pPr>
        <w:pStyle w:val="19"/>
        <w:tabs>
          <w:tab w:val="right" w:leader="dot" w:pos="8869"/>
        </w:tabs>
        <w:snapToGrid w:val="0"/>
        <w:spacing w:line="500" w:lineRule="atLeast"/>
        <w:rPr>
          <w:rFonts w:ascii="宋体" w:hAnsi="宋体"/>
          <w:b/>
          <w:color w:val="auto"/>
          <w:sz w:val="24"/>
          <w:highlight w:val="none"/>
        </w:rPr>
      </w:pPr>
      <w:r>
        <w:rPr>
          <w:rFonts w:ascii="宋体" w:hAnsi="宋体"/>
          <w:b/>
          <w:color w:val="auto"/>
          <w:sz w:val="24"/>
          <w:highlight w:val="none"/>
        </w:rPr>
        <w:fldChar w:fldCharType="begin"/>
      </w:r>
      <w:r>
        <w:rPr>
          <w:rFonts w:ascii="宋体" w:hAnsi="宋体"/>
          <w:b/>
          <w:color w:val="auto"/>
          <w:sz w:val="24"/>
          <w:highlight w:val="none"/>
        </w:rPr>
        <w:instrText xml:space="preserve"> </w:instrText>
      </w:r>
      <w:r>
        <w:rPr>
          <w:rFonts w:hint="eastAsia" w:ascii="宋体" w:hAnsi="宋体"/>
          <w:b/>
          <w:color w:val="auto"/>
          <w:sz w:val="24"/>
          <w:highlight w:val="none"/>
        </w:rPr>
        <w:instrText xml:space="preserve">TOC \o "1-3" \h \z \u</w:instrText>
      </w:r>
      <w:r>
        <w:rPr>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29"/>
          <w:rFonts w:ascii="宋体" w:hAnsi="宋体"/>
          <w:b/>
          <w:color w:val="auto"/>
          <w:sz w:val="24"/>
          <w:highlight w:val="none"/>
        </w:rPr>
        <w:fldChar w:fldCharType="begin"/>
      </w:r>
      <w:r>
        <w:rPr>
          <w:rStyle w:val="29"/>
          <w:rFonts w:ascii="宋体" w:hAnsi="宋体"/>
          <w:b/>
          <w:color w:val="auto"/>
          <w:sz w:val="24"/>
          <w:highlight w:val="none"/>
        </w:rPr>
        <w:instrText xml:space="preserve"> </w:instrText>
      </w:r>
      <w:r>
        <w:rPr>
          <w:rFonts w:ascii="宋体" w:hAnsi="宋体"/>
          <w:b/>
          <w:color w:val="auto"/>
          <w:sz w:val="24"/>
          <w:highlight w:val="none"/>
        </w:rPr>
        <w:instrText xml:space="preserve">HYPERLINK \l "_Toc74323456"</w:instrText>
      </w:r>
      <w:r>
        <w:rPr>
          <w:rStyle w:val="29"/>
          <w:rFonts w:ascii="宋体" w:hAnsi="宋体"/>
          <w:b/>
          <w:color w:val="auto"/>
          <w:sz w:val="24"/>
          <w:highlight w:val="none"/>
        </w:rPr>
        <w:instrText xml:space="preserve"> </w:instrText>
      </w:r>
      <w:r>
        <w:rPr>
          <w:rStyle w:val="29"/>
          <w:rFonts w:ascii="宋体" w:hAnsi="宋体"/>
          <w:b/>
          <w:color w:val="auto"/>
          <w:sz w:val="24"/>
          <w:highlight w:val="none"/>
        </w:rPr>
        <w:fldChar w:fldCharType="separate"/>
      </w:r>
      <w:r>
        <w:rPr>
          <w:rStyle w:val="29"/>
          <w:rFonts w:hint="eastAsia" w:ascii="宋体" w:hAnsi="宋体"/>
          <w:b/>
          <w:color w:val="auto"/>
          <w:sz w:val="24"/>
          <w:highlight w:val="none"/>
        </w:rPr>
        <w:t>第一章</w:t>
      </w:r>
      <w:r>
        <w:rPr>
          <w:rStyle w:val="29"/>
          <w:rFonts w:ascii="宋体" w:hAnsi="宋体"/>
          <w:b/>
          <w:color w:val="auto"/>
          <w:sz w:val="24"/>
          <w:highlight w:val="none"/>
        </w:rPr>
        <w:t xml:space="preserve"> </w:t>
      </w:r>
      <w:r>
        <w:rPr>
          <w:rStyle w:val="29"/>
          <w:rFonts w:hint="eastAsia" w:ascii="宋体" w:hAnsi="宋体"/>
          <w:b/>
          <w:color w:val="auto"/>
          <w:sz w:val="24"/>
          <w:highlight w:val="none"/>
        </w:rPr>
        <w:t>竞争性磋商公告</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_Toc74323456 \h </w:instrText>
      </w:r>
      <w:r>
        <w:rPr>
          <w:rFonts w:ascii="宋体" w:hAnsi="宋体"/>
          <w:b/>
          <w:color w:val="auto"/>
          <w:sz w:val="24"/>
          <w:highlight w:val="none"/>
        </w:rPr>
        <w:fldChar w:fldCharType="separate"/>
      </w:r>
      <w:r>
        <w:rPr>
          <w:rFonts w:ascii="宋体" w:hAnsi="宋体"/>
          <w:b/>
          <w:color w:val="auto"/>
          <w:sz w:val="24"/>
          <w:highlight w:val="none"/>
        </w:rPr>
        <w:t>1</w:t>
      </w:r>
      <w:r>
        <w:rPr>
          <w:rFonts w:ascii="宋体" w:hAnsi="宋体"/>
          <w:b/>
          <w:color w:val="auto"/>
          <w:sz w:val="24"/>
          <w:highlight w:val="none"/>
        </w:rPr>
        <w:fldChar w:fldCharType="end"/>
      </w:r>
      <w:r>
        <w:rPr>
          <w:rStyle w:val="29"/>
          <w:rFonts w:ascii="宋体" w:hAnsi="宋体"/>
          <w:b/>
          <w:color w:val="auto"/>
          <w:sz w:val="24"/>
          <w:highlight w:val="none"/>
        </w:rPr>
        <w:fldChar w:fldCharType="end"/>
      </w:r>
    </w:p>
    <w:p w14:paraId="51765F60">
      <w:pPr>
        <w:pStyle w:val="19"/>
        <w:tabs>
          <w:tab w:val="right" w:leader="dot" w:pos="8869"/>
        </w:tabs>
        <w:snapToGrid w:val="0"/>
        <w:spacing w:line="500" w:lineRule="atLeast"/>
        <w:rPr>
          <w:rFonts w:ascii="宋体" w:hAnsi="宋体"/>
          <w:b/>
          <w:color w:val="auto"/>
          <w:sz w:val="24"/>
          <w:highlight w:val="none"/>
        </w:rPr>
      </w:pPr>
      <w:r>
        <w:rPr>
          <w:rStyle w:val="29"/>
          <w:rFonts w:ascii="宋体" w:hAnsi="宋体"/>
          <w:b/>
          <w:color w:val="auto"/>
          <w:sz w:val="24"/>
          <w:highlight w:val="none"/>
        </w:rPr>
        <w:fldChar w:fldCharType="begin"/>
      </w:r>
      <w:r>
        <w:rPr>
          <w:rStyle w:val="29"/>
          <w:rFonts w:ascii="宋体" w:hAnsi="宋体"/>
          <w:b/>
          <w:color w:val="auto"/>
          <w:sz w:val="24"/>
          <w:highlight w:val="none"/>
        </w:rPr>
        <w:instrText xml:space="preserve"> </w:instrText>
      </w:r>
      <w:r>
        <w:rPr>
          <w:rFonts w:ascii="宋体" w:hAnsi="宋体"/>
          <w:b/>
          <w:color w:val="auto"/>
          <w:sz w:val="24"/>
          <w:highlight w:val="none"/>
        </w:rPr>
        <w:instrText xml:space="preserve">HYPERLINK \l "_Toc74323457"</w:instrText>
      </w:r>
      <w:r>
        <w:rPr>
          <w:rStyle w:val="29"/>
          <w:rFonts w:ascii="宋体" w:hAnsi="宋体"/>
          <w:b/>
          <w:color w:val="auto"/>
          <w:sz w:val="24"/>
          <w:highlight w:val="none"/>
        </w:rPr>
        <w:instrText xml:space="preserve"> </w:instrText>
      </w:r>
      <w:r>
        <w:rPr>
          <w:rStyle w:val="29"/>
          <w:rFonts w:ascii="宋体" w:hAnsi="宋体"/>
          <w:b/>
          <w:color w:val="auto"/>
          <w:sz w:val="24"/>
          <w:highlight w:val="none"/>
        </w:rPr>
        <w:fldChar w:fldCharType="separate"/>
      </w:r>
      <w:r>
        <w:rPr>
          <w:rStyle w:val="29"/>
          <w:rFonts w:hint="eastAsia" w:ascii="宋体" w:hAnsi="宋体"/>
          <w:b/>
          <w:color w:val="auto"/>
          <w:sz w:val="24"/>
          <w:highlight w:val="none"/>
        </w:rPr>
        <w:t>第二章</w:t>
      </w:r>
      <w:r>
        <w:rPr>
          <w:rStyle w:val="29"/>
          <w:rFonts w:ascii="宋体" w:hAnsi="宋体"/>
          <w:b/>
          <w:color w:val="auto"/>
          <w:sz w:val="24"/>
          <w:highlight w:val="none"/>
        </w:rPr>
        <w:t xml:space="preserve"> </w:t>
      </w:r>
      <w:r>
        <w:rPr>
          <w:rStyle w:val="29"/>
          <w:rFonts w:hint="eastAsia" w:ascii="宋体" w:hAnsi="宋体"/>
          <w:b/>
          <w:color w:val="auto"/>
          <w:sz w:val="24"/>
          <w:highlight w:val="none"/>
        </w:rPr>
        <w:t>供应</w:t>
      </w:r>
      <w:bookmarkStart w:id="0" w:name="_Hlt82161237"/>
      <w:r>
        <w:rPr>
          <w:rStyle w:val="29"/>
          <w:rFonts w:hint="eastAsia" w:ascii="宋体" w:hAnsi="宋体"/>
          <w:b/>
          <w:color w:val="auto"/>
          <w:sz w:val="24"/>
          <w:highlight w:val="none"/>
        </w:rPr>
        <w:t>商</w:t>
      </w:r>
      <w:bookmarkEnd w:id="0"/>
      <w:r>
        <w:rPr>
          <w:rStyle w:val="29"/>
          <w:rFonts w:hint="eastAsia" w:ascii="宋体" w:hAnsi="宋体"/>
          <w:b/>
          <w:color w:val="auto"/>
          <w:sz w:val="24"/>
          <w:highlight w:val="none"/>
        </w:rPr>
        <w:t>须知</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_Toc74323457 \h </w:instrText>
      </w:r>
      <w:r>
        <w:rPr>
          <w:rFonts w:ascii="宋体" w:hAnsi="宋体"/>
          <w:b/>
          <w:color w:val="auto"/>
          <w:sz w:val="24"/>
          <w:highlight w:val="none"/>
        </w:rPr>
        <w:fldChar w:fldCharType="separate"/>
      </w:r>
      <w:r>
        <w:rPr>
          <w:rFonts w:ascii="宋体" w:hAnsi="宋体"/>
          <w:b/>
          <w:color w:val="auto"/>
          <w:sz w:val="24"/>
          <w:highlight w:val="none"/>
        </w:rPr>
        <w:t>4</w:t>
      </w:r>
      <w:r>
        <w:rPr>
          <w:rFonts w:ascii="宋体" w:hAnsi="宋体"/>
          <w:b/>
          <w:color w:val="auto"/>
          <w:sz w:val="24"/>
          <w:highlight w:val="none"/>
        </w:rPr>
        <w:fldChar w:fldCharType="end"/>
      </w:r>
      <w:r>
        <w:rPr>
          <w:rStyle w:val="29"/>
          <w:rFonts w:ascii="宋体" w:hAnsi="宋体"/>
          <w:b/>
          <w:color w:val="auto"/>
          <w:sz w:val="24"/>
          <w:highlight w:val="none"/>
        </w:rPr>
        <w:fldChar w:fldCharType="end"/>
      </w:r>
    </w:p>
    <w:p w14:paraId="62B5EFD2">
      <w:pPr>
        <w:pStyle w:val="19"/>
        <w:tabs>
          <w:tab w:val="right" w:leader="dot" w:pos="8869"/>
        </w:tabs>
        <w:snapToGrid w:val="0"/>
        <w:spacing w:line="500" w:lineRule="atLeast"/>
        <w:rPr>
          <w:rFonts w:ascii="宋体" w:hAnsi="宋体"/>
          <w:b/>
          <w:color w:val="auto"/>
          <w:sz w:val="24"/>
          <w:highlight w:val="none"/>
        </w:rPr>
      </w:pPr>
      <w:r>
        <w:rPr>
          <w:rStyle w:val="29"/>
          <w:rFonts w:ascii="宋体" w:hAnsi="宋体"/>
          <w:b/>
          <w:color w:val="auto"/>
          <w:sz w:val="24"/>
          <w:highlight w:val="none"/>
        </w:rPr>
        <w:fldChar w:fldCharType="begin"/>
      </w:r>
      <w:r>
        <w:rPr>
          <w:rStyle w:val="29"/>
          <w:rFonts w:ascii="宋体" w:hAnsi="宋体"/>
          <w:b/>
          <w:color w:val="auto"/>
          <w:sz w:val="24"/>
          <w:highlight w:val="none"/>
        </w:rPr>
        <w:instrText xml:space="preserve"> </w:instrText>
      </w:r>
      <w:r>
        <w:rPr>
          <w:rFonts w:ascii="宋体" w:hAnsi="宋体"/>
          <w:b/>
          <w:color w:val="auto"/>
          <w:sz w:val="24"/>
          <w:highlight w:val="none"/>
        </w:rPr>
        <w:instrText xml:space="preserve">HYPERLINK \l "_Toc74323458"</w:instrText>
      </w:r>
      <w:r>
        <w:rPr>
          <w:rStyle w:val="29"/>
          <w:rFonts w:ascii="宋体" w:hAnsi="宋体"/>
          <w:b/>
          <w:color w:val="auto"/>
          <w:sz w:val="24"/>
          <w:highlight w:val="none"/>
        </w:rPr>
        <w:instrText xml:space="preserve"> </w:instrText>
      </w:r>
      <w:r>
        <w:rPr>
          <w:rStyle w:val="29"/>
          <w:rFonts w:ascii="宋体" w:hAnsi="宋体"/>
          <w:b/>
          <w:color w:val="auto"/>
          <w:sz w:val="24"/>
          <w:highlight w:val="none"/>
        </w:rPr>
        <w:fldChar w:fldCharType="separate"/>
      </w:r>
      <w:r>
        <w:rPr>
          <w:rStyle w:val="29"/>
          <w:rFonts w:hint="eastAsia" w:ascii="宋体" w:hAnsi="宋体"/>
          <w:b/>
          <w:color w:val="auto"/>
          <w:sz w:val="24"/>
          <w:highlight w:val="none"/>
        </w:rPr>
        <w:t>第三章</w:t>
      </w:r>
      <w:r>
        <w:rPr>
          <w:rStyle w:val="29"/>
          <w:rFonts w:ascii="宋体" w:hAnsi="宋体"/>
          <w:b/>
          <w:color w:val="auto"/>
          <w:sz w:val="24"/>
          <w:highlight w:val="none"/>
        </w:rPr>
        <w:t xml:space="preserve"> </w:t>
      </w:r>
      <w:r>
        <w:rPr>
          <w:rStyle w:val="29"/>
          <w:rFonts w:hint="eastAsia" w:ascii="宋体" w:hAnsi="宋体"/>
          <w:b/>
          <w:color w:val="auto"/>
          <w:sz w:val="24"/>
          <w:highlight w:val="none"/>
        </w:rPr>
        <w:t>采购需</w:t>
      </w:r>
      <w:bookmarkStart w:id="1" w:name="_Hlt82166940"/>
      <w:r>
        <w:rPr>
          <w:rStyle w:val="29"/>
          <w:rFonts w:hint="eastAsia" w:ascii="宋体" w:hAnsi="宋体"/>
          <w:b/>
          <w:color w:val="auto"/>
          <w:sz w:val="24"/>
          <w:highlight w:val="none"/>
        </w:rPr>
        <w:t>求</w:t>
      </w:r>
      <w:bookmarkEnd w:id="1"/>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_Toc74323458 \h </w:instrText>
      </w:r>
      <w:r>
        <w:rPr>
          <w:rFonts w:ascii="宋体" w:hAnsi="宋体"/>
          <w:b/>
          <w:color w:val="auto"/>
          <w:sz w:val="24"/>
          <w:highlight w:val="none"/>
        </w:rPr>
        <w:fldChar w:fldCharType="separate"/>
      </w:r>
      <w:r>
        <w:rPr>
          <w:rFonts w:ascii="宋体" w:hAnsi="宋体"/>
          <w:b/>
          <w:color w:val="auto"/>
          <w:sz w:val="24"/>
          <w:highlight w:val="none"/>
        </w:rPr>
        <w:t>22</w:t>
      </w:r>
      <w:r>
        <w:rPr>
          <w:rFonts w:ascii="宋体" w:hAnsi="宋体"/>
          <w:b/>
          <w:color w:val="auto"/>
          <w:sz w:val="24"/>
          <w:highlight w:val="none"/>
        </w:rPr>
        <w:fldChar w:fldCharType="end"/>
      </w:r>
      <w:r>
        <w:rPr>
          <w:rStyle w:val="29"/>
          <w:rFonts w:ascii="宋体" w:hAnsi="宋体"/>
          <w:b/>
          <w:color w:val="auto"/>
          <w:sz w:val="24"/>
          <w:highlight w:val="none"/>
        </w:rPr>
        <w:fldChar w:fldCharType="end"/>
      </w:r>
    </w:p>
    <w:p w14:paraId="03B8C60A">
      <w:pPr>
        <w:pStyle w:val="19"/>
        <w:tabs>
          <w:tab w:val="right" w:leader="dot" w:pos="8869"/>
        </w:tabs>
        <w:snapToGrid w:val="0"/>
        <w:spacing w:line="500" w:lineRule="atLeast"/>
        <w:rPr>
          <w:rFonts w:ascii="宋体" w:hAnsi="宋体"/>
          <w:b/>
          <w:color w:val="auto"/>
          <w:sz w:val="24"/>
          <w:highlight w:val="none"/>
        </w:rPr>
      </w:pPr>
      <w:r>
        <w:rPr>
          <w:rStyle w:val="29"/>
          <w:rFonts w:ascii="宋体" w:hAnsi="宋体"/>
          <w:b/>
          <w:color w:val="auto"/>
          <w:sz w:val="24"/>
          <w:highlight w:val="none"/>
        </w:rPr>
        <w:fldChar w:fldCharType="begin"/>
      </w:r>
      <w:r>
        <w:rPr>
          <w:rStyle w:val="29"/>
          <w:rFonts w:ascii="宋体" w:hAnsi="宋体"/>
          <w:b/>
          <w:color w:val="auto"/>
          <w:sz w:val="24"/>
          <w:highlight w:val="none"/>
        </w:rPr>
        <w:instrText xml:space="preserve"> </w:instrText>
      </w:r>
      <w:r>
        <w:rPr>
          <w:rFonts w:ascii="宋体" w:hAnsi="宋体"/>
          <w:b/>
          <w:color w:val="auto"/>
          <w:sz w:val="24"/>
          <w:highlight w:val="none"/>
        </w:rPr>
        <w:instrText xml:space="preserve">HYPERLINK \l "_Toc74323459"</w:instrText>
      </w:r>
      <w:r>
        <w:rPr>
          <w:rStyle w:val="29"/>
          <w:rFonts w:ascii="宋体" w:hAnsi="宋体"/>
          <w:b/>
          <w:color w:val="auto"/>
          <w:sz w:val="24"/>
          <w:highlight w:val="none"/>
        </w:rPr>
        <w:instrText xml:space="preserve"> </w:instrText>
      </w:r>
      <w:r>
        <w:rPr>
          <w:rStyle w:val="29"/>
          <w:rFonts w:ascii="宋体" w:hAnsi="宋体"/>
          <w:b/>
          <w:color w:val="auto"/>
          <w:sz w:val="24"/>
          <w:highlight w:val="none"/>
        </w:rPr>
        <w:fldChar w:fldCharType="separate"/>
      </w:r>
      <w:r>
        <w:rPr>
          <w:rStyle w:val="29"/>
          <w:rFonts w:hint="eastAsia" w:ascii="宋体" w:hAnsi="宋体"/>
          <w:b/>
          <w:color w:val="auto"/>
          <w:sz w:val="24"/>
          <w:highlight w:val="none"/>
        </w:rPr>
        <w:t>第四章</w:t>
      </w:r>
      <w:r>
        <w:rPr>
          <w:rStyle w:val="29"/>
          <w:rFonts w:ascii="宋体" w:hAnsi="宋体"/>
          <w:b/>
          <w:color w:val="auto"/>
          <w:sz w:val="24"/>
          <w:highlight w:val="none"/>
        </w:rPr>
        <w:t xml:space="preserve"> </w:t>
      </w:r>
      <w:r>
        <w:rPr>
          <w:rStyle w:val="29"/>
          <w:rFonts w:hint="eastAsia" w:ascii="宋体" w:hAnsi="宋体"/>
          <w:b/>
          <w:color w:val="auto"/>
          <w:sz w:val="24"/>
          <w:highlight w:val="none"/>
        </w:rPr>
        <w:t>评审程序、</w:t>
      </w:r>
      <w:bookmarkStart w:id="2" w:name="_Hlt82166000"/>
      <w:r>
        <w:rPr>
          <w:rStyle w:val="29"/>
          <w:rFonts w:hint="eastAsia" w:ascii="宋体" w:hAnsi="宋体"/>
          <w:b/>
          <w:color w:val="auto"/>
          <w:sz w:val="24"/>
          <w:highlight w:val="none"/>
        </w:rPr>
        <w:t>评</w:t>
      </w:r>
      <w:bookmarkEnd w:id="2"/>
      <w:r>
        <w:rPr>
          <w:rStyle w:val="29"/>
          <w:rFonts w:hint="eastAsia" w:ascii="宋体" w:hAnsi="宋体"/>
          <w:b/>
          <w:color w:val="auto"/>
          <w:sz w:val="24"/>
          <w:highlight w:val="none"/>
        </w:rPr>
        <w:t>审方法和评审标准</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_Toc74323459 \h </w:instrText>
      </w:r>
      <w:r>
        <w:rPr>
          <w:rFonts w:ascii="宋体" w:hAnsi="宋体"/>
          <w:b/>
          <w:color w:val="auto"/>
          <w:sz w:val="24"/>
          <w:highlight w:val="none"/>
        </w:rPr>
        <w:fldChar w:fldCharType="separate"/>
      </w:r>
      <w:r>
        <w:rPr>
          <w:rFonts w:ascii="宋体" w:hAnsi="宋体"/>
          <w:b/>
          <w:color w:val="auto"/>
          <w:sz w:val="24"/>
          <w:highlight w:val="none"/>
        </w:rPr>
        <w:t>45</w:t>
      </w:r>
      <w:r>
        <w:rPr>
          <w:rFonts w:ascii="宋体" w:hAnsi="宋体"/>
          <w:b/>
          <w:color w:val="auto"/>
          <w:sz w:val="24"/>
          <w:highlight w:val="none"/>
        </w:rPr>
        <w:fldChar w:fldCharType="end"/>
      </w:r>
      <w:r>
        <w:rPr>
          <w:rStyle w:val="29"/>
          <w:rFonts w:ascii="宋体" w:hAnsi="宋体"/>
          <w:b/>
          <w:color w:val="auto"/>
          <w:sz w:val="24"/>
          <w:highlight w:val="none"/>
        </w:rPr>
        <w:fldChar w:fldCharType="end"/>
      </w:r>
    </w:p>
    <w:p w14:paraId="134A9F89">
      <w:pPr>
        <w:pStyle w:val="19"/>
        <w:tabs>
          <w:tab w:val="right" w:leader="dot" w:pos="8869"/>
        </w:tabs>
        <w:snapToGrid w:val="0"/>
        <w:spacing w:line="500" w:lineRule="atLeast"/>
        <w:rPr>
          <w:rFonts w:ascii="宋体" w:hAnsi="宋体"/>
          <w:b/>
          <w:color w:val="auto"/>
          <w:sz w:val="24"/>
          <w:highlight w:val="none"/>
        </w:rPr>
      </w:pPr>
      <w:r>
        <w:rPr>
          <w:rStyle w:val="29"/>
          <w:rFonts w:ascii="宋体" w:hAnsi="宋体"/>
          <w:b/>
          <w:color w:val="auto"/>
          <w:sz w:val="24"/>
          <w:highlight w:val="none"/>
        </w:rPr>
        <w:fldChar w:fldCharType="begin"/>
      </w:r>
      <w:r>
        <w:rPr>
          <w:rStyle w:val="29"/>
          <w:rFonts w:ascii="宋体" w:hAnsi="宋体"/>
          <w:b/>
          <w:color w:val="auto"/>
          <w:sz w:val="24"/>
          <w:highlight w:val="none"/>
        </w:rPr>
        <w:instrText xml:space="preserve"> </w:instrText>
      </w:r>
      <w:r>
        <w:rPr>
          <w:rFonts w:ascii="宋体" w:hAnsi="宋体"/>
          <w:b/>
          <w:color w:val="auto"/>
          <w:sz w:val="24"/>
          <w:highlight w:val="none"/>
        </w:rPr>
        <w:instrText xml:space="preserve">HYPERLINK \l "_Toc74323460"</w:instrText>
      </w:r>
      <w:r>
        <w:rPr>
          <w:rStyle w:val="29"/>
          <w:rFonts w:ascii="宋体" w:hAnsi="宋体"/>
          <w:b/>
          <w:color w:val="auto"/>
          <w:sz w:val="24"/>
          <w:highlight w:val="none"/>
        </w:rPr>
        <w:instrText xml:space="preserve"> </w:instrText>
      </w:r>
      <w:r>
        <w:rPr>
          <w:rStyle w:val="29"/>
          <w:rFonts w:ascii="宋体" w:hAnsi="宋体"/>
          <w:b/>
          <w:color w:val="auto"/>
          <w:sz w:val="24"/>
          <w:highlight w:val="none"/>
        </w:rPr>
        <w:fldChar w:fldCharType="separate"/>
      </w:r>
      <w:r>
        <w:rPr>
          <w:rStyle w:val="29"/>
          <w:rFonts w:hint="eastAsia" w:ascii="宋体" w:hAnsi="宋体"/>
          <w:b/>
          <w:color w:val="auto"/>
          <w:sz w:val="24"/>
          <w:highlight w:val="none"/>
        </w:rPr>
        <w:t>第五章</w:t>
      </w:r>
      <w:r>
        <w:rPr>
          <w:rStyle w:val="29"/>
          <w:rFonts w:ascii="宋体" w:hAnsi="宋体"/>
          <w:b/>
          <w:color w:val="auto"/>
          <w:sz w:val="24"/>
          <w:highlight w:val="none"/>
        </w:rPr>
        <w:t xml:space="preserve"> </w:t>
      </w:r>
      <w:r>
        <w:rPr>
          <w:rStyle w:val="29"/>
          <w:rFonts w:hint="eastAsia" w:ascii="宋体" w:hAnsi="宋体"/>
          <w:b/>
          <w:color w:val="auto"/>
          <w:sz w:val="24"/>
          <w:highlight w:val="none"/>
        </w:rPr>
        <w:t>响应文件格式</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_Toc74323460 \h </w:instrText>
      </w:r>
      <w:r>
        <w:rPr>
          <w:rFonts w:ascii="宋体" w:hAnsi="宋体"/>
          <w:b/>
          <w:color w:val="auto"/>
          <w:sz w:val="24"/>
          <w:highlight w:val="none"/>
        </w:rPr>
        <w:fldChar w:fldCharType="separate"/>
      </w:r>
      <w:r>
        <w:rPr>
          <w:rFonts w:ascii="宋体" w:hAnsi="宋体"/>
          <w:b/>
          <w:color w:val="auto"/>
          <w:sz w:val="24"/>
          <w:highlight w:val="none"/>
        </w:rPr>
        <w:t>54</w:t>
      </w:r>
      <w:r>
        <w:rPr>
          <w:rFonts w:ascii="宋体" w:hAnsi="宋体"/>
          <w:b/>
          <w:color w:val="auto"/>
          <w:sz w:val="24"/>
          <w:highlight w:val="none"/>
        </w:rPr>
        <w:fldChar w:fldCharType="end"/>
      </w:r>
      <w:r>
        <w:rPr>
          <w:rStyle w:val="29"/>
          <w:rFonts w:ascii="宋体" w:hAnsi="宋体"/>
          <w:b/>
          <w:color w:val="auto"/>
          <w:sz w:val="24"/>
          <w:highlight w:val="none"/>
        </w:rPr>
        <w:fldChar w:fldCharType="end"/>
      </w:r>
    </w:p>
    <w:p w14:paraId="4C3D93EC">
      <w:pPr>
        <w:pStyle w:val="19"/>
        <w:tabs>
          <w:tab w:val="right" w:leader="dot" w:pos="8869"/>
        </w:tabs>
        <w:snapToGrid w:val="0"/>
        <w:spacing w:line="500" w:lineRule="atLeast"/>
        <w:rPr>
          <w:rFonts w:ascii="宋体" w:hAnsi="宋体"/>
          <w:color w:val="auto"/>
          <w:sz w:val="24"/>
          <w:highlight w:val="none"/>
        </w:rPr>
      </w:pPr>
      <w:r>
        <w:rPr>
          <w:rStyle w:val="29"/>
          <w:rFonts w:ascii="宋体" w:hAnsi="宋体"/>
          <w:b/>
          <w:color w:val="auto"/>
          <w:sz w:val="24"/>
          <w:highlight w:val="none"/>
        </w:rPr>
        <w:fldChar w:fldCharType="begin"/>
      </w:r>
      <w:r>
        <w:rPr>
          <w:rStyle w:val="29"/>
          <w:rFonts w:ascii="宋体" w:hAnsi="宋体"/>
          <w:b/>
          <w:color w:val="auto"/>
          <w:sz w:val="24"/>
          <w:highlight w:val="none"/>
        </w:rPr>
        <w:instrText xml:space="preserve"> </w:instrText>
      </w:r>
      <w:r>
        <w:rPr>
          <w:rFonts w:ascii="宋体" w:hAnsi="宋体"/>
          <w:b/>
          <w:color w:val="auto"/>
          <w:sz w:val="24"/>
          <w:highlight w:val="none"/>
        </w:rPr>
        <w:instrText xml:space="preserve">HYPERLINK \l "_Toc74323461"</w:instrText>
      </w:r>
      <w:r>
        <w:rPr>
          <w:rStyle w:val="29"/>
          <w:rFonts w:ascii="宋体" w:hAnsi="宋体"/>
          <w:b/>
          <w:color w:val="auto"/>
          <w:sz w:val="24"/>
          <w:highlight w:val="none"/>
        </w:rPr>
        <w:instrText xml:space="preserve"> </w:instrText>
      </w:r>
      <w:r>
        <w:rPr>
          <w:rStyle w:val="29"/>
          <w:rFonts w:ascii="宋体" w:hAnsi="宋体"/>
          <w:b/>
          <w:color w:val="auto"/>
          <w:sz w:val="24"/>
          <w:highlight w:val="none"/>
        </w:rPr>
        <w:fldChar w:fldCharType="separate"/>
      </w:r>
      <w:r>
        <w:rPr>
          <w:rStyle w:val="29"/>
          <w:rFonts w:hint="eastAsia" w:ascii="宋体" w:hAnsi="宋体"/>
          <w:b/>
          <w:color w:val="auto"/>
          <w:sz w:val="24"/>
          <w:highlight w:val="none"/>
        </w:rPr>
        <w:t>第六章</w:t>
      </w:r>
      <w:r>
        <w:rPr>
          <w:rStyle w:val="29"/>
          <w:rFonts w:ascii="宋体" w:hAnsi="宋体"/>
          <w:b/>
          <w:color w:val="auto"/>
          <w:sz w:val="24"/>
          <w:highlight w:val="none"/>
        </w:rPr>
        <w:t xml:space="preserve"> </w:t>
      </w:r>
      <w:r>
        <w:rPr>
          <w:rStyle w:val="29"/>
          <w:rFonts w:hint="eastAsia" w:ascii="宋体" w:hAnsi="宋体"/>
          <w:b/>
          <w:color w:val="auto"/>
          <w:sz w:val="24"/>
          <w:highlight w:val="none"/>
        </w:rPr>
        <w:t>合同文本</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_Toc74323461 \h </w:instrText>
      </w:r>
      <w:r>
        <w:rPr>
          <w:rFonts w:ascii="宋体" w:hAnsi="宋体"/>
          <w:b/>
          <w:color w:val="auto"/>
          <w:sz w:val="24"/>
          <w:highlight w:val="none"/>
        </w:rPr>
        <w:fldChar w:fldCharType="separate"/>
      </w:r>
      <w:r>
        <w:rPr>
          <w:rFonts w:ascii="宋体" w:hAnsi="宋体"/>
          <w:b/>
          <w:color w:val="auto"/>
          <w:sz w:val="24"/>
          <w:highlight w:val="none"/>
        </w:rPr>
        <w:t>81</w:t>
      </w:r>
      <w:r>
        <w:rPr>
          <w:rFonts w:ascii="宋体" w:hAnsi="宋体"/>
          <w:b/>
          <w:color w:val="auto"/>
          <w:sz w:val="24"/>
          <w:highlight w:val="none"/>
        </w:rPr>
        <w:fldChar w:fldCharType="end"/>
      </w:r>
      <w:r>
        <w:rPr>
          <w:rStyle w:val="29"/>
          <w:rFonts w:ascii="宋体" w:hAnsi="宋体"/>
          <w:b/>
          <w:color w:val="auto"/>
          <w:sz w:val="24"/>
          <w:highlight w:val="none"/>
        </w:rPr>
        <w:fldChar w:fldCharType="end"/>
      </w:r>
    </w:p>
    <w:p w14:paraId="696ECC7E">
      <w:pPr>
        <w:pStyle w:val="20"/>
        <w:tabs>
          <w:tab w:val="right" w:leader="dot" w:pos="8931"/>
          <w:tab w:val="clear" w:pos="8296"/>
        </w:tabs>
        <w:snapToGrid w:val="0"/>
        <w:spacing w:line="500" w:lineRule="atLeast"/>
        <w:ind w:left="0" w:leftChars="0"/>
        <w:rPr>
          <w:rFonts w:hint="eastAsia" w:ascii="宋体" w:hAnsi="宋体"/>
          <w:b/>
          <w:color w:val="auto"/>
          <w:sz w:val="24"/>
          <w:highlight w:val="none"/>
        </w:rPr>
      </w:pPr>
      <w:r>
        <w:rPr>
          <w:rFonts w:ascii="宋体" w:hAnsi="宋体"/>
          <w:b/>
          <w:color w:val="auto"/>
          <w:sz w:val="24"/>
          <w:highlight w:val="none"/>
        </w:rPr>
        <w:fldChar w:fldCharType="end"/>
      </w:r>
    </w:p>
    <w:p w14:paraId="68D73269">
      <w:pPr>
        <w:spacing w:line="400" w:lineRule="exact"/>
        <w:jc w:val="left"/>
        <w:rPr>
          <w:rFonts w:hint="eastAsia" w:ascii="宋体" w:hAnsi="宋体"/>
          <w:b/>
          <w:color w:val="auto"/>
          <w:sz w:val="32"/>
          <w:szCs w:val="32"/>
          <w:highlight w:val="none"/>
        </w:rPr>
      </w:pPr>
    </w:p>
    <w:p w14:paraId="0B76A347">
      <w:pPr>
        <w:spacing w:line="400" w:lineRule="exact"/>
        <w:jc w:val="center"/>
        <w:rPr>
          <w:rFonts w:hint="eastAsia" w:ascii="宋体" w:hAnsi="宋体"/>
          <w:b/>
          <w:color w:val="auto"/>
          <w:sz w:val="32"/>
          <w:szCs w:val="32"/>
          <w:highlight w:val="none"/>
        </w:rPr>
      </w:pPr>
    </w:p>
    <w:p w14:paraId="1DE956CD">
      <w:pPr>
        <w:spacing w:line="400" w:lineRule="exact"/>
        <w:jc w:val="center"/>
        <w:rPr>
          <w:rFonts w:hint="eastAsia" w:ascii="宋体" w:hAnsi="宋体"/>
          <w:b/>
          <w:color w:val="auto"/>
          <w:sz w:val="32"/>
          <w:szCs w:val="32"/>
          <w:highlight w:val="none"/>
        </w:rPr>
      </w:pPr>
    </w:p>
    <w:p w14:paraId="71C406BC">
      <w:pPr>
        <w:spacing w:line="400" w:lineRule="exact"/>
        <w:jc w:val="center"/>
        <w:rPr>
          <w:rFonts w:hint="eastAsia" w:ascii="宋体" w:hAnsi="宋体"/>
          <w:b/>
          <w:color w:val="auto"/>
          <w:sz w:val="32"/>
          <w:szCs w:val="32"/>
          <w:highlight w:val="none"/>
        </w:rPr>
      </w:pPr>
    </w:p>
    <w:p w14:paraId="76413A85">
      <w:pPr>
        <w:spacing w:line="400" w:lineRule="exact"/>
        <w:jc w:val="center"/>
        <w:rPr>
          <w:rFonts w:hint="eastAsia" w:ascii="宋体" w:hAnsi="宋体"/>
          <w:b/>
          <w:color w:val="auto"/>
          <w:sz w:val="32"/>
          <w:szCs w:val="32"/>
          <w:highlight w:val="none"/>
        </w:rPr>
      </w:pPr>
    </w:p>
    <w:p w14:paraId="6BC009B4">
      <w:pPr>
        <w:spacing w:line="400" w:lineRule="exact"/>
        <w:rPr>
          <w:rFonts w:hint="eastAsia"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6C5E00F6">
      <w:pPr>
        <w:pStyle w:val="2"/>
        <w:spacing w:line="360" w:lineRule="auto"/>
        <w:contextualSpacing/>
        <w:jc w:val="center"/>
        <w:rPr>
          <w:color w:val="auto"/>
          <w:highlight w:val="none"/>
        </w:rPr>
      </w:pPr>
      <w:bookmarkStart w:id="3" w:name="_Toc74323456"/>
      <w:r>
        <w:rPr>
          <w:rFonts w:hint="eastAsia"/>
          <w:color w:val="auto"/>
          <w:highlight w:val="none"/>
        </w:rPr>
        <w:t>第一章 竞争性磋商公告</w:t>
      </w:r>
      <w:bookmarkEnd w:id="3"/>
    </w:p>
    <w:p w14:paraId="4E6D42FB">
      <w:pPr>
        <w:spacing w:line="360" w:lineRule="auto"/>
        <w:contextualSpacing/>
        <w:jc w:val="center"/>
        <w:rPr>
          <w:rFonts w:hint="eastAsia" w:ascii="宋体" w:hAnsi="宋体"/>
          <w:b/>
          <w:bCs/>
          <w:color w:val="auto"/>
          <w:sz w:val="32"/>
          <w:szCs w:val="32"/>
          <w:highlight w:val="none"/>
        </w:rPr>
      </w:pPr>
      <w:r>
        <w:rPr>
          <w:rFonts w:hint="eastAsia" w:ascii="宋体" w:hAnsi="宋体"/>
          <w:b/>
          <w:bCs/>
          <w:color w:val="auto"/>
          <w:sz w:val="32"/>
          <w:szCs w:val="32"/>
          <w:highlight w:val="none"/>
        </w:rPr>
        <w:t>竞争性磋商公告</w:t>
      </w:r>
    </w:p>
    <w:p w14:paraId="2DD38FA2">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bookmarkStart w:id="4" w:name="_Hlk37430271"/>
      <w:r>
        <w:rPr>
          <w:rFonts w:hint="eastAsia" w:ascii="宋体" w:hAnsi="宋体"/>
          <w:color w:val="auto"/>
          <w:szCs w:val="21"/>
          <w:highlight w:val="none"/>
        </w:rPr>
        <w:t>项目概况</w:t>
      </w:r>
    </w:p>
    <w:p w14:paraId="4002217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lang w:eastAsia="zh-CN"/>
        </w:rPr>
        <w:t>广西物流职业技术学院安防设备重建项目（保开学部分）</w:t>
      </w:r>
      <w:r>
        <w:rPr>
          <w:rFonts w:hint="eastAsia" w:ascii="宋体" w:hAnsi="宋体"/>
          <w:color w:val="auto"/>
          <w:szCs w:val="21"/>
          <w:highlight w:val="none"/>
        </w:rPr>
        <w:t>采购项目的潜在供应商应在广西政府采购云平台（https://www.gcy.zfcg.gxzf.gov.cn/）获取（下载）竞争性磋商文件，并于</w:t>
      </w:r>
      <w:r>
        <w:rPr>
          <w:rFonts w:hint="eastAsia" w:ascii="宋体" w:hAnsi="宋体"/>
          <w:color w:val="auto"/>
          <w:szCs w:val="21"/>
          <w:highlight w:val="none"/>
          <w:u w:val="single"/>
        </w:rPr>
        <w:t xml:space="preserve"> 202</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8</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24</w:t>
      </w:r>
      <w:r>
        <w:rPr>
          <w:rFonts w:hint="eastAsia" w:ascii="宋体" w:hAnsi="宋体"/>
          <w:color w:val="auto"/>
          <w:szCs w:val="21"/>
          <w:highlight w:val="none"/>
          <w:u w:val="single"/>
        </w:rPr>
        <w:t>日</w:t>
      </w:r>
      <w:r>
        <w:rPr>
          <w:rFonts w:ascii="宋体" w:hAnsi="宋体"/>
          <w:bCs/>
          <w:color w:val="auto"/>
          <w:szCs w:val="21"/>
          <w:highlight w:val="none"/>
          <w:u w:val="single"/>
        </w:rPr>
        <w:t>9</w:t>
      </w:r>
      <w:r>
        <w:rPr>
          <w:rFonts w:hint="eastAsia" w:ascii="宋体" w:hAnsi="宋体"/>
          <w:bCs/>
          <w:color w:val="auto"/>
          <w:szCs w:val="21"/>
          <w:highlight w:val="none"/>
          <w:u w:val="single"/>
        </w:rPr>
        <w:t>时</w:t>
      </w:r>
      <w:r>
        <w:rPr>
          <w:rFonts w:ascii="宋体" w:hAnsi="宋体"/>
          <w:bCs/>
          <w:color w:val="auto"/>
          <w:szCs w:val="21"/>
          <w:highlight w:val="none"/>
          <w:u w:val="single"/>
        </w:rPr>
        <w:t>30</w:t>
      </w:r>
      <w:r>
        <w:rPr>
          <w:rFonts w:hint="eastAsia" w:ascii="宋体" w:hAnsi="宋体"/>
          <w:bCs/>
          <w:color w:val="auto"/>
          <w:szCs w:val="21"/>
          <w:highlight w:val="none"/>
          <w:u w:val="single"/>
        </w:rPr>
        <w:t>分（</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36D01387">
      <w:pPr>
        <w:spacing w:line="420" w:lineRule="exact"/>
        <w:ind w:firstLine="354" w:firstLineChars="147"/>
        <w:contextualSpacing/>
        <w:rPr>
          <w:rFonts w:ascii="黑体" w:hAnsi="黑体" w:eastAsia="黑体"/>
          <w:b/>
          <w:color w:val="auto"/>
          <w:sz w:val="24"/>
          <w:highlight w:val="none"/>
        </w:rPr>
      </w:pPr>
      <w:bookmarkStart w:id="5" w:name="_Toc35393629"/>
      <w:bookmarkStart w:id="6" w:name="_Toc35393798"/>
      <w:bookmarkStart w:id="7" w:name="_Toc71365905"/>
      <w:bookmarkStart w:id="8" w:name="_Toc28359012"/>
      <w:bookmarkStart w:id="9" w:name="_Toc44229878"/>
      <w:bookmarkStart w:id="10" w:name="_Toc28359089"/>
      <w:r>
        <w:rPr>
          <w:rFonts w:hint="eastAsia" w:ascii="黑体" w:hAnsi="黑体" w:eastAsia="黑体"/>
          <w:b/>
          <w:color w:val="auto"/>
          <w:sz w:val="24"/>
          <w:highlight w:val="none"/>
        </w:rPr>
        <w:t>一、项目基本情况</w:t>
      </w:r>
      <w:bookmarkEnd w:id="5"/>
      <w:bookmarkEnd w:id="6"/>
      <w:bookmarkEnd w:id="7"/>
      <w:bookmarkEnd w:id="8"/>
      <w:bookmarkEnd w:id="9"/>
      <w:bookmarkEnd w:id="10"/>
    </w:p>
    <w:p w14:paraId="40BBB77D">
      <w:pPr>
        <w:spacing w:line="420" w:lineRule="exact"/>
        <w:ind w:firstLine="420" w:firstLineChars="200"/>
        <w:contextualSpacing/>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GXZC2026-C3-002634-JGJD</w:t>
      </w:r>
      <w:r>
        <w:rPr>
          <w:rFonts w:hint="eastAsia" w:ascii="宋体" w:hAnsi="宋体"/>
          <w:color w:val="auto"/>
          <w:szCs w:val="21"/>
          <w:highlight w:val="none"/>
        </w:rPr>
        <w:t>（采购计划编号：广西政采[2026]17178号）</w:t>
      </w:r>
    </w:p>
    <w:p w14:paraId="14588BF7">
      <w:pPr>
        <w:spacing w:line="420" w:lineRule="exact"/>
        <w:ind w:firstLine="420" w:firstLineChars="200"/>
        <w:contextualSpacing/>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广西物流职业技术学院安防设备重建项目（保开学部分）</w:t>
      </w:r>
    </w:p>
    <w:p w14:paraId="0CE0D7B1">
      <w:pPr>
        <w:spacing w:line="420" w:lineRule="exact"/>
        <w:ind w:firstLine="420" w:firstLineChars="200"/>
        <w:contextualSpacing/>
        <w:rPr>
          <w:rFonts w:ascii="宋体" w:hAnsi="宋体"/>
          <w:color w:val="auto"/>
          <w:szCs w:val="21"/>
          <w:highlight w:val="none"/>
        </w:rPr>
      </w:pPr>
      <w:r>
        <w:rPr>
          <w:rFonts w:hint="eastAsia" w:ascii="宋体" w:hAnsi="宋体"/>
          <w:color w:val="auto"/>
          <w:szCs w:val="21"/>
          <w:highlight w:val="none"/>
        </w:rPr>
        <w:t>采购方式：竞争性磋商</w:t>
      </w:r>
    </w:p>
    <w:p w14:paraId="223E8DAE">
      <w:pPr>
        <w:spacing w:line="420" w:lineRule="exact"/>
        <w:ind w:firstLine="420" w:firstLineChars="200"/>
        <w:contextualSpacing/>
        <w:rPr>
          <w:rFonts w:hint="eastAsia" w:ascii="宋体" w:hAnsi="宋体" w:eastAsia="宋体"/>
          <w:color w:val="auto"/>
          <w:szCs w:val="21"/>
          <w:highlight w:val="none"/>
          <w:lang w:eastAsia="zh-CN"/>
        </w:rPr>
      </w:pPr>
      <w:r>
        <w:rPr>
          <w:rFonts w:hint="eastAsia" w:ascii="宋体" w:hAnsi="宋体"/>
          <w:color w:val="auto"/>
          <w:szCs w:val="21"/>
          <w:highlight w:val="none"/>
        </w:rPr>
        <w:t>预算金额：</w:t>
      </w:r>
      <w:r>
        <w:rPr>
          <w:rFonts w:hint="eastAsia" w:ascii="宋体" w:hAnsi="宋体"/>
          <w:iCs/>
          <w:color w:val="auto"/>
          <w:szCs w:val="21"/>
          <w:highlight w:val="none"/>
          <w:u w:val="single"/>
          <w:lang w:eastAsia="zh-CN"/>
        </w:rPr>
        <w:t>125.20万元</w:t>
      </w:r>
    </w:p>
    <w:p w14:paraId="61EFF8A3">
      <w:pPr>
        <w:spacing w:line="420" w:lineRule="exact"/>
        <w:ind w:firstLine="420" w:firstLineChars="200"/>
        <w:contextualSpacing/>
        <w:rPr>
          <w:rFonts w:hint="eastAsia" w:ascii="宋体" w:hAnsi="宋体" w:eastAsia="宋体"/>
          <w:color w:val="auto"/>
          <w:szCs w:val="21"/>
          <w:highlight w:val="none"/>
          <w:lang w:eastAsia="zh-CN"/>
        </w:rPr>
      </w:pPr>
      <w:r>
        <w:rPr>
          <w:rFonts w:hint="eastAsia" w:ascii="宋体" w:hAnsi="宋体"/>
          <w:color w:val="auto"/>
          <w:szCs w:val="21"/>
          <w:highlight w:val="none"/>
        </w:rPr>
        <w:t>最高限价（如有）：</w:t>
      </w:r>
      <w:r>
        <w:rPr>
          <w:rFonts w:hint="eastAsia" w:ascii="宋体" w:hAnsi="宋体"/>
          <w:iCs/>
          <w:color w:val="auto"/>
          <w:szCs w:val="21"/>
          <w:highlight w:val="none"/>
          <w:u w:val="single"/>
          <w:lang w:eastAsia="zh-CN"/>
        </w:rPr>
        <w:t>125.20万元</w:t>
      </w:r>
    </w:p>
    <w:p w14:paraId="58BC3B30">
      <w:pPr>
        <w:spacing w:line="420" w:lineRule="exact"/>
        <w:ind w:firstLine="420" w:firstLineChars="200"/>
        <w:contextualSpacing/>
        <w:rPr>
          <w:rFonts w:hint="eastAsia" w:ascii="宋体" w:hAnsi="宋体"/>
          <w:color w:val="auto"/>
          <w:szCs w:val="21"/>
          <w:highlight w:val="none"/>
        </w:rPr>
      </w:pPr>
      <w:r>
        <w:rPr>
          <w:rFonts w:hint="eastAsia" w:ascii="宋体" w:hAnsi="宋体"/>
          <w:color w:val="auto"/>
          <w:szCs w:val="21"/>
          <w:highlight w:val="none"/>
        </w:rPr>
        <w:t>采购需求：</w:t>
      </w:r>
      <w:r>
        <w:rPr>
          <w:rFonts w:ascii="宋体" w:hAnsi="宋体"/>
          <w:color w:val="auto"/>
          <w:szCs w:val="21"/>
          <w:highlight w:val="none"/>
        </w:rPr>
        <w:t xml:space="preserve"> </w:t>
      </w:r>
    </w:p>
    <w:tbl>
      <w:tblPr>
        <w:tblStyle w:val="24"/>
        <w:tblW w:w="87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3127"/>
        <w:gridCol w:w="1085"/>
        <w:gridCol w:w="3726"/>
      </w:tblGrid>
      <w:tr w14:paraId="4E96C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72F5DBA9">
            <w:pPr>
              <w:snapToGrid w:val="0"/>
              <w:spacing w:line="420" w:lineRule="exact"/>
              <w:contextualSpacing/>
              <w:jc w:val="center"/>
              <w:rPr>
                <w:rFonts w:ascii="宋体" w:hAnsi="宋体"/>
                <w:color w:val="auto"/>
                <w:szCs w:val="21"/>
                <w:highlight w:val="none"/>
              </w:rPr>
            </w:pPr>
            <w:r>
              <w:rPr>
                <w:rFonts w:hint="eastAsia" w:ascii="宋体" w:hAnsi="宋体"/>
                <w:color w:val="auto"/>
                <w:szCs w:val="21"/>
                <w:highlight w:val="none"/>
              </w:rPr>
              <w:t>序号</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4CDA5933">
            <w:pPr>
              <w:snapToGrid w:val="0"/>
              <w:spacing w:line="420" w:lineRule="exact"/>
              <w:contextualSpacing/>
              <w:jc w:val="center"/>
              <w:rPr>
                <w:rFonts w:ascii="宋体" w:hAnsi="宋体"/>
                <w:color w:val="auto"/>
                <w:szCs w:val="21"/>
                <w:highlight w:val="none"/>
              </w:rPr>
            </w:pPr>
            <w:r>
              <w:rPr>
                <w:rFonts w:hint="eastAsia" w:ascii="宋体" w:hAnsi="宋体"/>
                <w:color w:val="auto"/>
                <w:szCs w:val="21"/>
                <w:highlight w:val="none"/>
              </w:rPr>
              <w:t>标的的名称</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189B3763">
            <w:pPr>
              <w:snapToGrid w:val="0"/>
              <w:spacing w:line="420" w:lineRule="exact"/>
              <w:contextualSpacing/>
              <w:jc w:val="center"/>
              <w:rPr>
                <w:rFonts w:ascii="宋体" w:hAnsi="宋体"/>
                <w:color w:val="auto"/>
                <w:szCs w:val="21"/>
                <w:highlight w:val="none"/>
              </w:rPr>
            </w:pPr>
            <w:r>
              <w:rPr>
                <w:rFonts w:hint="eastAsia" w:ascii="宋体" w:hAnsi="宋体"/>
                <w:color w:val="auto"/>
                <w:szCs w:val="21"/>
                <w:highlight w:val="none"/>
              </w:rPr>
              <w:t>数量及</w:t>
            </w:r>
          </w:p>
          <w:p w14:paraId="3C2768F9">
            <w:pPr>
              <w:snapToGrid w:val="0"/>
              <w:spacing w:line="420" w:lineRule="exact"/>
              <w:contextualSpacing/>
              <w:jc w:val="center"/>
              <w:rPr>
                <w:rFonts w:ascii="宋体" w:hAnsi="宋体"/>
                <w:color w:val="auto"/>
                <w:szCs w:val="21"/>
                <w:highlight w:val="none"/>
              </w:rPr>
            </w:pPr>
            <w:r>
              <w:rPr>
                <w:rFonts w:hint="eastAsia" w:ascii="宋体" w:hAnsi="宋体"/>
                <w:color w:val="auto"/>
                <w:szCs w:val="21"/>
                <w:highlight w:val="none"/>
              </w:rPr>
              <w:t>单位</w:t>
            </w:r>
          </w:p>
        </w:tc>
        <w:tc>
          <w:tcPr>
            <w:tcW w:w="3726" w:type="dxa"/>
            <w:tcBorders>
              <w:top w:val="single" w:color="auto" w:sz="4" w:space="0"/>
              <w:left w:val="single" w:color="auto" w:sz="4" w:space="0"/>
              <w:bottom w:val="single" w:color="auto" w:sz="4" w:space="0"/>
              <w:right w:val="single" w:color="auto" w:sz="4" w:space="0"/>
            </w:tcBorders>
            <w:noWrap w:val="0"/>
            <w:vAlign w:val="center"/>
          </w:tcPr>
          <w:p w14:paraId="16DC03D7">
            <w:pPr>
              <w:snapToGrid w:val="0"/>
              <w:spacing w:line="420" w:lineRule="exact"/>
              <w:contextualSpacing/>
              <w:jc w:val="center"/>
              <w:rPr>
                <w:rFonts w:ascii="宋体" w:hAnsi="宋体"/>
                <w:color w:val="auto"/>
                <w:szCs w:val="21"/>
                <w:highlight w:val="none"/>
              </w:rPr>
            </w:pPr>
            <w:r>
              <w:rPr>
                <w:rFonts w:hint="eastAsia" w:ascii="宋体" w:hAnsi="宋体"/>
                <w:color w:val="auto"/>
                <w:szCs w:val="21"/>
                <w:highlight w:val="none"/>
              </w:rPr>
              <w:t>简要技术需求或者服务</w:t>
            </w:r>
          </w:p>
          <w:p w14:paraId="23A8ED83">
            <w:pPr>
              <w:snapToGrid w:val="0"/>
              <w:spacing w:line="420" w:lineRule="exact"/>
              <w:contextualSpacing/>
              <w:jc w:val="center"/>
              <w:rPr>
                <w:rFonts w:ascii="宋体" w:hAnsi="宋体"/>
                <w:color w:val="auto"/>
                <w:szCs w:val="21"/>
                <w:highlight w:val="none"/>
              </w:rPr>
            </w:pPr>
            <w:r>
              <w:rPr>
                <w:rFonts w:hint="eastAsia" w:ascii="宋体" w:hAnsi="宋体"/>
                <w:color w:val="auto"/>
                <w:szCs w:val="21"/>
                <w:highlight w:val="none"/>
              </w:rPr>
              <w:t>要求</w:t>
            </w:r>
          </w:p>
        </w:tc>
      </w:tr>
      <w:tr w14:paraId="73520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7CD8B671">
            <w:pPr>
              <w:snapToGrid w:val="0"/>
              <w:spacing w:line="420" w:lineRule="exact"/>
              <w:contextualSpacing/>
              <w:jc w:val="center"/>
              <w:rPr>
                <w:rFonts w:ascii="宋体" w:hAnsi="宋体"/>
                <w:color w:val="auto"/>
                <w:szCs w:val="21"/>
                <w:highlight w:val="none"/>
              </w:rPr>
            </w:pPr>
            <w:r>
              <w:rPr>
                <w:rFonts w:hint="eastAsia" w:ascii="宋体" w:hAnsi="宋体"/>
                <w:color w:val="auto"/>
                <w:szCs w:val="21"/>
                <w:highlight w:val="none"/>
              </w:rPr>
              <w:t>01</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46D4BAD4">
            <w:pPr>
              <w:snapToGrid w:val="0"/>
              <w:spacing w:line="420" w:lineRule="exact"/>
              <w:contextualSpacing/>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广西物流职业技术学院安防设备重建项目（保开学部分）</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02071653">
            <w:pPr>
              <w:snapToGrid w:val="0"/>
              <w:spacing w:line="420" w:lineRule="exact"/>
              <w:contextualSpacing/>
              <w:jc w:val="center"/>
              <w:rPr>
                <w:rFonts w:ascii="宋体" w:hAnsi="宋体"/>
                <w:color w:val="auto"/>
                <w:szCs w:val="21"/>
                <w:highlight w:val="none"/>
              </w:rPr>
            </w:pPr>
            <w:r>
              <w:rPr>
                <w:rFonts w:hint="eastAsia" w:ascii="宋体" w:hAnsi="宋体"/>
                <w:color w:val="auto"/>
                <w:szCs w:val="21"/>
                <w:highlight w:val="none"/>
              </w:rPr>
              <w:t>1项</w:t>
            </w:r>
          </w:p>
        </w:tc>
        <w:tc>
          <w:tcPr>
            <w:tcW w:w="3726" w:type="dxa"/>
            <w:tcBorders>
              <w:top w:val="single" w:color="auto" w:sz="4" w:space="0"/>
              <w:left w:val="single" w:color="auto" w:sz="4" w:space="0"/>
              <w:bottom w:val="single" w:color="auto" w:sz="4" w:space="0"/>
              <w:right w:val="single" w:color="auto" w:sz="4" w:space="0"/>
            </w:tcBorders>
            <w:noWrap w:val="0"/>
            <w:vAlign w:val="center"/>
          </w:tcPr>
          <w:p w14:paraId="4474F531">
            <w:pPr>
              <w:snapToGrid w:val="0"/>
              <w:spacing w:line="420" w:lineRule="exact"/>
              <w:contextualSpacing/>
              <w:jc w:val="left"/>
              <w:rPr>
                <w:rFonts w:ascii="宋体" w:hAnsi="宋体"/>
                <w:color w:val="auto"/>
                <w:szCs w:val="21"/>
                <w:highlight w:val="none"/>
              </w:rPr>
            </w:pPr>
            <w:r>
              <w:rPr>
                <w:rFonts w:hint="eastAsia" w:ascii="宋体" w:hAnsi="宋体"/>
                <w:color w:val="auto"/>
                <w:szCs w:val="21"/>
                <w:highlight w:val="none"/>
                <w:lang w:eastAsia="zh-CN"/>
              </w:rPr>
              <w:t>广西物流职业技术学院安防设备重建项目（保开学部分）</w:t>
            </w:r>
            <w:r>
              <w:rPr>
                <w:rFonts w:hint="eastAsia" w:ascii="宋体" w:hAnsi="宋体"/>
                <w:color w:val="auto"/>
                <w:szCs w:val="21"/>
                <w:highlight w:val="none"/>
                <w:lang w:val="en-US" w:eastAsia="zh-CN"/>
              </w:rPr>
              <w:t>1项，如需进一步了解详细内容，详见竞争性磋商文件。</w:t>
            </w:r>
          </w:p>
        </w:tc>
      </w:tr>
    </w:tbl>
    <w:p w14:paraId="3F189DDE">
      <w:pPr>
        <w:spacing w:line="420" w:lineRule="exact"/>
        <w:ind w:firstLine="420" w:firstLineChars="200"/>
        <w:contextualSpacing/>
        <w:rPr>
          <w:rFonts w:ascii="宋体" w:hAnsi="宋体"/>
          <w:color w:val="auto"/>
          <w:szCs w:val="21"/>
          <w:highlight w:val="none"/>
          <w:u w:val="single"/>
        </w:rPr>
      </w:pPr>
      <w:r>
        <w:rPr>
          <w:rFonts w:hint="eastAsia" w:ascii="宋体" w:hAnsi="宋体"/>
          <w:color w:val="auto"/>
          <w:szCs w:val="21"/>
          <w:highlight w:val="none"/>
        </w:rPr>
        <w:t>合同履行期限：合同签订之日起15 个日历日内完成全部招标需求并交付使用。</w:t>
      </w:r>
    </w:p>
    <w:p w14:paraId="749C7E92">
      <w:pPr>
        <w:spacing w:line="420" w:lineRule="exact"/>
        <w:ind w:firstLine="420" w:firstLineChars="200"/>
        <w:contextualSpacing/>
        <w:rPr>
          <w:rFonts w:ascii="宋体" w:hAnsi="宋体"/>
          <w:color w:val="auto"/>
          <w:szCs w:val="21"/>
          <w:highlight w:val="none"/>
        </w:rPr>
      </w:pPr>
      <w:r>
        <w:rPr>
          <w:rFonts w:hint="eastAsia" w:ascii="宋体" w:hAnsi="宋体"/>
          <w:color w:val="auto"/>
          <w:szCs w:val="21"/>
          <w:highlight w:val="none"/>
        </w:rPr>
        <w:t>本项目（</w:t>
      </w:r>
      <w:r>
        <w:rPr>
          <w:rFonts w:ascii="宋体" w:hAnsi="宋体"/>
          <w:color w:val="auto"/>
          <w:szCs w:val="21"/>
          <w:highlight w:val="none"/>
        </w:rPr>
        <w:t>否</w:t>
      </w:r>
      <w:r>
        <w:rPr>
          <w:rFonts w:hint="eastAsia" w:ascii="宋体" w:hAnsi="宋体"/>
          <w:color w:val="auto"/>
          <w:szCs w:val="21"/>
          <w:highlight w:val="none"/>
        </w:rPr>
        <w:t>）接受联合体</w:t>
      </w:r>
    </w:p>
    <w:p w14:paraId="0E81834A">
      <w:pPr>
        <w:spacing w:line="420" w:lineRule="exact"/>
        <w:ind w:firstLine="354" w:firstLineChars="147"/>
        <w:contextualSpacing/>
        <w:rPr>
          <w:rFonts w:ascii="黑体" w:hAnsi="黑体" w:eastAsia="黑体"/>
          <w:b/>
          <w:color w:val="auto"/>
          <w:sz w:val="24"/>
          <w:highlight w:val="none"/>
        </w:rPr>
      </w:pPr>
      <w:bookmarkStart w:id="11" w:name="_Toc28359013"/>
      <w:bookmarkStart w:id="12" w:name="_Toc28359090"/>
      <w:bookmarkStart w:id="13" w:name="_Toc35393630"/>
      <w:bookmarkStart w:id="14" w:name="_Toc44229879"/>
      <w:bookmarkStart w:id="15" w:name="_Toc35393799"/>
      <w:bookmarkStart w:id="16" w:name="_Toc71365906"/>
      <w:r>
        <w:rPr>
          <w:rFonts w:hint="eastAsia" w:ascii="黑体" w:hAnsi="黑体" w:eastAsia="黑体"/>
          <w:b/>
          <w:color w:val="auto"/>
          <w:sz w:val="24"/>
          <w:highlight w:val="none"/>
        </w:rPr>
        <w:t>二、申请人的资格条件：</w:t>
      </w:r>
      <w:bookmarkEnd w:id="11"/>
      <w:bookmarkEnd w:id="12"/>
      <w:bookmarkEnd w:id="13"/>
      <w:bookmarkEnd w:id="14"/>
      <w:bookmarkEnd w:id="15"/>
      <w:bookmarkEnd w:id="16"/>
    </w:p>
    <w:p w14:paraId="437AACF7">
      <w:pPr>
        <w:widowControl/>
        <w:wordWrap w:val="0"/>
        <w:spacing w:line="420" w:lineRule="exact"/>
        <w:ind w:firstLine="420" w:firstLineChars="200"/>
        <w:rPr>
          <w:rFonts w:hint="eastAsia" w:ascii="宋体" w:hAnsi="宋体" w:eastAsia="宋体" w:cs="Times New Roman"/>
          <w:color w:val="auto"/>
          <w:szCs w:val="21"/>
          <w:highlight w:val="none"/>
        </w:rPr>
      </w:pPr>
      <w:bookmarkStart w:id="17" w:name="_Toc44229880"/>
      <w:bookmarkStart w:id="18" w:name="_Toc28359091"/>
      <w:bookmarkStart w:id="19" w:name="_Toc35393800"/>
      <w:bookmarkStart w:id="20" w:name="_Toc35393631"/>
      <w:bookmarkStart w:id="21" w:name="_Toc28359014"/>
      <w:r>
        <w:rPr>
          <w:rFonts w:hint="eastAsia" w:ascii="宋体" w:hAnsi="宋体" w:eastAsia="宋体" w:cs="Times New Roman"/>
          <w:color w:val="auto"/>
          <w:szCs w:val="21"/>
          <w:highlight w:val="none"/>
        </w:rPr>
        <w:t>1.满足《中华人民共和国政府采购法》第二十二条规定；</w:t>
      </w:r>
    </w:p>
    <w:p w14:paraId="075D3EFA">
      <w:pPr>
        <w:widowControl/>
        <w:wordWrap w:val="0"/>
        <w:spacing w:line="42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2.落实政府采购政策需满足的资格要求：</w:t>
      </w:r>
    </w:p>
    <w:p w14:paraId="36F5B2D3">
      <w:pPr>
        <w:widowControl/>
        <w:wordWrap w:val="0"/>
        <w:spacing w:line="42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专门面向中小企业采购的项目（供应商应为中小微企业、监狱企业、残疾人福利性单位</w:t>
      </w:r>
      <w:r>
        <w:rPr>
          <w:rFonts w:hint="eastAsia" w:ascii="宋体" w:hAnsi="宋体" w:eastAsia="宋体" w:cs="Times New Roman"/>
          <w:color w:val="auto"/>
          <w:szCs w:val="21"/>
          <w:highlight w:val="none"/>
          <w:lang w:eastAsia="zh-CN"/>
        </w:rPr>
        <w:t>）</w:t>
      </w:r>
    </w:p>
    <w:p w14:paraId="62CD7638">
      <w:pPr>
        <w:widowControl/>
        <w:wordWrap w:val="0"/>
        <w:spacing w:line="42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非专门面向中小企业采购的项目</w:t>
      </w:r>
    </w:p>
    <w:p w14:paraId="74FDB700">
      <w:pPr>
        <w:widowControl/>
        <w:wordWrap w:val="0"/>
        <w:spacing w:line="420" w:lineRule="exact"/>
        <w:ind w:firstLine="420" w:firstLineChars="200"/>
        <w:rPr>
          <w:rFonts w:hint="eastAsia" w:ascii="宋体" w:hAnsi="宋体" w:eastAsia="宋体" w:cs="Times New Roman"/>
          <w:color w:val="auto"/>
          <w:szCs w:val="21"/>
          <w:highlight w:val="none"/>
          <w:u w:val="none"/>
        </w:rPr>
      </w:pPr>
      <w:r>
        <w:rPr>
          <w:rFonts w:hint="eastAsia" w:ascii="宋体" w:hAnsi="宋体" w:eastAsia="宋体" w:cs="Times New Roman"/>
          <w:color w:val="auto"/>
          <w:szCs w:val="21"/>
          <w:highlight w:val="none"/>
        </w:rPr>
        <w:t>3.本项目的特定资格要求：</w:t>
      </w:r>
      <w:r>
        <w:rPr>
          <w:rFonts w:hint="eastAsia" w:ascii="宋体" w:hAnsi="宋体" w:eastAsia="宋体" w:cs="Times New Roman"/>
          <w:color w:val="auto"/>
          <w:szCs w:val="21"/>
          <w:highlight w:val="none"/>
          <w:u w:val="none"/>
        </w:rPr>
        <w:t>无</w:t>
      </w:r>
      <w:r>
        <w:rPr>
          <w:rFonts w:hint="eastAsia" w:ascii="宋体" w:hAnsi="宋体" w:eastAsia="宋体" w:cs="Times New Roman"/>
          <w:color w:val="auto"/>
          <w:szCs w:val="21"/>
          <w:highlight w:val="none"/>
        </w:rPr>
        <w:t>。</w:t>
      </w:r>
    </w:p>
    <w:p w14:paraId="23DBE3B0">
      <w:pPr>
        <w:widowControl/>
        <w:wordWrap w:val="0"/>
        <w:spacing w:line="420" w:lineRule="exact"/>
        <w:ind w:firstLine="422" w:firstLineChars="200"/>
        <w:rPr>
          <w:rFonts w:hint="eastAsia" w:ascii="宋体" w:hAnsi="宋体" w:eastAsia="宋体" w:cs="Times New Roman"/>
          <w:b/>
          <w:bCs/>
          <w:color w:val="auto"/>
          <w:sz w:val="21"/>
          <w:szCs w:val="21"/>
          <w:highlight w:val="none"/>
        </w:rPr>
      </w:pPr>
      <w:bookmarkStart w:id="22" w:name="_Toc71365907"/>
      <w:r>
        <w:rPr>
          <w:rFonts w:hint="eastAsia" w:ascii="宋体" w:hAnsi="宋体" w:eastAsia="宋体" w:cs="Times New Roman"/>
          <w:b/>
          <w:bCs/>
          <w:color w:val="auto"/>
          <w:sz w:val="21"/>
          <w:szCs w:val="21"/>
          <w:highlight w:val="none"/>
        </w:rPr>
        <w:t>三、获取竞争性磋商文件</w:t>
      </w:r>
      <w:bookmarkEnd w:id="17"/>
      <w:bookmarkEnd w:id="18"/>
      <w:bookmarkEnd w:id="19"/>
      <w:bookmarkEnd w:id="20"/>
      <w:bookmarkEnd w:id="21"/>
      <w:bookmarkEnd w:id="22"/>
    </w:p>
    <w:p w14:paraId="69D399AD">
      <w:pPr>
        <w:spacing w:line="420" w:lineRule="exact"/>
        <w:ind w:firstLine="420" w:firstLineChars="200"/>
        <w:contextualSpacing/>
        <w:rPr>
          <w:rFonts w:ascii="宋体" w:hAnsi="宋体" w:cs="宋体"/>
          <w:bCs/>
          <w:color w:val="auto"/>
          <w:kern w:val="0"/>
          <w:szCs w:val="21"/>
          <w:highlight w:val="none"/>
        </w:rPr>
      </w:pPr>
      <w:bookmarkStart w:id="23" w:name="_Toc35393632"/>
      <w:bookmarkStart w:id="24" w:name="_Toc28359092"/>
      <w:bookmarkStart w:id="25" w:name="_Toc35393801"/>
      <w:bookmarkStart w:id="26" w:name="_Toc44229881"/>
      <w:bookmarkStart w:id="27" w:name="_Toc28359015"/>
      <w:r>
        <w:rPr>
          <w:rFonts w:hint="eastAsia" w:ascii="宋体" w:hAnsi="宋体" w:cs="宋体"/>
          <w:bCs/>
          <w:color w:val="auto"/>
          <w:kern w:val="0"/>
          <w:szCs w:val="21"/>
          <w:highlight w:val="none"/>
        </w:rPr>
        <w:t>时间：</w:t>
      </w:r>
      <w:r>
        <w:rPr>
          <w:rFonts w:hint="eastAsia" w:ascii="宋体" w:hAnsi="宋体"/>
          <w:bCs/>
          <w:color w:val="auto"/>
          <w:szCs w:val="21"/>
          <w:highlight w:val="none"/>
          <w:u w:val="single"/>
        </w:rPr>
        <w:t xml:space="preserve"> 2026年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12</w:t>
      </w:r>
      <w:r>
        <w:rPr>
          <w:rFonts w:hint="eastAsia" w:ascii="宋体" w:hAnsi="宋体"/>
          <w:bCs/>
          <w:color w:val="auto"/>
          <w:szCs w:val="21"/>
          <w:highlight w:val="none"/>
          <w:u w:val="single"/>
        </w:rPr>
        <w:t>日</w:t>
      </w:r>
      <w:r>
        <w:rPr>
          <w:rFonts w:hint="eastAsia" w:ascii="宋体" w:hAnsi="宋体" w:cs="宋体"/>
          <w:bCs/>
          <w:color w:val="auto"/>
          <w:kern w:val="0"/>
          <w:szCs w:val="21"/>
          <w:highlight w:val="none"/>
        </w:rPr>
        <w:t>至</w:t>
      </w:r>
      <w:r>
        <w:rPr>
          <w:rFonts w:ascii="宋体" w:hAnsi="宋体"/>
          <w:bCs/>
          <w:color w:val="auto"/>
          <w:szCs w:val="21"/>
          <w:highlight w:val="none"/>
          <w:u w:val="single"/>
        </w:rPr>
        <w:t>202</w:t>
      </w:r>
      <w:r>
        <w:rPr>
          <w:rFonts w:hint="eastAsia" w:ascii="宋体" w:hAnsi="宋体"/>
          <w:bCs/>
          <w:color w:val="auto"/>
          <w:szCs w:val="21"/>
          <w:highlight w:val="none"/>
          <w:u w:val="single"/>
        </w:rPr>
        <w:t>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19</w:t>
      </w:r>
      <w:r>
        <w:rPr>
          <w:rFonts w:hint="eastAsia" w:ascii="宋体" w:hAnsi="宋体"/>
          <w:bCs/>
          <w:color w:val="auto"/>
          <w:szCs w:val="21"/>
          <w:highlight w:val="none"/>
          <w:u w:val="singl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0</w:t>
      </w:r>
      <w:r>
        <w:rPr>
          <w:rFonts w:ascii="宋体" w:hAnsi="宋体" w:cs="宋体"/>
          <w:bCs/>
          <w:color w:val="auto"/>
          <w:kern w:val="0"/>
          <w:szCs w:val="21"/>
          <w:highlight w:val="none"/>
          <w:u w:val="single"/>
        </w:rPr>
        <w:t>0</w:t>
      </w:r>
      <w:r>
        <w:rPr>
          <w:rFonts w:hint="eastAsia" w:ascii="宋体" w:hAnsi="宋体" w:cs="宋体"/>
          <w:bCs/>
          <w:color w:val="auto"/>
          <w:kern w:val="0"/>
          <w:szCs w:val="21"/>
          <w:highlight w:val="none"/>
          <w:u w:val="single"/>
        </w:rPr>
        <w:t>：0</w:t>
      </w:r>
      <w:r>
        <w:rPr>
          <w:rFonts w:ascii="宋体" w:hAnsi="宋体" w:cs="宋体"/>
          <w:bCs/>
          <w:color w:val="auto"/>
          <w:kern w:val="0"/>
          <w:szCs w:val="21"/>
          <w:highlight w:val="none"/>
          <w:u w:val="single"/>
        </w:rPr>
        <w:t>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w:t>
      </w:r>
      <w:r>
        <w:rPr>
          <w:rFonts w:ascii="宋体" w:hAnsi="宋体" w:cs="宋体"/>
          <w:bCs/>
          <w:color w:val="auto"/>
          <w:kern w:val="0"/>
          <w:szCs w:val="21"/>
          <w:highlight w:val="none"/>
          <w:u w:val="single"/>
        </w:rPr>
        <w:t>2:00</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rPr>
        <w:t>1</w:t>
      </w:r>
      <w:r>
        <w:rPr>
          <w:rFonts w:ascii="宋体" w:hAnsi="宋体" w:cs="宋体"/>
          <w:bCs/>
          <w:color w:val="auto"/>
          <w:kern w:val="0"/>
          <w:szCs w:val="21"/>
          <w:highlight w:val="none"/>
          <w:u w:val="single"/>
        </w:rPr>
        <w:t>2:00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2</w:t>
      </w:r>
      <w:r>
        <w:rPr>
          <w:rFonts w:ascii="宋体" w:hAnsi="宋体" w:cs="宋体"/>
          <w:bCs/>
          <w:color w:val="auto"/>
          <w:kern w:val="0"/>
          <w:szCs w:val="21"/>
          <w:highlight w:val="none"/>
          <w:u w:val="single"/>
        </w:rPr>
        <w:t>3:59</w:t>
      </w:r>
      <w:r>
        <w:rPr>
          <w:rFonts w:hint="eastAsia" w:ascii="宋体" w:hAnsi="宋体" w:cs="宋体"/>
          <w:bCs/>
          <w:color w:val="auto"/>
          <w:kern w:val="0"/>
          <w:szCs w:val="21"/>
          <w:highlight w:val="none"/>
          <w:u w:val="single"/>
        </w:rPr>
        <w:t>。</w:t>
      </w:r>
    </w:p>
    <w:p w14:paraId="056BCDD0">
      <w:pPr>
        <w:spacing w:line="420" w:lineRule="exact"/>
        <w:ind w:firstLine="420" w:firstLineChars="200"/>
        <w:contextualSpacing/>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5A2D9600">
      <w:pPr>
        <w:spacing w:line="420" w:lineRule="exact"/>
        <w:ind w:firstLine="420" w:firstLineChars="200"/>
        <w:contextualSpacing/>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kern w:val="0"/>
          <w:szCs w:val="21"/>
          <w:highlight w:val="none"/>
        </w:rPr>
        <w:t>通过其他方式获取磋商文件的，将有可能导致供应商无法在广西政府采购云平台编制及上传响应文件。</w:t>
      </w:r>
    </w:p>
    <w:p w14:paraId="5C06AEE3">
      <w:pPr>
        <w:spacing w:line="420" w:lineRule="exact"/>
        <w:ind w:firstLine="420" w:firstLineChars="200"/>
        <w:contextualSpacing/>
        <w:rPr>
          <w:rFonts w:hint="eastAsia" w:ascii="宋体" w:hAnsi="宋体" w:cs="宋体"/>
          <w:color w:val="auto"/>
          <w:szCs w:val="21"/>
          <w:highlight w:val="none"/>
        </w:rPr>
      </w:pPr>
      <w:r>
        <w:rPr>
          <w:rFonts w:hint="eastAsia" w:ascii="宋体" w:hAnsi="宋体" w:cs="宋体"/>
          <w:bCs/>
          <w:color w:val="auto"/>
          <w:kern w:val="0"/>
          <w:szCs w:val="21"/>
          <w:highlight w:val="none"/>
        </w:rPr>
        <w:t>售价：</w:t>
      </w:r>
      <w:r>
        <w:rPr>
          <w:rFonts w:hint="eastAsia" w:ascii="宋体" w:hAnsi="宋体" w:cs="宋体"/>
          <w:color w:val="auto"/>
          <w:szCs w:val="21"/>
          <w:highlight w:val="none"/>
          <w:u w:val="single"/>
        </w:rPr>
        <w:t>0</w:t>
      </w:r>
      <w:r>
        <w:rPr>
          <w:rFonts w:hint="eastAsia" w:ascii="宋体" w:hAnsi="宋体" w:cs="宋体"/>
          <w:color w:val="auto"/>
          <w:szCs w:val="21"/>
          <w:highlight w:val="none"/>
        </w:rPr>
        <w:t>元</w:t>
      </w:r>
    </w:p>
    <w:p w14:paraId="47223271">
      <w:pPr>
        <w:spacing w:line="420" w:lineRule="exact"/>
        <w:ind w:firstLine="354" w:firstLineChars="147"/>
        <w:contextualSpacing/>
        <w:rPr>
          <w:rFonts w:ascii="黑体" w:hAnsi="黑体" w:eastAsia="黑体"/>
          <w:b/>
          <w:color w:val="auto"/>
          <w:sz w:val="24"/>
          <w:highlight w:val="none"/>
        </w:rPr>
      </w:pPr>
      <w:bookmarkStart w:id="28" w:name="_Toc71365908"/>
      <w:r>
        <w:rPr>
          <w:rFonts w:hint="eastAsia" w:ascii="黑体" w:hAnsi="黑体" w:eastAsia="黑体"/>
          <w:b/>
          <w:color w:val="auto"/>
          <w:sz w:val="24"/>
          <w:highlight w:val="none"/>
        </w:rPr>
        <w:t>四、响应文件提交</w:t>
      </w:r>
      <w:bookmarkEnd w:id="23"/>
      <w:bookmarkEnd w:id="24"/>
      <w:bookmarkEnd w:id="25"/>
      <w:bookmarkEnd w:id="26"/>
      <w:bookmarkEnd w:id="27"/>
      <w:bookmarkEnd w:id="28"/>
    </w:p>
    <w:p w14:paraId="34E8F266">
      <w:pPr>
        <w:spacing w:line="420" w:lineRule="exact"/>
        <w:ind w:firstLine="420" w:firstLineChars="200"/>
        <w:contextualSpacing/>
        <w:rPr>
          <w:rFonts w:ascii="宋体" w:hAnsi="宋体" w:cs="宋体"/>
          <w:color w:val="auto"/>
          <w:szCs w:val="21"/>
          <w:highlight w:val="none"/>
          <w:u w:val="single"/>
        </w:rPr>
      </w:pPr>
      <w:bookmarkStart w:id="29" w:name="_Toc35393633"/>
      <w:bookmarkStart w:id="30" w:name="_Toc28359093"/>
      <w:bookmarkStart w:id="31" w:name="_Toc28359016"/>
      <w:bookmarkStart w:id="32" w:name="_Toc35393802"/>
      <w:bookmarkStart w:id="33" w:name="_Toc44229882"/>
      <w:r>
        <w:rPr>
          <w:rFonts w:hint="eastAsia" w:ascii="宋体" w:hAnsi="宋体"/>
          <w:color w:val="auto"/>
          <w:szCs w:val="21"/>
          <w:highlight w:val="none"/>
        </w:rPr>
        <w:t>截止时间：</w:t>
      </w:r>
      <w:r>
        <w:rPr>
          <w:rFonts w:ascii="宋体" w:hAnsi="宋体"/>
          <w:bCs/>
          <w:color w:val="auto"/>
          <w:szCs w:val="21"/>
          <w:highlight w:val="none"/>
          <w:u w:val="single"/>
        </w:rPr>
        <w:t>202</w:t>
      </w:r>
      <w:r>
        <w:rPr>
          <w:rFonts w:hint="eastAsia" w:ascii="宋体" w:hAnsi="宋体"/>
          <w:bCs/>
          <w:color w:val="auto"/>
          <w:szCs w:val="21"/>
          <w:highlight w:val="none"/>
          <w:u w:val="single"/>
        </w:rPr>
        <w:t>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24</w:t>
      </w:r>
      <w:r>
        <w:rPr>
          <w:rFonts w:hint="eastAsia" w:ascii="宋体" w:hAnsi="宋体"/>
          <w:bCs/>
          <w:color w:val="auto"/>
          <w:szCs w:val="21"/>
          <w:highlight w:val="none"/>
          <w:u w:val="single"/>
        </w:rPr>
        <w:t>日</w:t>
      </w:r>
      <w:r>
        <w:rPr>
          <w:rFonts w:ascii="宋体" w:hAnsi="宋体"/>
          <w:bCs/>
          <w:color w:val="auto"/>
          <w:szCs w:val="21"/>
          <w:highlight w:val="none"/>
          <w:u w:val="single"/>
        </w:rPr>
        <w:t>9</w:t>
      </w:r>
      <w:r>
        <w:rPr>
          <w:rFonts w:hint="eastAsia" w:ascii="宋体" w:hAnsi="宋体"/>
          <w:bCs/>
          <w:color w:val="auto"/>
          <w:szCs w:val="21"/>
          <w:highlight w:val="none"/>
          <w:u w:val="single"/>
        </w:rPr>
        <w:t>时</w:t>
      </w:r>
      <w:r>
        <w:rPr>
          <w:rFonts w:ascii="宋体" w:hAnsi="宋体"/>
          <w:bCs/>
          <w:color w:val="auto"/>
          <w:szCs w:val="21"/>
          <w:highlight w:val="none"/>
          <w:u w:val="single"/>
        </w:rPr>
        <w:t>30</w:t>
      </w:r>
      <w:r>
        <w:rPr>
          <w:rFonts w:hint="eastAsia" w:ascii="宋体" w:hAnsi="宋体"/>
          <w:bCs/>
          <w:color w:val="auto"/>
          <w:szCs w:val="21"/>
          <w:highlight w:val="none"/>
          <w:u w:val="single"/>
        </w:rPr>
        <w:t>分</w:t>
      </w:r>
      <w:r>
        <w:rPr>
          <w:rFonts w:hint="eastAsia" w:ascii="宋体" w:hAnsi="宋体"/>
          <w:bCs/>
          <w:color w:val="auto"/>
          <w:szCs w:val="21"/>
          <w:highlight w:val="none"/>
        </w:rPr>
        <w:t>（北京时间）</w:t>
      </w:r>
      <w:r>
        <w:rPr>
          <w:rFonts w:hint="eastAsia" w:ascii="宋体" w:hAnsi="宋体" w:cs="宋体"/>
          <w:color w:val="auto"/>
          <w:szCs w:val="21"/>
          <w:highlight w:val="none"/>
          <w:u w:val="single"/>
        </w:rPr>
        <w:t>（从磋商文件开始发出之日起至供应商提交首次响应文件截止之日止不得少于10日）</w:t>
      </w:r>
    </w:p>
    <w:p w14:paraId="104E203D">
      <w:pPr>
        <w:spacing w:line="420" w:lineRule="exact"/>
        <w:ind w:firstLine="420" w:firstLineChars="200"/>
        <w:contextualSpacing/>
        <w:rPr>
          <w:rFonts w:hint="eastAsia"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0979C401">
      <w:pPr>
        <w:spacing w:line="420" w:lineRule="exact"/>
        <w:ind w:firstLine="354" w:firstLineChars="147"/>
        <w:contextualSpacing/>
        <w:rPr>
          <w:rFonts w:ascii="黑体" w:hAnsi="黑体" w:eastAsia="黑体"/>
          <w:b/>
          <w:color w:val="auto"/>
          <w:sz w:val="24"/>
          <w:highlight w:val="none"/>
        </w:rPr>
      </w:pPr>
      <w:bookmarkStart w:id="34" w:name="_Toc71365909"/>
      <w:r>
        <w:rPr>
          <w:rFonts w:hint="eastAsia" w:ascii="黑体" w:hAnsi="黑体" w:eastAsia="黑体"/>
          <w:b/>
          <w:color w:val="auto"/>
          <w:sz w:val="24"/>
          <w:highlight w:val="none"/>
        </w:rPr>
        <w:t>五、开启</w:t>
      </w:r>
      <w:bookmarkEnd w:id="29"/>
      <w:bookmarkEnd w:id="30"/>
      <w:bookmarkEnd w:id="31"/>
      <w:bookmarkEnd w:id="32"/>
      <w:bookmarkEnd w:id="33"/>
      <w:bookmarkEnd w:id="34"/>
    </w:p>
    <w:p w14:paraId="64D039ED">
      <w:pPr>
        <w:spacing w:line="420" w:lineRule="exact"/>
        <w:ind w:firstLine="420" w:firstLineChars="200"/>
        <w:contextualSpacing/>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ascii="宋体" w:hAnsi="宋体"/>
          <w:color w:val="auto"/>
          <w:szCs w:val="21"/>
          <w:highlight w:val="none"/>
          <w:u w:val="none"/>
        </w:rPr>
        <w:t>202</w:t>
      </w:r>
      <w:r>
        <w:rPr>
          <w:rFonts w:hint="eastAsia" w:ascii="宋体" w:hAnsi="宋体"/>
          <w:color w:val="auto"/>
          <w:szCs w:val="21"/>
          <w:highlight w:val="none"/>
          <w:u w:val="none"/>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24</w:t>
      </w:r>
      <w:r>
        <w:rPr>
          <w:rFonts w:hint="eastAsia" w:ascii="宋体" w:hAnsi="宋体"/>
          <w:bCs/>
          <w:color w:val="auto"/>
          <w:szCs w:val="21"/>
          <w:highlight w:val="none"/>
        </w:rPr>
        <w:t>日</w:t>
      </w:r>
      <w:r>
        <w:rPr>
          <w:rFonts w:ascii="宋体" w:hAnsi="宋体"/>
          <w:bCs/>
          <w:color w:val="auto"/>
          <w:szCs w:val="21"/>
          <w:highlight w:val="none"/>
          <w:u w:val="none"/>
        </w:rPr>
        <w:t>9</w:t>
      </w:r>
      <w:r>
        <w:rPr>
          <w:rFonts w:hint="eastAsia" w:ascii="宋体" w:hAnsi="宋体"/>
          <w:bCs/>
          <w:color w:val="auto"/>
          <w:szCs w:val="21"/>
          <w:highlight w:val="none"/>
        </w:rPr>
        <w:t>时</w:t>
      </w:r>
      <w:r>
        <w:rPr>
          <w:rFonts w:ascii="宋体" w:hAnsi="宋体"/>
          <w:bCs/>
          <w:color w:val="auto"/>
          <w:szCs w:val="21"/>
          <w:highlight w:val="none"/>
          <w:u w:val="none"/>
        </w:rPr>
        <w:t>30</w:t>
      </w:r>
      <w:r>
        <w:rPr>
          <w:rFonts w:hint="eastAsia" w:ascii="宋体" w:hAnsi="宋体"/>
          <w:bCs/>
          <w:color w:val="auto"/>
          <w:szCs w:val="21"/>
          <w:highlight w:val="none"/>
        </w:rPr>
        <w:t>分（北京时间）</w:t>
      </w:r>
    </w:p>
    <w:p w14:paraId="228FC5A8">
      <w:pPr>
        <w:spacing w:line="420" w:lineRule="exact"/>
        <w:ind w:firstLine="420" w:firstLineChars="200"/>
        <w:contextualSpacing/>
        <w:rPr>
          <w:rFonts w:ascii="宋体" w:hAnsi="宋体"/>
          <w:bCs/>
          <w:color w:val="auto"/>
          <w:szCs w:val="21"/>
          <w:highlight w:val="none"/>
          <w:u w:val="singl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4B40C3DC">
      <w:pPr>
        <w:spacing w:line="420" w:lineRule="exact"/>
        <w:ind w:firstLine="354" w:firstLineChars="147"/>
        <w:contextualSpacing/>
        <w:rPr>
          <w:rFonts w:ascii="黑体" w:hAnsi="黑体" w:eastAsia="黑体"/>
          <w:b/>
          <w:color w:val="auto"/>
          <w:sz w:val="24"/>
          <w:highlight w:val="none"/>
        </w:rPr>
      </w:pPr>
      <w:bookmarkStart w:id="35" w:name="_Toc35393634"/>
      <w:bookmarkStart w:id="36" w:name="_Toc28359017"/>
      <w:bookmarkStart w:id="37" w:name="_Toc44229883"/>
      <w:bookmarkStart w:id="38" w:name="_Toc28359094"/>
      <w:bookmarkStart w:id="39" w:name="_Toc71365910"/>
      <w:bookmarkStart w:id="40" w:name="_Toc35393803"/>
      <w:r>
        <w:rPr>
          <w:rFonts w:hint="eastAsia" w:ascii="黑体" w:hAnsi="黑体" w:eastAsia="黑体"/>
          <w:b/>
          <w:color w:val="auto"/>
          <w:sz w:val="24"/>
          <w:highlight w:val="none"/>
        </w:rPr>
        <w:t>六、公告期限</w:t>
      </w:r>
      <w:bookmarkEnd w:id="35"/>
      <w:bookmarkEnd w:id="36"/>
      <w:bookmarkEnd w:id="37"/>
      <w:bookmarkEnd w:id="38"/>
      <w:bookmarkEnd w:id="39"/>
      <w:bookmarkEnd w:id="40"/>
    </w:p>
    <w:p w14:paraId="09E6184D">
      <w:pPr>
        <w:spacing w:line="420" w:lineRule="exact"/>
        <w:ind w:firstLine="420" w:firstLineChars="200"/>
        <w:contextualSpacing/>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ascii="宋体" w:hAnsi="宋体" w:cs="宋体"/>
          <w:color w:val="auto"/>
          <w:kern w:val="0"/>
          <w:szCs w:val="21"/>
          <w:highlight w:val="none"/>
        </w:rPr>
        <w:t>5</w:t>
      </w:r>
      <w:r>
        <w:rPr>
          <w:rFonts w:hint="eastAsia" w:ascii="宋体" w:hAnsi="宋体" w:cs="宋体"/>
          <w:color w:val="auto"/>
          <w:kern w:val="0"/>
          <w:szCs w:val="21"/>
          <w:highlight w:val="none"/>
        </w:rPr>
        <w:t>个工作日。</w:t>
      </w:r>
    </w:p>
    <w:p w14:paraId="31BB4F83">
      <w:pPr>
        <w:spacing w:line="420" w:lineRule="exact"/>
        <w:ind w:firstLine="354" w:firstLineChars="147"/>
        <w:contextualSpacing/>
        <w:rPr>
          <w:rFonts w:ascii="黑体" w:hAnsi="黑体" w:eastAsia="黑体"/>
          <w:b/>
          <w:color w:val="auto"/>
          <w:sz w:val="24"/>
          <w:highlight w:val="none"/>
        </w:rPr>
      </w:pPr>
      <w:bookmarkStart w:id="41" w:name="_Toc35393635"/>
      <w:bookmarkStart w:id="42" w:name="_Toc35393804"/>
      <w:bookmarkStart w:id="43" w:name="_Toc71365911"/>
      <w:bookmarkStart w:id="44" w:name="_Toc44229884"/>
      <w:r>
        <w:rPr>
          <w:rFonts w:hint="eastAsia" w:ascii="黑体" w:hAnsi="黑体" w:eastAsia="黑体"/>
          <w:b/>
          <w:color w:val="auto"/>
          <w:sz w:val="24"/>
          <w:highlight w:val="none"/>
        </w:rPr>
        <w:t>七、其他补充事宜</w:t>
      </w:r>
      <w:bookmarkEnd w:id="41"/>
      <w:bookmarkEnd w:id="42"/>
      <w:bookmarkEnd w:id="43"/>
      <w:bookmarkEnd w:id="44"/>
    </w:p>
    <w:p w14:paraId="03490A5A">
      <w:pPr>
        <w:spacing w:line="420" w:lineRule="exact"/>
        <w:ind w:firstLine="420" w:firstLineChars="200"/>
        <w:contextualSpacing/>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p>
    <w:p w14:paraId="6BAC0DBA">
      <w:pPr>
        <w:spacing w:line="420" w:lineRule="exact"/>
        <w:ind w:firstLine="420" w:firstLineChars="200"/>
        <w:contextualSpacing/>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www.ccgp.gov.cn（中国政府采购网）、zfcg.gxzf.gov.cn（广西壮族自治区政府采购网）</w:t>
      </w:r>
      <w:r>
        <w:rPr>
          <w:rFonts w:hint="eastAsia" w:ascii="宋体" w:hAnsi="宋体" w:cs="宋体"/>
          <w:color w:val="auto"/>
          <w:kern w:val="0"/>
          <w:szCs w:val="21"/>
          <w:highlight w:val="none"/>
          <w:lang w:eastAsia="zh-CN"/>
        </w:rPr>
        <w:t>、https://www.gxlvtc.edu.cn/（广西物流职业技术学院）、广西阳光采购服务平台（行政事业国资专区）（https://xz.gxygcg.com）、广西招标网（www.guangxibid.com.cn）。</w:t>
      </w:r>
    </w:p>
    <w:p w14:paraId="1E06EF1A">
      <w:pPr>
        <w:spacing w:line="420" w:lineRule="exact"/>
        <w:ind w:firstLine="424" w:firstLineChars="202"/>
        <w:contextualSpacing/>
        <w:rPr>
          <w:rFonts w:hint="eastAsia" w:ascii="宋体" w:hAnsi="宋体" w:cs="宋体"/>
          <w:color w:val="auto"/>
          <w:kern w:val="0"/>
          <w:szCs w:val="21"/>
          <w:highlight w:val="none"/>
        </w:rPr>
      </w:pPr>
      <w:bookmarkStart w:id="45" w:name="_Hlk37429674"/>
      <w:bookmarkStart w:id="46" w:name="_Toc35393805"/>
      <w:bookmarkStart w:id="47" w:name="_Toc35393636"/>
      <w:bookmarkStart w:id="48" w:name="_Toc28359095"/>
      <w:bookmarkStart w:id="49" w:name="_Toc28359018"/>
      <w:bookmarkStart w:id="50" w:name="_Toc44229885"/>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p w14:paraId="789FAFE8">
      <w:pPr>
        <w:spacing w:line="420" w:lineRule="exact"/>
        <w:ind w:firstLine="420" w:firstLineChars="200"/>
        <w:contextualSpacing/>
        <w:rPr>
          <w:rFonts w:ascii="宋体" w:hAnsi="宋体" w:cs="宋体"/>
          <w:iCs/>
          <w:color w:val="auto"/>
          <w:kern w:val="0"/>
          <w:szCs w:val="21"/>
          <w:highlight w:val="none"/>
        </w:rPr>
      </w:pPr>
      <w:r>
        <w:rPr>
          <w:rFonts w:hint="eastAsia" w:ascii="宋体" w:hAnsi="宋体" w:cs="宋体"/>
          <w:iCs/>
          <w:color w:val="auto"/>
          <w:kern w:val="0"/>
          <w:szCs w:val="21"/>
          <w:highlight w:val="none"/>
        </w:rPr>
        <w:t>（1）政府采购促进中小企业发展。</w:t>
      </w:r>
    </w:p>
    <w:p w14:paraId="0E2E8F50">
      <w:pPr>
        <w:spacing w:line="420" w:lineRule="exact"/>
        <w:ind w:firstLine="420" w:firstLineChars="200"/>
        <w:contextualSpacing/>
        <w:rPr>
          <w:rFonts w:ascii="宋体" w:hAnsi="宋体" w:cs="宋体"/>
          <w:iCs/>
          <w:color w:val="auto"/>
          <w:kern w:val="0"/>
          <w:szCs w:val="21"/>
          <w:highlight w:val="none"/>
        </w:rPr>
      </w:pPr>
      <w:r>
        <w:rPr>
          <w:rFonts w:hint="eastAsia" w:ascii="宋体" w:hAnsi="宋体" w:cs="宋体"/>
          <w:iCs/>
          <w:color w:val="auto"/>
          <w:kern w:val="0"/>
          <w:szCs w:val="21"/>
          <w:highlight w:val="none"/>
        </w:rPr>
        <w:t>（2）政府采购支持采用本国产品的政策。</w:t>
      </w:r>
    </w:p>
    <w:p w14:paraId="64F4A2E8">
      <w:pPr>
        <w:spacing w:line="420" w:lineRule="exact"/>
        <w:ind w:firstLine="420" w:firstLineChars="200"/>
        <w:contextualSpacing/>
        <w:rPr>
          <w:rFonts w:ascii="宋体" w:hAnsi="宋体" w:cs="宋体"/>
          <w:iCs/>
          <w:color w:val="auto"/>
          <w:kern w:val="0"/>
          <w:szCs w:val="21"/>
          <w:highlight w:val="none"/>
        </w:rPr>
      </w:pPr>
      <w:r>
        <w:rPr>
          <w:rFonts w:hint="eastAsia" w:ascii="宋体" w:hAnsi="宋体" w:cs="宋体"/>
          <w:iCs/>
          <w:color w:val="auto"/>
          <w:kern w:val="0"/>
          <w:szCs w:val="21"/>
          <w:highlight w:val="none"/>
        </w:rPr>
        <w:t>（3）强制采购节能产品；优先采购节能产品、环境标志产品。</w:t>
      </w:r>
    </w:p>
    <w:p w14:paraId="7142FAEE">
      <w:pPr>
        <w:spacing w:line="420" w:lineRule="exact"/>
        <w:ind w:firstLine="420" w:firstLineChars="200"/>
        <w:contextualSpacing/>
        <w:rPr>
          <w:rFonts w:ascii="宋体" w:hAnsi="宋体" w:cs="宋体"/>
          <w:iCs/>
          <w:color w:val="auto"/>
          <w:kern w:val="0"/>
          <w:szCs w:val="21"/>
          <w:highlight w:val="none"/>
        </w:rPr>
      </w:pPr>
      <w:r>
        <w:rPr>
          <w:rFonts w:hint="eastAsia" w:ascii="宋体" w:hAnsi="宋体" w:cs="宋体"/>
          <w:iCs/>
          <w:color w:val="auto"/>
          <w:kern w:val="0"/>
          <w:szCs w:val="21"/>
          <w:highlight w:val="none"/>
        </w:rPr>
        <w:t>（4）政府采购促进残疾人就业政策。</w:t>
      </w:r>
    </w:p>
    <w:p w14:paraId="656CAAE2">
      <w:pPr>
        <w:spacing w:line="420" w:lineRule="exact"/>
        <w:ind w:firstLine="420" w:firstLineChars="200"/>
        <w:contextualSpacing/>
        <w:rPr>
          <w:rFonts w:hint="eastAsia" w:ascii="宋体" w:hAnsi="宋体" w:cs="宋体"/>
          <w:iCs/>
          <w:color w:val="auto"/>
          <w:kern w:val="0"/>
          <w:szCs w:val="21"/>
          <w:highlight w:val="none"/>
        </w:rPr>
      </w:pPr>
      <w:r>
        <w:rPr>
          <w:rFonts w:hint="eastAsia" w:ascii="宋体" w:hAnsi="宋体" w:cs="宋体"/>
          <w:iCs/>
          <w:color w:val="auto"/>
          <w:kern w:val="0"/>
          <w:szCs w:val="21"/>
          <w:highlight w:val="none"/>
        </w:rPr>
        <w:t>（5）政府采购支持监狱企业发展。</w:t>
      </w:r>
    </w:p>
    <w:bookmarkEnd w:id="45"/>
    <w:p w14:paraId="667719AF">
      <w:pPr>
        <w:widowControl/>
        <w:spacing w:line="420" w:lineRule="exact"/>
        <w:ind w:firstLine="420" w:firstLineChars="200"/>
        <w:contextualSpacing/>
        <w:jc w:val="left"/>
        <w:rPr>
          <w:rFonts w:ascii="宋体" w:hAnsi="宋体"/>
          <w:color w:val="auto"/>
          <w:szCs w:val="21"/>
          <w:highlight w:val="none"/>
        </w:rPr>
      </w:pPr>
      <w:r>
        <w:rPr>
          <w:rFonts w:hint="eastAsia" w:ascii="宋体" w:hAnsi="宋体" w:cs="宋体"/>
          <w:color w:val="auto"/>
          <w:kern w:val="0"/>
          <w:szCs w:val="21"/>
          <w:highlight w:val="none"/>
        </w:rPr>
        <w:t>3.供应商</w:t>
      </w:r>
      <w:r>
        <w:rPr>
          <w:rFonts w:hint="eastAsia" w:ascii="宋体" w:hAnsi="宋体"/>
          <w:color w:val="auto"/>
          <w:szCs w:val="21"/>
          <w:highlight w:val="none"/>
        </w:rPr>
        <w:t>竞标注意事项</w:t>
      </w:r>
    </w:p>
    <w:p w14:paraId="7B3A6AF4">
      <w:pPr>
        <w:widowControl/>
        <w:spacing w:line="420" w:lineRule="exact"/>
        <w:ind w:firstLine="420" w:firstLineChars="200"/>
        <w:contextualSpacing/>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04B96687">
      <w:pPr>
        <w:widowControl/>
        <w:spacing w:line="420" w:lineRule="exact"/>
        <w:ind w:firstLine="420" w:firstLineChars="200"/>
        <w:contextualSpacing/>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70C3D91E">
      <w:pPr>
        <w:snapToGrid w:val="0"/>
        <w:spacing w:line="420" w:lineRule="exact"/>
        <w:ind w:firstLine="420" w:firstLineChars="200"/>
        <w:contextualSpacing/>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71575834">
      <w:pPr>
        <w:widowControl/>
        <w:spacing w:line="420" w:lineRule="exact"/>
        <w:ind w:firstLine="420" w:firstLineChars="200"/>
        <w:contextualSpacing/>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2F2FDF0">
      <w:pPr>
        <w:spacing w:line="420" w:lineRule="exact"/>
        <w:ind w:firstLine="420" w:firstLineChars="200"/>
        <w:contextualSpacing/>
        <w:rPr>
          <w:rFonts w:hint="eastAsia" w:ascii="宋体" w:hAnsi="宋体"/>
          <w:color w:val="auto"/>
          <w:szCs w:val="21"/>
          <w:highlight w:val="none"/>
          <w:u w:val="single"/>
        </w:rPr>
      </w:pPr>
      <w:r>
        <w:rPr>
          <w:rFonts w:hint="eastAsia" w:ascii="宋体" w:hAnsi="宋体" w:cs="宋体"/>
          <w:color w:val="auto"/>
          <w:kern w:val="0"/>
          <w:szCs w:val="21"/>
          <w:highlight w:val="none"/>
        </w:rPr>
        <w:t>（4）供应商需要在具备有摄像头及语音功能且互联网网络状况良好的电脑登录广西政府采购云平台远程开标大厅参与本次磋商，否则后果自负。</w:t>
      </w:r>
    </w:p>
    <w:p w14:paraId="6A8E38EF">
      <w:pPr>
        <w:spacing w:line="420" w:lineRule="exact"/>
        <w:ind w:firstLine="354" w:firstLineChars="147"/>
        <w:contextualSpacing/>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6"/>
      <w:bookmarkEnd w:id="47"/>
      <w:bookmarkEnd w:id="48"/>
      <w:bookmarkEnd w:id="49"/>
      <w:bookmarkEnd w:id="50"/>
    </w:p>
    <w:bookmarkEnd w:id="4"/>
    <w:p w14:paraId="41BEC783">
      <w:pPr>
        <w:spacing w:line="420" w:lineRule="exact"/>
        <w:ind w:firstLine="420" w:firstLineChars="200"/>
        <w:contextualSpacing/>
        <w:rPr>
          <w:rFonts w:ascii="宋体" w:hAnsi="宋体"/>
          <w:color w:val="auto"/>
          <w:szCs w:val="21"/>
          <w:highlight w:val="none"/>
        </w:rPr>
      </w:pPr>
      <w:r>
        <w:rPr>
          <w:rFonts w:hint="eastAsia" w:ascii="宋体" w:hAnsi="宋体"/>
          <w:color w:val="auto"/>
          <w:highlight w:val="none"/>
        </w:rPr>
        <w:t>1.采购人信息</w:t>
      </w:r>
    </w:p>
    <w:p w14:paraId="4D15E6F8">
      <w:pPr>
        <w:spacing w:line="420" w:lineRule="exact"/>
        <w:ind w:firstLine="420" w:firstLineChars="200"/>
        <w:contextualSpacing/>
        <w:rPr>
          <w:rFonts w:hint="eastAsia" w:ascii="宋体" w:hAnsi="宋体"/>
          <w:color w:val="auto"/>
          <w:highlight w:val="none"/>
        </w:rPr>
      </w:pPr>
      <w:r>
        <w:rPr>
          <w:rFonts w:hint="eastAsia" w:ascii="宋体" w:hAnsi="宋体"/>
          <w:color w:val="auto"/>
          <w:highlight w:val="none"/>
        </w:rPr>
        <w:t>名    称：</w:t>
      </w:r>
      <w:r>
        <w:rPr>
          <w:rFonts w:hint="eastAsia" w:ascii="宋体" w:hAnsi="宋体"/>
          <w:color w:val="auto"/>
          <w:highlight w:val="none"/>
          <w:lang w:eastAsia="zh-CN"/>
        </w:rPr>
        <w:t>广西物流职业技术学院</w:t>
      </w:r>
      <w:r>
        <w:rPr>
          <w:rFonts w:hint="eastAsia" w:ascii="宋体" w:hAnsi="宋体"/>
          <w:color w:val="auto"/>
          <w:highlight w:val="none"/>
        </w:rPr>
        <w:t xml:space="preserve">           </w:t>
      </w:r>
    </w:p>
    <w:p w14:paraId="1E62FD1C">
      <w:pPr>
        <w:spacing w:line="420" w:lineRule="exact"/>
        <w:ind w:firstLine="420" w:firstLineChars="200"/>
        <w:contextualSpacing/>
        <w:rPr>
          <w:rFonts w:hint="eastAsia" w:ascii="宋体" w:hAnsi="宋体" w:eastAsia="宋体"/>
          <w:color w:val="auto"/>
          <w:highlight w:val="none"/>
          <w:lang w:eastAsia="zh-CN"/>
        </w:rPr>
      </w:pPr>
      <w:r>
        <w:rPr>
          <w:rFonts w:hint="eastAsia" w:ascii="宋体" w:hAnsi="宋体"/>
          <w:color w:val="auto"/>
          <w:highlight w:val="none"/>
        </w:rPr>
        <w:t>地    址：</w:t>
      </w:r>
      <w:r>
        <w:rPr>
          <w:rFonts w:hint="eastAsia" w:ascii="宋体" w:hAnsi="宋体"/>
          <w:color w:val="auto"/>
          <w:highlight w:val="none"/>
          <w:lang w:eastAsia="zh-CN"/>
        </w:rPr>
        <w:t>广西贵港市港北区聚贤路8号</w:t>
      </w:r>
    </w:p>
    <w:p w14:paraId="6F0984C9">
      <w:pPr>
        <w:spacing w:line="420" w:lineRule="exact"/>
        <w:ind w:firstLine="420" w:firstLineChars="200"/>
        <w:contextualSpacing/>
        <w:rPr>
          <w:rFonts w:hint="eastAsia" w:ascii="宋体" w:hAnsi="宋体"/>
          <w:color w:val="auto"/>
          <w:highlight w:val="none"/>
        </w:rPr>
      </w:pPr>
      <w:r>
        <w:rPr>
          <w:rFonts w:hint="eastAsia" w:ascii="宋体" w:hAnsi="宋体"/>
          <w:color w:val="auto"/>
          <w:highlight w:val="none"/>
        </w:rPr>
        <w:t>联系方式：</w:t>
      </w:r>
      <w:r>
        <w:rPr>
          <w:rFonts w:hint="eastAsia" w:ascii="宋体" w:hAnsi="宋体" w:cs="宋体"/>
          <w:color w:val="auto"/>
          <w:highlight w:val="none"/>
          <w:lang w:eastAsia="zh-CN"/>
        </w:rPr>
        <w:t>张老师</w:t>
      </w:r>
      <w:r>
        <w:rPr>
          <w:rFonts w:hint="eastAsia" w:ascii="宋体" w:hAnsi="宋体" w:cs="宋体"/>
          <w:color w:val="auto"/>
          <w:highlight w:val="none"/>
          <w:lang w:val="en-US" w:eastAsia="zh-CN"/>
        </w:rPr>
        <w:t xml:space="preserve">  </w:t>
      </w:r>
      <w:r>
        <w:rPr>
          <w:rFonts w:hint="eastAsia" w:ascii="宋体" w:hAnsi="宋体" w:cs="宋体"/>
          <w:bCs/>
          <w:color w:val="auto"/>
          <w:szCs w:val="21"/>
          <w:highlight w:val="none"/>
          <w:lang w:val="en-US" w:eastAsia="zh-CN"/>
        </w:rPr>
        <w:t>18078002102</w:t>
      </w:r>
      <w:r>
        <w:rPr>
          <w:rFonts w:hint="eastAsia" w:ascii="宋体" w:hAnsi="宋体" w:cs="宋体"/>
          <w:color w:val="auto"/>
          <w:highlight w:val="none"/>
        </w:rPr>
        <w:t xml:space="preserve">             </w:t>
      </w:r>
      <w:r>
        <w:rPr>
          <w:rFonts w:hint="eastAsia" w:ascii="宋体" w:hAnsi="宋体"/>
          <w:color w:val="auto"/>
          <w:highlight w:val="none"/>
        </w:rPr>
        <w:t xml:space="preserve">           </w:t>
      </w:r>
    </w:p>
    <w:p w14:paraId="4B856A94">
      <w:pPr>
        <w:spacing w:line="420" w:lineRule="exact"/>
        <w:ind w:firstLine="420" w:firstLineChars="200"/>
        <w:contextualSpacing/>
        <w:rPr>
          <w:rFonts w:hint="eastAsia" w:ascii="宋体" w:hAnsi="宋体"/>
          <w:color w:val="auto"/>
          <w:highlight w:val="none"/>
        </w:rPr>
      </w:pPr>
      <w:r>
        <w:rPr>
          <w:rFonts w:hint="eastAsia" w:ascii="宋体" w:hAnsi="宋体"/>
          <w:color w:val="auto"/>
          <w:highlight w:val="none"/>
        </w:rPr>
        <w:t>2.采购代理机构信息</w:t>
      </w:r>
    </w:p>
    <w:p w14:paraId="19DD21A0">
      <w:pPr>
        <w:spacing w:line="420" w:lineRule="exact"/>
        <w:ind w:firstLine="420" w:firstLineChars="200"/>
        <w:contextualSpacing/>
        <w:rPr>
          <w:rFonts w:hint="eastAsia" w:ascii="宋体" w:hAnsi="宋体"/>
          <w:color w:val="auto"/>
          <w:highlight w:val="none"/>
        </w:rPr>
      </w:pPr>
      <w:r>
        <w:rPr>
          <w:rFonts w:hint="eastAsia" w:ascii="宋体" w:hAnsi="宋体"/>
          <w:color w:val="auto"/>
          <w:highlight w:val="none"/>
        </w:rPr>
        <w:t>名    称：</w:t>
      </w:r>
      <w:r>
        <w:rPr>
          <w:rFonts w:hint="eastAsia" w:ascii="宋体" w:hAnsi="宋体" w:cs="宋体"/>
          <w:color w:val="auto"/>
          <w:szCs w:val="21"/>
          <w:highlight w:val="none"/>
          <w:lang w:eastAsia="zh-CN"/>
        </w:rPr>
        <w:t>广西建设工程机电设备招标中心有限公司</w:t>
      </w:r>
      <w:r>
        <w:rPr>
          <w:rFonts w:hint="eastAsia" w:ascii="宋体" w:hAnsi="宋体"/>
          <w:color w:val="auto"/>
          <w:highlight w:val="none"/>
        </w:rPr>
        <w:t xml:space="preserve">              </w:t>
      </w:r>
    </w:p>
    <w:p w14:paraId="0C600453">
      <w:pPr>
        <w:spacing w:line="420" w:lineRule="exact"/>
        <w:ind w:firstLine="420" w:firstLineChars="200"/>
        <w:contextualSpacing/>
        <w:rPr>
          <w:rFonts w:hint="eastAsia" w:ascii="宋体" w:hAnsi="宋体"/>
          <w:color w:val="auto"/>
          <w:highlight w:val="none"/>
        </w:rPr>
      </w:pPr>
      <w:r>
        <w:rPr>
          <w:rFonts w:hint="eastAsia" w:ascii="宋体" w:hAnsi="宋体"/>
          <w:color w:val="auto"/>
          <w:highlight w:val="none"/>
        </w:rPr>
        <w:t>地  址：</w:t>
      </w:r>
      <w:r>
        <w:rPr>
          <w:rFonts w:hint="eastAsia" w:ascii="宋体" w:hAnsi="宋体" w:cs="宋体"/>
          <w:color w:val="auto"/>
          <w:szCs w:val="21"/>
          <w:highlight w:val="none"/>
          <w:lang w:eastAsia="zh-CN"/>
        </w:rPr>
        <w:t>南宁市青秀区枫林路18号广西国控集团（枫林路办公区）裙楼三层</w:t>
      </w:r>
    </w:p>
    <w:p w14:paraId="5E7F3691">
      <w:pPr>
        <w:spacing w:line="420" w:lineRule="exact"/>
        <w:ind w:firstLine="420" w:firstLineChars="200"/>
        <w:contextualSpacing/>
        <w:rPr>
          <w:rFonts w:hint="eastAsia" w:ascii="宋体" w:hAnsi="宋体"/>
          <w:color w:val="auto"/>
          <w:highlight w:val="none"/>
        </w:rPr>
      </w:pPr>
      <w:r>
        <w:rPr>
          <w:rFonts w:hint="eastAsia" w:ascii="宋体" w:hAnsi="宋体"/>
          <w:color w:val="auto"/>
          <w:highlight w:val="none"/>
        </w:rPr>
        <w:t>联系方式：</w:t>
      </w:r>
      <w:r>
        <w:rPr>
          <w:rFonts w:hint="eastAsia" w:ascii="宋体" w:hAnsi="宋体" w:cs="宋体"/>
          <w:color w:val="auto"/>
          <w:szCs w:val="21"/>
          <w:highlight w:val="none"/>
          <w:lang w:eastAsia="zh-CN"/>
        </w:rPr>
        <w:t>0771-2807659</w:t>
      </w:r>
    </w:p>
    <w:p w14:paraId="7B3FF87F">
      <w:pPr>
        <w:spacing w:line="420" w:lineRule="exact"/>
        <w:ind w:firstLine="420" w:firstLineChars="200"/>
        <w:contextualSpacing/>
        <w:rPr>
          <w:rFonts w:hint="eastAsia" w:ascii="宋体" w:hAnsi="宋体"/>
          <w:color w:val="auto"/>
          <w:highlight w:val="none"/>
        </w:rPr>
      </w:pPr>
      <w:r>
        <w:rPr>
          <w:rFonts w:hint="eastAsia" w:ascii="宋体" w:hAnsi="宋体"/>
          <w:color w:val="auto"/>
          <w:highlight w:val="none"/>
        </w:rPr>
        <w:t xml:space="preserve"> 3.项目联系方式</w:t>
      </w:r>
    </w:p>
    <w:p w14:paraId="6BDB2183">
      <w:pPr>
        <w:spacing w:line="420" w:lineRule="exact"/>
        <w:ind w:firstLine="420" w:firstLineChars="200"/>
        <w:contextualSpacing/>
        <w:rPr>
          <w:rFonts w:hint="eastAsia" w:ascii="宋体" w:hAnsi="宋体"/>
          <w:color w:val="auto"/>
          <w:highlight w:val="none"/>
        </w:rPr>
      </w:pPr>
      <w:r>
        <w:rPr>
          <w:rFonts w:hint="eastAsia" w:ascii="宋体" w:hAnsi="宋体"/>
          <w:color w:val="auto"/>
          <w:highlight w:val="none"/>
        </w:rPr>
        <w:t>项目联系人：</w:t>
      </w:r>
      <w:r>
        <w:rPr>
          <w:rFonts w:hint="eastAsia" w:ascii="宋体" w:hAnsi="宋体" w:cs="宋体"/>
          <w:color w:val="auto"/>
          <w:szCs w:val="21"/>
          <w:highlight w:val="none"/>
          <w:lang w:eastAsia="zh-CN"/>
        </w:rPr>
        <w:t>黄天懿、吴兴红、黄振宁、刘风</w:t>
      </w:r>
      <w:r>
        <w:rPr>
          <w:rFonts w:hint="eastAsia" w:ascii="宋体" w:hAnsi="宋体" w:cs="宋体"/>
          <w:color w:val="auto"/>
          <w:szCs w:val="21"/>
          <w:highlight w:val="none"/>
        </w:rPr>
        <w:t xml:space="preserve"> </w:t>
      </w:r>
      <w:r>
        <w:rPr>
          <w:rFonts w:hint="eastAsia" w:ascii="宋体" w:hAnsi="宋体"/>
          <w:color w:val="auto"/>
          <w:highlight w:val="none"/>
        </w:rPr>
        <w:t xml:space="preserve">       </w:t>
      </w:r>
    </w:p>
    <w:p w14:paraId="061C049A">
      <w:pPr>
        <w:spacing w:line="420" w:lineRule="exact"/>
        <w:ind w:firstLine="420" w:firstLineChars="200"/>
        <w:contextualSpacing/>
        <w:rPr>
          <w:rFonts w:hint="eastAsia" w:ascii="宋体" w:hAnsi="宋体"/>
          <w:color w:val="auto"/>
          <w:highlight w:val="none"/>
        </w:rPr>
      </w:pPr>
      <w:r>
        <w:rPr>
          <w:rFonts w:hint="eastAsia" w:ascii="宋体" w:hAnsi="宋体"/>
          <w:color w:val="auto"/>
          <w:highlight w:val="none"/>
        </w:rPr>
        <w:t>电  话：</w:t>
      </w:r>
      <w:r>
        <w:rPr>
          <w:rFonts w:hint="eastAsia" w:ascii="宋体" w:hAnsi="宋体" w:cs="宋体"/>
          <w:color w:val="auto"/>
          <w:szCs w:val="21"/>
          <w:highlight w:val="none"/>
          <w:lang w:eastAsia="zh-CN"/>
        </w:rPr>
        <w:t>0771-2807659</w:t>
      </w:r>
    </w:p>
    <w:p w14:paraId="5C848736">
      <w:pPr>
        <w:spacing w:line="400" w:lineRule="exact"/>
        <w:jc w:val="center"/>
        <w:rPr>
          <w:rFonts w:ascii="宋体" w:hAnsi="宋体"/>
          <w:color w:val="auto"/>
          <w:highlight w:val="none"/>
          <w:u w:val="single"/>
        </w:rPr>
      </w:pPr>
    </w:p>
    <w:p w14:paraId="0A054DAA">
      <w:pPr>
        <w:outlineLvl w:val="9"/>
        <w:rPr>
          <w:color w:val="auto"/>
          <w:highlight w:val="none"/>
        </w:rPr>
      </w:pPr>
    </w:p>
    <w:p w14:paraId="125777D8">
      <w:pPr>
        <w:spacing w:line="420" w:lineRule="exact"/>
        <w:ind w:firstLine="420" w:firstLineChars="200"/>
        <w:contextualSpacing/>
        <w:jc w:val="right"/>
        <w:outlineLvl w:val="9"/>
        <w:rPr>
          <w:rFonts w:hint="eastAsia" w:ascii="宋体" w:hAnsi="宋体" w:eastAsia="宋体" w:cs="宋体"/>
          <w:color w:val="auto"/>
          <w:szCs w:val="21"/>
          <w:highlight w:val="none"/>
          <w:lang w:eastAsia="zh-CN"/>
        </w:rPr>
      </w:pPr>
      <w:r>
        <w:rPr>
          <w:rFonts w:hint="eastAsia"/>
          <w:color w:val="auto"/>
          <w:highlight w:val="none"/>
          <w:lang w:eastAsia="zh-CN"/>
        </w:rPr>
        <w:t>采</w:t>
      </w:r>
      <w:r>
        <w:rPr>
          <w:rFonts w:hint="eastAsia" w:ascii="宋体" w:hAnsi="宋体" w:eastAsia="宋体" w:cs="宋体"/>
          <w:color w:val="auto"/>
          <w:szCs w:val="21"/>
          <w:highlight w:val="none"/>
          <w:lang w:eastAsia="zh-CN"/>
        </w:rPr>
        <w:t>购人：广西物流职业技术学院</w:t>
      </w:r>
    </w:p>
    <w:p w14:paraId="3216E493">
      <w:pPr>
        <w:spacing w:line="420" w:lineRule="exact"/>
        <w:ind w:firstLine="420" w:firstLineChars="200"/>
        <w:contextualSpacing/>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代理机构：</w:t>
      </w:r>
      <w:r>
        <w:rPr>
          <w:rFonts w:hint="eastAsia" w:ascii="宋体" w:hAnsi="宋体" w:eastAsia="宋体" w:cs="宋体"/>
          <w:color w:val="auto"/>
          <w:szCs w:val="21"/>
          <w:highlight w:val="none"/>
        </w:rPr>
        <w:t>广西建设工程机电设备招标中心有限公司</w:t>
      </w:r>
    </w:p>
    <w:p w14:paraId="548FE108">
      <w:pPr>
        <w:spacing w:line="420" w:lineRule="exact"/>
        <w:ind w:firstLine="420" w:firstLineChars="200"/>
        <w:contextualSpacing/>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日</w:t>
      </w:r>
    </w:p>
    <w:p w14:paraId="7B044AED">
      <w:pPr>
        <w:spacing w:line="360" w:lineRule="auto"/>
        <w:ind w:firstLine="420" w:firstLineChars="200"/>
        <w:jc w:val="right"/>
        <w:rPr>
          <w:rFonts w:hint="eastAsia" w:ascii="宋体" w:hAnsi="宋体"/>
          <w:color w:val="auto"/>
          <w:szCs w:val="21"/>
          <w:highlight w:val="none"/>
        </w:rPr>
      </w:pPr>
    </w:p>
    <w:p w14:paraId="4A5DEABB">
      <w:pPr>
        <w:pStyle w:val="2"/>
        <w:spacing w:line="360" w:lineRule="auto"/>
        <w:contextualSpacing/>
        <w:jc w:val="center"/>
        <w:rPr>
          <w:rFonts w:hint="eastAsia"/>
          <w:color w:val="auto"/>
          <w:highlight w:val="none"/>
        </w:rPr>
      </w:pPr>
      <w:r>
        <w:rPr>
          <w:color w:val="auto"/>
          <w:highlight w:val="none"/>
        </w:rPr>
        <w:br w:type="page"/>
      </w:r>
      <w:bookmarkStart w:id="51" w:name="_Toc74323457"/>
      <w:r>
        <w:rPr>
          <w:rFonts w:hint="eastAsia"/>
          <w:color w:val="auto"/>
          <w:highlight w:val="none"/>
        </w:rPr>
        <w:t>第二章 供应商须知</w:t>
      </w:r>
      <w:bookmarkEnd w:id="51"/>
    </w:p>
    <w:p w14:paraId="5387D726">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tbl>
      <w:tblPr>
        <w:tblStyle w:val="2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527F5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7B60E96B">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noWrap w:val="0"/>
            <w:vAlign w:val="top"/>
          </w:tcPr>
          <w:p w14:paraId="7BA63BF4">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5A3A6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9CB504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7912" w:type="dxa"/>
            <w:noWrap w:val="0"/>
            <w:vAlign w:val="center"/>
          </w:tcPr>
          <w:p w14:paraId="1E5FCB6E">
            <w:pPr>
              <w:spacing w:line="360" w:lineRule="auto"/>
              <w:rPr>
                <w:rFonts w:hint="eastAsia" w:ascii="宋体" w:hAnsi="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0873FA04">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20E502F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w:t>
            </w:r>
            <w:bookmarkStart w:id="52" w:name="OLE_LINK3"/>
            <w:bookmarkStart w:id="53" w:name="OLE_LINK2"/>
            <w:r>
              <w:rPr>
                <w:rFonts w:hint="eastAsia" w:ascii="宋体" w:hAnsi="宋体" w:cs="宋体"/>
                <w:color w:val="auto"/>
                <w:szCs w:val="21"/>
                <w:highlight w:val="none"/>
              </w:rPr>
              <w:t>单位负责人为同一人或者存在直接控股、管理关系的不同供应商，不得参加同一合同项下的政府采购活动。</w:t>
            </w:r>
            <w:bookmarkEnd w:id="52"/>
            <w:bookmarkEnd w:id="53"/>
            <w:r>
              <w:rPr>
                <w:rFonts w:hint="eastAsia" w:ascii="宋体" w:hAnsi="宋体" w:cs="宋体"/>
                <w:color w:val="auto"/>
                <w:szCs w:val="21"/>
                <w:highlight w:val="none"/>
              </w:rPr>
              <w:t>为本项目提供过整体设计、规范编制或者项目管理、监理、检测等服务的供应商，不得再参加本项目上述服务以外的其他采购活动。</w:t>
            </w:r>
          </w:p>
          <w:p w14:paraId="10619E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3B2F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99C2BD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noWrap w:val="0"/>
            <w:vAlign w:val="center"/>
          </w:tcPr>
          <w:p w14:paraId="57C7C2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7129E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B74133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noWrap w:val="0"/>
            <w:vAlign w:val="center"/>
          </w:tcPr>
          <w:p w14:paraId="7ADB757C">
            <w:pPr>
              <w:spacing w:line="360" w:lineRule="auto"/>
              <w:rPr>
                <w:rFonts w:ascii="宋体" w:hAnsi="宋体" w:cs="宋体"/>
                <w:color w:val="auto"/>
                <w:szCs w:val="21"/>
                <w:highlight w:val="none"/>
              </w:rPr>
            </w:pPr>
            <w:r>
              <w:rPr>
                <w:rFonts w:hint="eastAsia" w:ascii="宋体" w:hAnsi="宋体"/>
                <w:color w:val="auto"/>
                <w:szCs w:val="21"/>
                <w:highlight w:val="none"/>
              </w:rPr>
              <w:t>如接受联合体竞标，联合体竞标要求如下：</w:t>
            </w:r>
          </w:p>
          <w:p w14:paraId="27D9EF6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两个以上供应商可以组成一个竞标联合体，以一个供应商的身份共同参加竞标。联合体竞标的，须提供《联合体竞标协议书》（格式后附）。</w:t>
            </w:r>
          </w:p>
          <w:p w14:paraId="3A4E8D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0C1A6D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联合体各方之间必须签订联合竞标协议，协议书必须明确主体方（或者牵头方）并明确约定联合体各方承担的工作和相应的责任（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各方承担责任与义务的分工必须符合采购需求，否则，联合体竞标无效</w:t>
            </w:r>
            <w:r>
              <w:rPr>
                <w:rFonts w:hint="eastAsia" w:ascii="宋体" w:hAnsi="宋体" w:cs="宋体"/>
                <w:color w:val="auto"/>
                <w:szCs w:val="21"/>
                <w:highlight w:val="none"/>
              </w:rPr>
              <w:t>），并将联合竞标协议放入响应文件。联合体各方必须共同与采购人签订采购合同，就采购合同约定的事项对采购人承担连带责任。</w:t>
            </w:r>
          </w:p>
          <w:p w14:paraId="3377601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以联合体形式参加政府采购活动的，联合体各方不得再单独参加或者与其他供应商另外组成联合体参加同一合同项下的政府采购活动。</w:t>
            </w:r>
          </w:p>
          <w:p w14:paraId="571C42E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color w:val="auto"/>
                <w:szCs w:val="21"/>
                <w:highlight w:val="none"/>
              </w:rPr>
              <w:t>联合体中有同类资质的供应商按照联合体分工承担相同工作的，应当按照资质等级较低的供应商确定资质等级。</w:t>
            </w:r>
          </w:p>
          <w:p w14:paraId="0004D4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联合体竞标业绩、履约能力按照联合体各方中较高的一方认定并计算（磋商文件另有规定的除外）。</w:t>
            </w:r>
          </w:p>
          <w:p w14:paraId="4F08455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供应商为联合体的，可以由联合体中的一方或者多方共同交纳磋商保证金，其交纳的保证金对联合体各方均具有约束力。</w:t>
            </w:r>
          </w:p>
          <w:p w14:paraId="6A61E29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联合体各方均应按照磋商文件的规定提交资格证明文件。</w:t>
            </w:r>
          </w:p>
        </w:tc>
      </w:tr>
      <w:tr w14:paraId="43EAF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115C65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noWrap w:val="0"/>
            <w:vAlign w:val="center"/>
          </w:tcPr>
          <w:p w14:paraId="69EFB802">
            <w:pPr>
              <w:pStyle w:val="9"/>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√不允许分包</w:t>
            </w:r>
          </w:p>
          <w:p w14:paraId="52111028">
            <w:pPr>
              <w:pStyle w:val="9"/>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□允许分包</w:t>
            </w:r>
          </w:p>
          <w:p w14:paraId="1D8D4DB1">
            <w:pPr>
              <w:pStyle w:val="9"/>
              <w:spacing w:line="360" w:lineRule="auto"/>
              <w:rPr>
                <w:rFonts w:hint="eastAsia" w:ascii="宋体" w:hAnsi="宋体"/>
                <w:color w:val="auto"/>
                <w:szCs w:val="21"/>
                <w:highlight w:val="none"/>
                <w:u w:val="single"/>
                <w:lang w:val="en-US" w:eastAsia="zh-CN"/>
              </w:rPr>
            </w:pPr>
            <w:r>
              <w:rPr>
                <w:rFonts w:hint="eastAsia" w:ascii="宋体" w:hAnsi="宋体"/>
                <w:color w:val="auto"/>
                <w:szCs w:val="21"/>
                <w:highlight w:val="none"/>
                <w:lang w:val="en-US" w:eastAsia="zh-CN"/>
              </w:rPr>
              <w:t>分包内容：</w:t>
            </w:r>
            <w:r>
              <w:rPr>
                <w:rFonts w:hint="eastAsia" w:ascii="宋体" w:hAnsi="宋体"/>
                <w:color w:val="auto"/>
                <w:szCs w:val="21"/>
                <w:highlight w:val="none"/>
                <w:u w:val="single"/>
                <w:lang w:val="en-US" w:eastAsia="zh-CN"/>
              </w:rPr>
              <w:t xml:space="preserve">                                     。</w:t>
            </w:r>
          </w:p>
          <w:p w14:paraId="28EEA415">
            <w:pPr>
              <w:pStyle w:val="9"/>
              <w:spacing w:line="360" w:lineRule="auto"/>
              <w:rPr>
                <w:rFonts w:hint="eastAsia" w:ascii="宋体" w:hAnsi="宋体" w:cs="宋体"/>
                <w:color w:val="auto"/>
                <w:szCs w:val="21"/>
                <w:highlight w:val="none"/>
                <w:lang w:val="en-US" w:eastAsia="zh-CN"/>
              </w:rPr>
            </w:pPr>
            <w:r>
              <w:rPr>
                <w:rFonts w:hint="eastAsia" w:ascii="宋体" w:hAnsi="宋体"/>
                <w:color w:val="auto"/>
                <w:szCs w:val="21"/>
                <w:highlight w:val="none"/>
                <w:lang w:val="en-US" w:eastAsia="zh-CN"/>
              </w:rPr>
              <w:t>分包金额或者比例：</w:t>
            </w:r>
            <w:r>
              <w:rPr>
                <w:rFonts w:hint="eastAsia" w:ascii="宋体" w:hAnsi="宋体"/>
                <w:color w:val="auto"/>
                <w:szCs w:val="21"/>
                <w:highlight w:val="none"/>
                <w:u w:val="single"/>
                <w:lang w:val="en-US" w:eastAsia="zh-CN"/>
              </w:rPr>
              <w:t xml:space="preserve">                                     。</w:t>
            </w:r>
          </w:p>
        </w:tc>
      </w:tr>
      <w:tr w14:paraId="2372D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74A186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noWrap w:val="0"/>
            <w:vAlign w:val="center"/>
          </w:tcPr>
          <w:p w14:paraId="4790A8FF">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68CB9F3E">
            <w:pPr>
              <w:pStyle w:val="9"/>
              <w:spacing w:line="360" w:lineRule="auto"/>
              <w:rPr>
                <w:rFonts w:hint="eastAsia" w:ascii="宋体" w:hAnsi="宋体"/>
                <w:color w:val="auto"/>
                <w:szCs w:val="21"/>
                <w:highlight w:val="none"/>
                <w:lang w:val="en-US" w:eastAsia="zh-CN"/>
              </w:rPr>
            </w:pPr>
            <w:r>
              <w:rPr>
                <w:rFonts w:hint="eastAsia" w:ascii="宋体" w:hAnsi="宋体" w:cs="宋体"/>
                <w:color w:val="auto"/>
                <w:szCs w:val="21"/>
                <w:highlight w:val="none"/>
                <w:lang w:val="en-US" w:eastAsia="zh-CN"/>
              </w:rPr>
              <w:t>1.供应商为法人或者其他组织的，提供营业执照等证明文件（如营业执照或者事业单位法人证书或者执业许可证或者登记证书等），供应商为自然人的提供其身份证复印件；（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08BCEB4">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月至2026年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9076BF2">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lang w:eastAsia="zh-CN"/>
              </w:rPr>
              <w:t>月至2026年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个月的依法缴纳社会保障资金的缴费凭证（</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F5A2802">
            <w:pPr>
              <w:spacing w:line="360" w:lineRule="auto"/>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4.供应商</w:t>
            </w:r>
            <w:r>
              <w:rPr>
                <w:rFonts w:hint="eastAsia"/>
                <w:color w:val="auto"/>
                <w:szCs w:val="21"/>
                <w:highlight w:val="none"/>
              </w:rPr>
              <w:t>财务状况报告</w:t>
            </w:r>
            <w:r>
              <w:rPr>
                <w:rFonts w:hint="eastAsia" w:ascii="宋体" w:hAnsi="宋体" w:cs="宋体"/>
                <w:color w:val="auto"/>
                <w:szCs w:val="21"/>
                <w:highlight w:val="none"/>
              </w:rPr>
              <w:t>[</w:t>
            </w:r>
            <w:r>
              <w:rPr>
                <w:color w:val="auto"/>
                <w:szCs w:val="21"/>
                <w:highlight w:val="none"/>
                <w:u w:val="single"/>
              </w:rPr>
              <w:t xml:space="preserve"> 202</w:t>
            </w:r>
            <w:r>
              <w:rPr>
                <w:rFonts w:hint="eastAsia"/>
                <w:color w:val="auto"/>
                <w:szCs w:val="21"/>
                <w:highlight w:val="none"/>
                <w:u w:val="single"/>
              </w:rPr>
              <w:t>5</w:t>
            </w:r>
            <w:r>
              <w:rPr>
                <w:rFonts w:hint="eastAsia"/>
                <w:color w:val="auto"/>
                <w:szCs w:val="21"/>
                <w:highlight w:val="none"/>
              </w:rPr>
              <w:t>年度财务报表复印件，或者银行出具的资信证明，或者中国人民银行征信中心出具的信用报告（企业竞标的提供企业信用报告，自然人竞标的提供个人信用报告，供应商属于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Cs/>
                <w:color w:val="auto"/>
                <w:szCs w:val="21"/>
                <w:highlight w:val="none"/>
              </w:rPr>
              <w:t>）</w:t>
            </w:r>
          </w:p>
          <w:p w14:paraId="1D438CA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ED082D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E1945A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7.竞标声明（格式后附）；（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8C33522">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供应商《中小企业声明函》或《残疾人福利性单位声明函》或属于监狱企业的</w:t>
            </w:r>
          </w:p>
          <w:p w14:paraId="5F9985B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证明文件（格式后附）；（</w:t>
            </w:r>
            <w:r>
              <w:rPr>
                <w:rFonts w:hint="eastAsia" w:ascii="宋体" w:hAnsi="宋体" w:cs="宋体"/>
                <w:color w:val="auto"/>
                <w:szCs w:val="21"/>
                <w:highlight w:val="none"/>
                <w:lang w:val="en-US" w:eastAsia="zh-CN"/>
              </w:rPr>
              <w:t>如有</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请提供</w:t>
            </w:r>
            <w:r>
              <w:rPr>
                <w:rFonts w:hint="eastAsia" w:ascii="宋体" w:hAnsi="宋体" w:cs="宋体"/>
                <w:color w:val="auto"/>
                <w:szCs w:val="21"/>
                <w:highlight w:val="none"/>
              </w:rPr>
              <w:t>）</w:t>
            </w:r>
          </w:p>
          <w:p w14:paraId="007BD862">
            <w:pPr>
              <w:snapToGrid w:val="0"/>
              <w:spacing w:line="360" w:lineRule="auto"/>
              <w:jc w:val="left"/>
              <w:rPr>
                <w:rFonts w:hint="eastAsia" w:ascii="宋体" w:hAnsi="宋体" w:cs="宋体"/>
                <w:color w:val="auto"/>
                <w:szCs w:val="21"/>
                <w:highlight w:val="none"/>
              </w:rPr>
            </w:pPr>
          </w:p>
          <w:p w14:paraId="4A0E344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.联合体竞标协议书（格式后附）；（</w:t>
            </w:r>
            <w:r>
              <w:rPr>
                <w:rFonts w:hint="eastAsia" w:ascii="宋体" w:hAnsi="宋体" w:cs="宋体"/>
                <w:b/>
                <w:color w:val="auto"/>
                <w:szCs w:val="21"/>
                <w:highlight w:val="none"/>
              </w:rPr>
              <w:t>联合体竞标时必须提供，否则响应文件按无效响应处理</w:t>
            </w:r>
            <w:r>
              <w:rPr>
                <w:rFonts w:hint="eastAsia" w:ascii="宋体" w:hAnsi="宋体" w:cs="宋体"/>
                <w:color w:val="auto"/>
                <w:szCs w:val="21"/>
                <w:highlight w:val="none"/>
              </w:rPr>
              <w:t>）</w:t>
            </w:r>
          </w:p>
          <w:p w14:paraId="6B3F34A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.除磋商文件规定必须提供以外，供应商认为需要提供的其他证明材料；</w:t>
            </w:r>
          </w:p>
          <w:p w14:paraId="63991DE2">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75F0BD7B">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w:t>
            </w:r>
            <w:r>
              <w:rPr>
                <w:rFonts w:hint="eastAsia"/>
                <w:b/>
                <w:color w:val="auto"/>
                <w:highlight w:val="none"/>
              </w:rPr>
              <w:t>电子签章</w:t>
            </w:r>
            <w:r>
              <w:rPr>
                <w:rFonts w:hint="eastAsia" w:ascii="宋体" w:hAnsi="宋体" w:cs="宋体"/>
                <w:b/>
                <w:color w:val="auto"/>
                <w:szCs w:val="21"/>
                <w:highlight w:val="none"/>
              </w:rPr>
              <w:t>，否则响应文件按无效处理。</w:t>
            </w:r>
            <w:r>
              <w:rPr>
                <w:rFonts w:hint="eastAsia" w:ascii="宋体" w:hAnsi="宋体" w:cs="宋体"/>
                <w:b/>
                <w:color w:val="auto"/>
                <w:sz w:val="22"/>
                <w:szCs w:val="21"/>
                <w:highlight w:val="none"/>
              </w:rPr>
              <w:t>格式中有要求法定代表人或者委托代理人签字的，必须按要求签字并加盖供应商电子签章，否则按无效竞标处理。</w:t>
            </w:r>
          </w:p>
          <w:p w14:paraId="490833D7">
            <w:pPr>
              <w:pStyle w:val="9"/>
              <w:spacing w:line="360" w:lineRule="auto"/>
              <w:ind w:firstLine="422" w:firstLineChars="200"/>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2.联合体竞标时，第1-6项资格证明文件联合体各方均必须分别提供，</w:t>
            </w:r>
            <w:r>
              <w:rPr>
                <w:rFonts w:hint="eastAsia"/>
                <w:b/>
                <w:color w:val="auto"/>
                <w:highlight w:val="none"/>
                <w:lang w:val="en-US" w:eastAsia="zh-CN"/>
              </w:rPr>
              <w:t>并由</w:t>
            </w:r>
            <w:r>
              <w:rPr>
                <w:rFonts w:hint="eastAsia" w:ascii="宋体" w:hAnsi="宋体" w:cs="宋体"/>
                <w:b/>
                <w:color w:val="auto"/>
                <w:szCs w:val="21"/>
                <w:highlight w:val="none"/>
                <w:lang w:val="en-US" w:eastAsia="zh-CN"/>
              </w:rPr>
              <w:t>联合体</w:t>
            </w:r>
            <w:r>
              <w:rPr>
                <w:rFonts w:hint="eastAsia"/>
                <w:b/>
                <w:color w:val="auto"/>
                <w:highlight w:val="none"/>
                <w:lang w:val="en-US" w:eastAsia="zh-CN"/>
              </w:rPr>
              <w:t>牵头人加盖电子签章</w:t>
            </w:r>
            <w:r>
              <w:rPr>
                <w:rFonts w:hint="eastAsia" w:ascii="宋体" w:hAnsi="宋体" w:cs="宋体"/>
                <w:b/>
                <w:color w:val="auto"/>
                <w:szCs w:val="21"/>
                <w:highlight w:val="none"/>
                <w:lang w:val="en-US" w:eastAsia="zh-CN"/>
              </w:rPr>
              <w:t>，</w:t>
            </w:r>
            <w:r>
              <w:rPr>
                <w:rFonts w:hint="eastAsia"/>
                <w:b/>
                <w:color w:val="auto"/>
                <w:highlight w:val="none"/>
                <w:lang w:val="en-US" w:eastAsia="zh-CN"/>
              </w:rPr>
              <w:t>规定签字</w:t>
            </w:r>
            <w:r>
              <w:rPr>
                <w:rFonts w:hint="eastAsia" w:ascii="宋体" w:hAnsi="宋体" w:cs="宋体"/>
                <w:b/>
                <w:color w:val="auto"/>
                <w:szCs w:val="21"/>
                <w:highlight w:val="none"/>
                <w:lang w:val="en-US" w:eastAsia="zh-CN"/>
              </w:rPr>
              <w:t>处签字</w:t>
            </w:r>
            <w:r>
              <w:rPr>
                <w:rFonts w:hint="eastAsia" w:ascii="宋体" w:hAnsi="宋体"/>
                <w:b/>
                <w:bCs/>
                <w:color w:val="auto"/>
                <w:szCs w:val="21"/>
                <w:highlight w:val="none"/>
                <w:lang w:val="en-US" w:eastAsia="zh-CN"/>
              </w:rPr>
              <w:t>（或者电子签名）</w:t>
            </w:r>
            <w:r>
              <w:rPr>
                <w:rFonts w:hint="eastAsia" w:ascii="宋体" w:hAnsi="宋体" w:cs="宋体"/>
                <w:b/>
                <w:color w:val="auto"/>
                <w:szCs w:val="21"/>
                <w:highlight w:val="none"/>
                <w:lang w:val="en-US" w:eastAsia="zh-CN"/>
              </w:rPr>
              <w:t>，否则响应文件按无效处理。</w:t>
            </w:r>
          </w:p>
        </w:tc>
      </w:tr>
      <w:tr w14:paraId="3ADEB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8F72DC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noWrap w:val="0"/>
            <w:vAlign w:val="center"/>
          </w:tcPr>
          <w:p w14:paraId="49F3DF6F">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042BB59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6636459">
            <w:pPr>
              <w:spacing w:line="360" w:lineRule="auto"/>
              <w:rPr>
                <w:rFonts w:ascii="宋体" w:hAnsi="宋体" w:cs="宋体"/>
                <w:color w:val="auto"/>
                <w:szCs w:val="21"/>
                <w:highlight w:val="none"/>
              </w:rPr>
            </w:pPr>
            <w:r>
              <w:rPr>
                <w:rFonts w:hint="eastAsia" w:ascii="宋体" w:hAnsi="宋体" w:cs="宋体"/>
                <w:color w:val="auto"/>
                <w:szCs w:val="21"/>
                <w:highlight w:val="none"/>
              </w:rPr>
              <w:t>2.供应商认为需要提供的其他有关资料。</w:t>
            </w:r>
          </w:p>
        </w:tc>
      </w:tr>
      <w:tr w14:paraId="5EAF2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627D55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noWrap w:val="0"/>
            <w:vAlign w:val="center"/>
          </w:tcPr>
          <w:p w14:paraId="0B3AEAF0">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5EDE66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2B769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7B72279">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0E55C8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4.磋商保证金提交凭证；（</w:t>
            </w:r>
            <w:r>
              <w:rPr>
                <w:rFonts w:hint="eastAsia"/>
                <w:b/>
                <w:bCs/>
                <w:color w:val="auto"/>
                <w:highlight w:val="none"/>
              </w:rPr>
              <w:t>如要求提交磋商保证金的则必须提供</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15C7806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C755981">
            <w:pPr>
              <w:spacing w:line="360" w:lineRule="auto"/>
              <w:rPr>
                <w:rFonts w:ascii="宋体" w:hAnsi="宋体" w:cs="宋体"/>
                <w:color w:val="auto"/>
                <w:szCs w:val="21"/>
                <w:highlight w:val="none"/>
              </w:rPr>
            </w:pPr>
            <w:r>
              <w:rPr>
                <w:rFonts w:hint="eastAsia" w:ascii="宋体" w:hAnsi="宋体" w:cs="宋体"/>
                <w:color w:val="auto"/>
                <w:szCs w:val="21"/>
                <w:highlight w:val="none"/>
              </w:rPr>
              <w:t>6.服务方案（格式自拟）；</w:t>
            </w:r>
          </w:p>
          <w:p w14:paraId="15362B48">
            <w:pPr>
              <w:spacing w:line="360" w:lineRule="auto"/>
              <w:rPr>
                <w:rFonts w:ascii="宋体" w:hAnsi="宋体" w:cs="宋体"/>
                <w:color w:val="auto"/>
                <w:szCs w:val="21"/>
                <w:highlight w:val="none"/>
              </w:rPr>
            </w:pPr>
            <w:r>
              <w:rPr>
                <w:rFonts w:hint="eastAsia" w:ascii="宋体" w:hAnsi="宋体" w:cs="宋体"/>
                <w:color w:val="auto"/>
                <w:szCs w:val="21"/>
                <w:highlight w:val="none"/>
              </w:rPr>
              <w:t>7.技术要求偏离表（格式后附）；（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2073F0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8.项目实施人员一览表；（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 xml:space="preserve">）； </w:t>
            </w:r>
          </w:p>
          <w:p w14:paraId="75B29161">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9.代理服务费承诺书</w:t>
            </w:r>
            <w:r>
              <w:rPr>
                <w:rFonts w:hint="eastAsia" w:ascii="宋体" w:hAnsi="宋体" w:cs="宋体"/>
                <w:color w:val="auto"/>
                <w:szCs w:val="21"/>
                <w:highlight w:val="none"/>
              </w:rPr>
              <w:t>（格式后附）；</w:t>
            </w:r>
          </w:p>
          <w:p w14:paraId="7432B99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10.对应采购需求的技术要求、商务要求提供的其他文件资料（格式自拟）；</w:t>
            </w:r>
          </w:p>
          <w:p w14:paraId="070A7EB5">
            <w:pPr>
              <w:spacing w:line="360" w:lineRule="auto"/>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1.供应商认为需要提供的其他有关资料。</w:t>
            </w:r>
          </w:p>
          <w:p w14:paraId="791E4356">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w:t>
            </w:r>
            <w:r>
              <w:rPr>
                <w:rFonts w:hint="eastAsia" w:ascii="宋体" w:hAnsi="宋体"/>
                <w:b/>
                <w:bCs/>
                <w:color w:val="auto"/>
                <w:szCs w:val="21"/>
                <w:highlight w:val="none"/>
              </w:rPr>
              <w:t>电子签章</w:t>
            </w:r>
            <w:r>
              <w:rPr>
                <w:rFonts w:hint="eastAsia" w:ascii="宋体" w:hAnsi="宋体" w:cs="宋体"/>
                <w:b/>
                <w:color w:val="auto"/>
                <w:szCs w:val="21"/>
                <w:highlight w:val="none"/>
              </w:rPr>
              <w:t>，否则响应文件按无效响应处理。</w:t>
            </w:r>
            <w:r>
              <w:rPr>
                <w:rFonts w:hint="eastAsia" w:ascii="宋体" w:hAnsi="宋体" w:cs="宋体"/>
                <w:b/>
                <w:color w:val="auto"/>
                <w:sz w:val="22"/>
                <w:szCs w:val="21"/>
                <w:highlight w:val="none"/>
              </w:rPr>
              <w:t>格式中有要求法定代表人或者委托代理人签字的，必须按要求签字并加盖供应商电子签章，否则按无效竞标处理。</w:t>
            </w:r>
          </w:p>
        </w:tc>
      </w:tr>
      <w:tr w14:paraId="5759C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DEA846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noWrap w:val="0"/>
            <w:vAlign w:val="center"/>
          </w:tcPr>
          <w:p w14:paraId="4DD59F77">
            <w:pPr>
              <w:snapToGrid w:val="0"/>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竞标报价是履行合同的最终价格，报价包含详见采购需求。</w:t>
            </w:r>
          </w:p>
        </w:tc>
      </w:tr>
      <w:tr w14:paraId="367AE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820C2D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noWrap w:val="0"/>
            <w:vAlign w:val="center"/>
          </w:tcPr>
          <w:p w14:paraId="1EC36B09">
            <w:pPr>
              <w:pStyle w:val="8"/>
              <w:widowControl w:val="0"/>
              <w:tabs>
                <w:tab w:val="clear" w:pos="454"/>
              </w:tabs>
              <w:snapToGrid w:val="0"/>
              <w:spacing w:afterLines="0" w:line="360" w:lineRule="auto"/>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ascii="宋体" w:hAnsi="宋体" w:cs="宋体"/>
                <w:color w:val="auto"/>
                <w:kern w:val="2"/>
                <w:sz w:val="21"/>
                <w:szCs w:val="21"/>
                <w:highlight w:val="none"/>
                <w:u w:val="single"/>
              </w:rPr>
              <w:t xml:space="preserve"> 90 </w:t>
            </w:r>
            <w:r>
              <w:rPr>
                <w:rFonts w:hint="eastAsia" w:ascii="宋体" w:hAnsi="宋体" w:cs="宋体"/>
                <w:color w:val="auto"/>
                <w:kern w:val="2"/>
                <w:sz w:val="21"/>
                <w:szCs w:val="21"/>
                <w:highlight w:val="none"/>
              </w:rPr>
              <w:t>日。</w:t>
            </w:r>
          </w:p>
        </w:tc>
      </w:tr>
      <w:tr w14:paraId="6A9C1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48133E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noWrap w:val="0"/>
            <w:vAlign w:val="center"/>
          </w:tcPr>
          <w:p w14:paraId="11C85B6F">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本项目不收取磋商保证金。</w:t>
            </w:r>
          </w:p>
          <w:p w14:paraId="3C21154C">
            <w:pPr>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本项目收取磋商保证金，具体规定如下：</w:t>
            </w:r>
          </w:p>
          <w:p w14:paraId="4E7A60EC">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磋商保证金人民币</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1</w:t>
            </w:r>
            <w:r>
              <w:rPr>
                <w:rFonts w:hint="eastAsia" w:ascii="宋体" w:hAnsi="宋体" w:cs="宋体"/>
                <w:color w:val="auto"/>
                <w:kern w:val="0"/>
                <w:szCs w:val="21"/>
                <w:highlight w:val="none"/>
                <w:u w:val="single"/>
                <w:lang w:val="en-US" w:eastAsia="zh-CN"/>
              </w:rPr>
              <w:t>2</w:t>
            </w:r>
            <w:r>
              <w:rPr>
                <w:rFonts w:ascii="宋体" w:hAnsi="宋体" w:cs="宋体"/>
                <w:color w:val="auto"/>
                <w:kern w:val="0"/>
                <w:szCs w:val="21"/>
                <w:highlight w:val="none"/>
                <w:u w:val="single"/>
              </w:rPr>
              <w:t>000.00</w:t>
            </w:r>
            <w:r>
              <w:rPr>
                <w:rFonts w:hint="eastAsia" w:ascii="宋体" w:hAnsi="宋体" w:cs="宋体"/>
                <w:color w:val="auto"/>
                <w:kern w:val="0"/>
                <w:szCs w:val="21"/>
                <w:highlight w:val="none"/>
              </w:rPr>
              <w:t>元。</w:t>
            </w:r>
          </w:p>
          <w:p w14:paraId="4A50D4B0">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磋商保证金的交纳方式：银行转账、支票、汇票、本票或者金融机构、担保机构出具的保函</w:t>
            </w:r>
            <w:r>
              <w:rPr>
                <w:rFonts w:hint="eastAsia"/>
                <w:color w:val="auto"/>
                <w:highlight w:val="none"/>
              </w:rPr>
              <w:t>（包含电子保函）</w:t>
            </w:r>
            <w:r>
              <w:rPr>
                <w:rFonts w:hint="eastAsia" w:ascii="宋体" w:hAnsi="宋体" w:cs="宋体"/>
                <w:color w:val="auto"/>
                <w:kern w:val="0"/>
                <w:szCs w:val="21"/>
                <w:highlight w:val="none"/>
              </w:rPr>
              <w:t>，禁止采用现钞方式。采用银行转账方式的，在响应文件提交截止时间前交至指定账户并且到账（</w:t>
            </w:r>
            <w:r>
              <w:rPr>
                <w:rFonts w:hint="eastAsia" w:ascii="宋体" w:hAnsi="宋体" w:cs="宋体"/>
                <w:b/>
                <w:color w:val="auto"/>
                <w:kern w:val="0"/>
                <w:szCs w:val="21"/>
                <w:highlight w:val="none"/>
              </w:rPr>
              <w:t>开户名称：广西建设工程机电设备招标中心有限公司，银行账号：7719 0142 3310 201，开户银行：招商银行南宁分行营业部）</w:t>
            </w:r>
            <w:r>
              <w:rPr>
                <w:rFonts w:hint="eastAsia" w:ascii="宋体" w:hAnsi="宋体" w:cs="宋体"/>
                <w:color w:val="auto"/>
                <w:kern w:val="0"/>
                <w:szCs w:val="21"/>
                <w:highlight w:val="none"/>
              </w:rPr>
              <w:t>；采用支票、汇票、本票或者保函等方式的，在响应文件提交截止时间前，供应商必须提交单独密封的支票、汇票、本票或者保函原件。否则视为无效磋商保证金。</w:t>
            </w:r>
          </w:p>
          <w:p w14:paraId="1C4B227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相关要求：</w:t>
            </w:r>
          </w:p>
          <w:p w14:paraId="16E896A7">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64ADDD5B">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2.磋商保证金采用支票、汇票、本票或者</w:t>
            </w:r>
            <w:r>
              <w:rPr>
                <w:rFonts w:hint="eastAsia" w:ascii="宋体" w:hAnsi="宋体"/>
                <w:color w:val="auto"/>
                <w:szCs w:val="21"/>
                <w:highlight w:val="none"/>
                <w:lang w:eastAsia="zh-CN"/>
              </w:rPr>
              <w:t>金融机构、担保机构</w:t>
            </w:r>
            <w:r>
              <w:rPr>
                <w:rFonts w:hint="eastAsia" w:ascii="宋体" w:hAnsi="宋体"/>
                <w:color w:val="auto"/>
                <w:szCs w:val="21"/>
                <w:highlight w:val="none"/>
              </w:rPr>
              <w:t>出具的保函</w:t>
            </w:r>
            <w:r>
              <w:rPr>
                <w:rFonts w:hint="eastAsia"/>
                <w:color w:val="auto"/>
                <w:highlight w:val="none"/>
              </w:rPr>
              <w:t>（包含电子保函）</w:t>
            </w:r>
            <w:r>
              <w:rPr>
                <w:rFonts w:hint="eastAsia" w:ascii="宋体" w:hAnsi="宋体"/>
                <w:color w:val="auto"/>
                <w:szCs w:val="21"/>
                <w:highlight w:val="none"/>
              </w:rPr>
              <w:t>交纳方式的，供应商应将支票、汇票、本票或者</w:t>
            </w:r>
            <w:r>
              <w:rPr>
                <w:rFonts w:hint="eastAsia" w:ascii="宋体" w:hAnsi="宋体"/>
                <w:color w:val="auto"/>
                <w:szCs w:val="21"/>
                <w:highlight w:val="none"/>
                <w:lang w:eastAsia="zh-CN"/>
              </w:rPr>
              <w:t>金融机构、担保机构</w:t>
            </w:r>
            <w:r>
              <w:rPr>
                <w:rFonts w:hint="eastAsia" w:ascii="宋体" w:hAnsi="宋体"/>
                <w:color w:val="auto"/>
                <w:szCs w:val="21"/>
                <w:highlight w:val="none"/>
              </w:rPr>
              <w:t>出具的保函</w:t>
            </w:r>
            <w:r>
              <w:rPr>
                <w:rFonts w:hint="eastAsia"/>
                <w:color w:val="auto"/>
                <w:highlight w:val="none"/>
              </w:rPr>
              <w:t>（包含电子保函）</w:t>
            </w:r>
            <w:r>
              <w:rPr>
                <w:rFonts w:hint="eastAsia" w:ascii="宋体" w:hAnsi="宋体"/>
                <w:color w:val="auto"/>
                <w:szCs w:val="21"/>
                <w:highlight w:val="none"/>
              </w:rPr>
              <w:t>的复印件作为磋商保证金提交凭证，放置于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在响应文件提交截止时间前采用现场或邮寄方式（现场或邮寄提交地</w:t>
            </w:r>
            <w:r>
              <w:rPr>
                <w:rFonts w:hint="eastAsia" w:ascii="Times New Roman" w:hAnsi="Times New Roman" w:eastAsia="宋体" w:cs="Times New Roman"/>
                <w:color w:val="auto"/>
                <w:highlight w:val="none"/>
              </w:rPr>
              <w:t>址：</w:t>
            </w:r>
            <w:r>
              <w:rPr>
                <w:rFonts w:hint="eastAsia" w:ascii="宋体" w:hAnsi="宋体" w:cs="宋体"/>
                <w:color w:val="auto"/>
                <w:szCs w:val="21"/>
                <w:highlight w:val="none"/>
                <w:lang w:eastAsia="zh-CN"/>
              </w:rPr>
              <w:t>南宁市青秀区枫林路18号广西国控集团（枫林路办公区）裙楼三层</w:t>
            </w:r>
            <w:r>
              <w:rPr>
                <w:rFonts w:hint="eastAsia" w:ascii="Times New Roman" w:hAnsi="Times New Roman" w:eastAsia="宋体" w:cs="Times New Roman"/>
                <w:color w:val="auto"/>
                <w:highlight w:val="none"/>
              </w:rPr>
              <w:t>，收件人：</w:t>
            </w:r>
            <w:r>
              <w:rPr>
                <w:rFonts w:hint="eastAsia" w:ascii="Times New Roman" w:hAnsi="Times New Roman" w:eastAsia="宋体" w:cs="Times New Roman"/>
                <w:color w:val="auto"/>
                <w:kern w:val="2"/>
                <w:szCs w:val="24"/>
                <w:highlight w:val="none"/>
                <w:u w:val="none"/>
                <w:lang w:eastAsia="zh-CN"/>
              </w:rPr>
              <w:t>刘风</w:t>
            </w:r>
            <w:r>
              <w:rPr>
                <w:rFonts w:hint="eastAsia" w:ascii="Times New Roman" w:hAnsi="Times New Roman" w:eastAsia="宋体" w:cs="Times New Roman"/>
                <w:color w:val="auto"/>
                <w:highlight w:val="none"/>
              </w:rPr>
              <w:t>，联系方式：</w:t>
            </w:r>
            <w:r>
              <w:rPr>
                <w:rFonts w:hint="eastAsia" w:ascii="Times New Roman" w:hAnsi="Times New Roman" w:eastAsia="宋体" w:cs="Times New Roman"/>
                <w:color w:val="auto"/>
                <w:kern w:val="2"/>
                <w:szCs w:val="24"/>
                <w:highlight w:val="none"/>
                <w:u w:val="none"/>
                <w:lang w:eastAsia="zh-CN"/>
              </w:rPr>
              <w:t>0771-2807659</w:t>
            </w:r>
            <w:r>
              <w:rPr>
                <w:rFonts w:hint="eastAsia" w:ascii="Times New Roman" w:hAnsi="Times New Roman" w:eastAsia="宋体" w:cs="Times New Roman"/>
                <w:color w:val="auto"/>
                <w:highlight w:val="none"/>
                <w:u w:val="none"/>
              </w:rPr>
              <w:t xml:space="preserve"> </w:t>
            </w:r>
            <w:r>
              <w:rPr>
                <w:rFonts w:hint="eastAsia" w:ascii="Times New Roman" w:hAnsi="Times New Roman" w:eastAsia="宋体" w:cs="Times New Roman"/>
                <w:color w:val="auto"/>
                <w:highlight w:val="none"/>
              </w:rPr>
              <w:t>）</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w:t>
            </w:r>
            <w:r>
              <w:rPr>
                <w:rFonts w:hint="eastAsia" w:ascii="宋体" w:hAnsi="宋体"/>
                <w:color w:val="auto"/>
                <w:szCs w:val="21"/>
                <w:highlight w:val="none"/>
                <w:lang w:eastAsia="zh-CN"/>
              </w:rPr>
              <w:t>金融机构、担保机构</w:t>
            </w:r>
            <w:r>
              <w:rPr>
                <w:rFonts w:hint="eastAsia" w:ascii="宋体" w:hAnsi="宋体"/>
                <w:color w:val="auto"/>
                <w:szCs w:val="21"/>
                <w:highlight w:val="none"/>
              </w:rPr>
              <w:t>出具的保函原件提交给采购人或者采购代理机构，由采购人或者采购代理机构向供应商出具回执（邮寄方式的除外），并妥善保管。</w:t>
            </w:r>
          </w:p>
          <w:p w14:paraId="3E76F95C">
            <w:pPr>
              <w:snapToGrid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3.供应商为联合体的，可以由联合体中的一方或者多方共同交纳磋商保证金，其交纳的保证金对联合体各方均具有约束力。</w:t>
            </w:r>
          </w:p>
          <w:p w14:paraId="15FFDF28">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 xml:space="preserve">备注： </w:t>
            </w:r>
          </w:p>
          <w:p w14:paraId="063D42B6">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1.磋商保证金在响应文件提交截止时间后提交的，或者不按规定交纳方式交纳的，或者未足额交纳的（包含保函额度不足的），视为无效磋商保证金。</w:t>
            </w:r>
          </w:p>
          <w:p w14:paraId="09118FF5">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0151BC81">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3E1AE4DB">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4.保函有效期低于竞标有效期的，视为无效磋商保证金。</w:t>
            </w:r>
          </w:p>
          <w:p w14:paraId="36240E0B">
            <w:pPr>
              <w:snapToGrid w:val="0"/>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5.采用</w:t>
            </w:r>
            <w:r>
              <w:rPr>
                <w:rFonts w:hint="eastAsia" w:ascii="宋体" w:hAnsi="宋体" w:cs="宋体"/>
                <w:b/>
                <w:color w:val="auto"/>
                <w:szCs w:val="21"/>
                <w:highlight w:val="none"/>
                <w:lang w:eastAsia="zh-CN"/>
              </w:rPr>
              <w:t>金融机构、担保机构</w:t>
            </w:r>
            <w:r>
              <w:rPr>
                <w:rFonts w:hint="eastAsia" w:ascii="宋体" w:hAnsi="宋体" w:cs="宋体"/>
                <w:b/>
                <w:color w:val="auto"/>
                <w:szCs w:val="21"/>
                <w:highlight w:val="none"/>
              </w:rPr>
              <w:t>出具保函的，必须为无条件保函，否则视为无效磋商保证金。</w:t>
            </w:r>
          </w:p>
        </w:tc>
      </w:tr>
      <w:tr w14:paraId="5167F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799D16E">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7912" w:type="dxa"/>
            <w:noWrap w:val="0"/>
            <w:vAlign w:val="center"/>
          </w:tcPr>
          <w:p w14:paraId="51E5FA87">
            <w:pPr>
              <w:autoSpaceDE w:val="0"/>
              <w:autoSpaceDN w:val="0"/>
              <w:adjustRightInd w:val="0"/>
              <w:spacing w:line="360" w:lineRule="auto"/>
              <w:textAlignment w:val="bottom"/>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71943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2772B8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noWrap w:val="0"/>
            <w:vAlign w:val="center"/>
          </w:tcPr>
          <w:p w14:paraId="77E56497">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55662EF3">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5447E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3CDBC2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noWrap w:val="0"/>
            <w:vAlign w:val="center"/>
          </w:tcPr>
          <w:p w14:paraId="54E2FEEF">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3</w:t>
            </w:r>
            <w:r>
              <w:rPr>
                <w:rFonts w:hint="eastAsia" w:ascii="宋体" w:hAnsi="宋体" w:cs="宋体"/>
                <w:color w:val="auto"/>
                <w:szCs w:val="21"/>
                <w:highlight w:val="none"/>
              </w:rPr>
              <w:t>人或以上单数。</w:t>
            </w:r>
          </w:p>
        </w:tc>
      </w:tr>
      <w:tr w14:paraId="20672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BD476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noWrap w:val="0"/>
            <w:vAlign w:val="center"/>
          </w:tcPr>
          <w:p w14:paraId="0267A2D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7272AD7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Ansi="宋体"/>
                <w:color w:val="auto"/>
                <w:highlight w:val="none"/>
                <w:u w:val="single"/>
              </w:rPr>
              <w:t xml:space="preserve"> 45 </w:t>
            </w:r>
            <w:r>
              <w:rPr>
                <w:rFonts w:hint="eastAsia" w:hAnsi="宋体"/>
                <w:color w:val="auto"/>
                <w:highlight w:val="none"/>
              </w:rPr>
              <w:t>分钟</w:t>
            </w:r>
          </w:p>
        </w:tc>
      </w:tr>
      <w:tr w14:paraId="4C47B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0"/>
            <w:vAlign w:val="center"/>
          </w:tcPr>
          <w:p w14:paraId="1F34896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6.3</w:t>
            </w:r>
          </w:p>
        </w:tc>
        <w:tc>
          <w:tcPr>
            <w:tcW w:w="7912" w:type="dxa"/>
            <w:noWrap w:val="0"/>
            <w:vAlign w:val="center"/>
          </w:tcPr>
          <w:p w14:paraId="001B1996">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商务要求评审中允许负偏离的条款数为</w:t>
            </w:r>
            <w:r>
              <w:rPr>
                <w:rFonts w:hint="eastAsia" w:ascii="宋体" w:hAnsi="宋体" w:eastAsia="宋体" w:cs="宋体"/>
                <w:b/>
                <w:bCs/>
                <w:color w:val="auto"/>
                <w:sz w:val="21"/>
                <w:szCs w:val="21"/>
                <w:highlight w:val="none"/>
                <w:u w:val="none"/>
              </w:rPr>
              <w:t xml:space="preserve"> </w:t>
            </w:r>
            <w:r>
              <w:rPr>
                <w:rFonts w:hint="eastAsia" w:ascii="宋体" w:hAnsi="宋体" w:eastAsia="宋体" w:cs="宋体"/>
                <w:b/>
                <w:bCs/>
                <w:color w:val="auto"/>
                <w:sz w:val="21"/>
                <w:szCs w:val="21"/>
                <w:highlight w:val="none"/>
                <w:u w:val="none"/>
                <w:lang w:val="en-US" w:eastAsia="zh-CN"/>
              </w:rPr>
              <w:t xml:space="preserve"> 0 </w:t>
            </w:r>
            <w:r>
              <w:rPr>
                <w:rFonts w:hint="eastAsia" w:ascii="宋体" w:hAnsi="宋体" w:eastAsia="宋体" w:cs="宋体"/>
                <w:b/>
                <w:bCs/>
                <w:color w:val="auto"/>
                <w:sz w:val="21"/>
                <w:szCs w:val="21"/>
                <w:highlight w:val="none"/>
                <w:u w:val="none"/>
              </w:rPr>
              <w:t xml:space="preserve"> </w:t>
            </w:r>
            <w:r>
              <w:rPr>
                <w:rFonts w:hint="eastAsia" w:ascii="宋体" w:hAnsi="宋体" w:eastAsia="宋体" w:cs="宋体"/>
                <w:b/>
                <w:bCs/>
                <w:color w:val="auto"/>
                <w:sz w:val="21"/>
                <w:szCs w:val="21"/>
                <w:highlight w:val="none"/>
              </w:rPr>
              <w:t>项。</w:t>
            </w:r>
          </w:p>
          <w:p w14:paraId="32540927">
            <w:pPr>
              <w:snapToGrid w:val="0"/>
              <w:spacing w:line="360" w:lineRule="auto"/>
              <w:jc w:val="left"/>
              <w:rPr>
                <w:rFonts w:hint="eastAsia" w:ascii="宋体" w:hAnsi="宋体" w:cs="宋体"/>
                <w:color w:val="auto"/>
                <w:szCs w:val="21"/>
                <w:highlight w:val="none"/>
              </w:rPr>
            </w:pPr>
            <w:r>
              <w:rPr>
                <w:rFonts w:hint="eastAsia" w:ascii="宋体" w:hAnsi="宋体" w:eastAsia="宋体" w:cs="宋体"/>
                <w:b/>
                <w:bCs/>
                <w:color w:val="auto"/>
                <w:sz w:val="21"/>
                <w:szCs w:val="21"/>
                <w:highlight w:val="none"/>
              </w:rPr>
              <w:t>技术要求评审中允许负偏离的条款数为</w:t>
            </w:r>
            <w:r>
              <w:rPr>
                <w:rFonts w:hint="eastAsia" w:ascii="宋体" w:hAnsi="宋体" w:eastAsia="宋体" w:cs="宋体"/>
                <w:b/>
                <w:bCs/>
                <w:color w:val="auto"/>
                <w:sz w:val="21"/>
                <w:szCs w:val="21"/>
                <w:highlight w:val="none"/>
                <w:u w:val="none"/>
                <w:lang w:val="en-US" w:eastAsia="zh-CN"/>
              </w:rPr>
              <w:t xml:space="preserve">  0 </w:t>
            </w:r>
            <w:r>
              <w:rPr>
                <w:rFonts w:hint="eastAsia" w:ascii="宋体" w:hAnsi="宋体" w:eastAsia="宋体" w:cs="宋体"/>
                <w:b/>
                <w:bCs/>
                <w:color w:val="auto"/>
                <w:sz w:val="21"/>
                <w:szCs w:val="21"/>
                <w:highlight w:val="none"/>
                <w:u w:val="none"/>
              </w:rPr>
              <w:t xml:space="preserve"> </w:t>
            </w:r>
            <w:r>
              <w:rPr>
                <w:rFonts w:hint="eastAsia" w:ascii="宋体" w:hAnsi="宋体" w:eastAsia="宋体" w:cs="宋体"/>
                <w:b/>
                <w:bCs/>
                <w:color w:val="auto"/>
                <w:sz w:val="21"/>
                <w:szCs w:val="21"/>
                <w:highlight w:val="none"/>
              </w:rPr>
              <w:t>项。</w:t>
            </w:r>
          </w:p>
        </w:tc>
      </w:tr>
      <w:tr w14:paraId="042B1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0A9A2C4">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noWrap w:val="0"/>
            <w:vAlign w:val="center"/>
          </w:tcPr>
          <w:p w14:paraId="104E1D72">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4CCAFC3E">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4F8A75AB">
            <w:pPr>
              <w:autoSpaceDE w:val="0"/>
              <w:autoSpaceDN w:val="0"/>
              <w:snapToGrid w:val="0"/>
              <w:spacing w:line="360" w:lineRule="auto"/>
              <w:textAlignment w:val="bottom"/>
              <w:rPr>
                <w:rFonts w:ascii="宋体" w:hAnsi="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olor w:val="auto"/>
                <w:szCs w:val="21"/>
                <w:highlight w:val="none"/>
              </w:rPr>
              <w:t>。</w:t>
            </w:r>
          </w:p>
          <w:p w14:paraId="6D128F6A">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w:t>
            </w:r>
            <w:r>
              <w:rPr>
                <w:rFonts w:hint="eastAsia" w:ascii="宋体" w:hAnsi="宋体" w:cs="宋体"/>
                <w:color w:val="auto"/>
                <w:szCs w:val="21"/>
                <w:highlight w:val="none"/>
                <w:lang w:eastAsia="zh-CN"/>
              </w:rPr>
              <w:t>金融机构、担保机构</w:t>
            </w:r>
            <w:r>
              <w:rPr>
                <w:rFonts w:hint="eastAsia" w:ascii="宋体" w:hAnsi="宋体" w:cs="宋体"/>
                <w:color w:val="auto"/>
                <w:szCs w:val="21"/>
                <w:highlight w:val="none"/>
              </w:rPr>
              <w:t>出具的保函等非现金方式。</w:t>
            </w:r>
          </w:p>
          <w:p w14:paraId="1E01F4C1">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由成交供应商向履约保证金收取单位提供《采购项目合同验收书》（参照桂财采〔2015〕22号格式），保证金收取单位在收到合格材料后5个工作日内办理退还手续（不计利息）。</w:t>
            </w:r>
          </w:p>
          <w:p w14:paraId="38D39262">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u w:val="single"/>
              </w:rPr>
              <w:t>履约保证金指定账户：</w:t>
            </w:r>
          </w:p>
          <w:p w14:paraId="1A3E6BF2">
            <w:pPr>
              <w:spacing w:line="360" w:lineRule="auto"/>
              <w:contextualSpacing/>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u w:val="single"/>
              </w:rPr>
              <w:t>账户名称：</w:t>
            </w:r>
            <w:r>
              <w:rPr>
                <w:rFonts w:hint="eastAsia" w:ascii="宋体" w:hAnsi="宋体" w:cs="宋体"/>
                <w:color w:val="auto"/>
                <w:szCs w:val="21"/>
                <w:highlight w:val="none"/>
                <w:u w:val="single"/>
                <w:lang w:eastAsia="zh-CN"/>
              </w:rPr>
              <w:t>广西物流职业技术学院</w:t>
            </w:r>
          </w:p>
          <w:p w14:paraId="1C373145">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u w:val="single"/>
              </w:rPr>
              <w:t>基本户：</w:t>
            </w:r>
            <w:r>
              <w:rPr>
                <w:rFonts w:hint="eastAsia" w:ascii="宋体" w:hAnsi="宋体" w:cs="宋体"/>
                <w:color w:val="auto"/>
                <w:szCs w:val="21"/>
                <w:highlight w:val="none"/>
                <w:u w:val="single"/>
                <w:lang w:eastAsia="zh-CN"/>
              </w:rPr>
              <w:t xml:space="preserve"> 2116710009100329097</w:t>
            </w:r>
            <w:r>
              <w:rPr>
                <w:rFonts w:hint="eastAsia" w:ascii="宋体" w:hAnsi="宋体" w:cs="宋体"/>
                <w:color w:val="auto"/>
                <w:szCs w:val="21"/>
                <w:highlight w:val="none"/>
                <w:u w:val="single"/>
              </w:rPr>
              <w:t xml:space="preserve"> </w:t>
            </w:r>
          </w:p>
          <w:p w14:paraId="6A4B5662">
            <w:pPr>
              <w:spacing w:line="360" w:lineRule="auto"/>
              <w:contextualSpacing/>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u w:val="single"/>
              </w:rPr>
              <w:t>开户行：</w:t>
            </w:r>
            <w:r>
              <w:rPr>
                <w:rFonts w:hint="eastAsia" w:ascii="宋体" w:hAnsi="宋体" w:cs="宋体"/>
                <w:color w:val="auto"/>
                <w:szCs w:val="21"/>
                <w:highlight w:val="none"/>
                <w:u w:val="single"/>
                <w:lang w:eastAsia="zh-CN"/>
              </w:rPr>
              <w:t>中国工商银行贵港市贵城支行</w:t>
            </w:r>
          </w:p>
          <w:p w14:paraId="6E562F88">
            <w:pPr>
              <w:spacing w:line="360" w:lineRule="auto"/>
              <w:contextualSpacing/>
              <w:rPr>
                <w:rFonts w:hint="eastAsia" w:ascii="宋体" w:hAnsi="宋体" w:cs="宋体"/>
                <w:b/>
                <w:color w:val="auto"/>
                <w:kern w:val="0"/>
                <w:sz w:val="24"/>
                <w:highlight w:val="none"/>
              </w:rPr>
            </w:pPr>
            <w:r>
              <w:rPr>
                <w:rFonts w:hint="eastAsia" w:ascii="宋体" w:hAnsi="宋体" w:cs="宋体"/>
                <w:color w:val="auto"/>
                <w:szCs w:val="21"/>
                <w:highlight w:val="none"/>
              </w:rPr>
              <w:t>备注：</w:t>
            </w:r>
            <w:r>
              <w:rPr>
                <w:rFonts w:hint="eastAsia" w:ascii="宋体" w:hAnsi="宋体" w:cs="宋体"/>
                <w:color w:val="auto"/>
                <w:szCs w:val="21"/>
                <w:highlight w:val="none"/>
              </w:rPr>
              <w:br w:type="textWrapping"/>
            </w:r>
            <w:r>
              <w:rPr>
                <w:rFonts w:hint="eastAsia" w:ascii="宋体" w:hAnsi="宋体" w:cs="宋体"/>
                <w:b/>
                <w:color w:val="auto"/>
                <w:szCs w:val="21"/>
                <w:highlight w:val="none"/>
              </w:rPr>
              <w:t>1</w:t>
            </w:r>
            <w:r>
              <w:rPr>
                <w:rFonts w:ascii="宋体" w:hAnsi="宋体" w:cs="宋体"/>
                <w:b/>
                <w:color w:val="auto"/>
                <w:szCs w:val="21"/>
                <w:highlight w:val="none"/>
              </w:rPr>
              <w:t>.</w:t>
            </w:r>
            <w:r>
              <w:rPr>
                <w:rFonts w:hint="eastAsia" w:ascii="宋体" w:hAnsi="宋体"/>
                <w:b/>
                <w:color w:val="auto"/>
                <w:szCs w:val="21"/>
                <w:highlight w:val="none"/>
              </w:rPr>
              <w:t xml:space="preserve"> </w:t>
            </w:r>
            <w:bookmarkStart w:id="54" w:name="_Hlk54170335"/>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kern w:val="0"/>
                <w:sz w:val="24"/>
                <w:highlight w:val="none"/>
              </w:rPr>
              <w:t>。</w:t>
            </w:r>
            <w:bookmarkEnd w:id="54"/>
          </w:p>
          <w:p w14:paraId="46EAA30F">
            <w:pPr>
              <w:spacing w:line="360" w:lineRule="auto"/>
              <w:contextualSpacing/>
              <w:rPr>
                <w:rFonts w:hint="eastAsia"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b/>
                <w:color w:val="auto"/>
                <w:szCs w:val="21"/>
                <w:highlight w:val="none"/>
              </w:rPr>
              <w:t xml:space="preserve">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宋体" w:hAnsi="宋体" w:cs="宋体"/>
                <w:b/>
                <w:color w:val="auto"/>
                <w:szCs w:val="21"/>
                <w:highlight w:val="none"/>
              </w:rPr>
              <w:br w:type="textWrapping"/>
            </w:r>
            <w:r>
              <w:rPr>
                <w:rFonts w:ascii="宋体" w:hAnsi="宋体" w:cs="宋体"/>
                <w:b/>
                <w:color w:val="auto"/>
                <w:szCs w:val="21"/>
                <w:highlight w:val="none"/>
              </w:rPr>
              <w:t>3.</w:t>
            </w:r>
            <w:r>
              <w:rPr>
                <w:rFonts w:hint="eastAsia" w:ascii="宋体" w:hAnsi="宋体" w:cs="宋体"/>
                <w:b/>
                <w:color w:val="auto"/>
                <w:szCs w:val="21"/>
                <w:highlight w:val="none"/>
              </w:rPr>
              <w:t>采用</w:t>
            </w:r>
            <w:r>
              <w:rPr>
                <w:rFonts w:hint="eastAsia" w:ascii="宋体" w:hAnsi="宋体" w:cs="宋体"/>
                <w:b/>
                <w:color w:val="auto"/>
                <w:szCs w:val="21"/>
                <w:highlight w:val="none"/>
                <w:lang w:eastAsia="zh-CN"/>
              </w:rPr>
              <w:t>金融机构、担保机构</w:t>
            </w:r>
            <w:r>
              <w:rPr>
                <w:rFonts w:hint="eastAsia" w:ascii="宋体" w:hAnsi="宋体" w:cs="宋体"/>
                <w:b/>
                <w:color w:val="auto"/>
                <w:szCs w:val="21"/>
                <w:highlight w:val="none"/>
              </w:rPr>
              <w:t>出具的保函的，必须为无条件保函，否则不予签订合同。</w:t>
            </w:r>
          </w:p>
          <w:p w14:paraId="30692D8B">
            <w:pPr>
              <w:snapToGrid w:val="0"/>
              <w:spacing w:line="360" w:lineRule="auto"/>
              <w:rPr>
                <w:rFonts w:hint="eastAsia" w:ascii="宋体" w:hAnsi="宋体" w:cs="宋体"/>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供应商为联合体的，由联合体任意一方按规定提交的履约保证金，视为有效履约保证金。</w:t>
            </w:r>
          </w:p>
        </w:tc>
      </w:tr>
      <w:tr w14:paraId="1CF0C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B63BD55">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7912" w:type="dxa"/>
            <w:noWrap w:val="0"/>
            <w:vAlign w:val="center"/>
          </w:tcPr>
          <w:p w14:paraId="575EE38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202F34A8">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28680938">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2F016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A3B889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noWrap w:val="0"/>
            <w:vAlign w:val="center"/>
          </w:tcPr>
          <w:p w14:paraId="3244B3A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345C64B0">
            <w:pPr>
              <w:pStyle w:val="14"/>
              <w:snapToGrid w:val="0"/>
              <w:spacing w:line="360" w:lineRule="auto"/>
              <w:rPr>
                <w:rFonts w:hint="eastAsia" w:hAnsi="宋体"/>
                <w:color w:val="auto"/>
                <w:highlight w:val="none"/>
                <w:lang w:val="en-US" w:eastAsia="zh-CN"/>
              </w:rPr>
            </w:pPr>
            <w:r>
              <w:rPr>
                <w:rFonts w:hint="eastAsia" w:hAnsi="宋体" w:cs="宋体"/>
                <w:color w:val="auto"/>
                <w:kern w:val="2"/>
                <w:sz w:val="21"/>
                <w:highlight w:val="none"/>
                <w:lang w:val="en-US" w:eastAsia="zh-CN"/>
              </w:rPr>
              <w:t>质疑联系部门及联系方式：业务时间：每天上午8时00分到12时00分，下午3时00分到6时 00分，双休日和法定节假日不办理业务。</w:t>
            </w:r>
          </w:p>
        </w:tc>
      </w:tr>
      <w:tr w14:paraId="216EA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4253077">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7912" w:type="dxa"/>
            <w:noWrap w:val="0"/>
            <w:vAlign w:val="center"/>
          </w:tcPr>
          <w:p w14:paraId="7135E541">
            <w:pPr>
              <w:pStyle w:val="14"/>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12910A06">
            <w:pPr>
              <w:pStyle w:val="14"/>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一次性向采购代理机构支付。</w:t>
            </w:r>
          </w:p>
          <w:p w14:paraId="384D80D9">
            <w:pPr>
              <w:pStyle w:val="14"/>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52AA4AA5">
            <w:pPr>
              <w:pStyle w:val="14"/>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29F17032">
            <w:pPr>
              <w:pStyle w:val="14"/>
              <w:snapToGrid w:val="0"/>
              <w:spacing w:line="360" w:lineRule="auto"/>
              <w:rPr>
                <w:rFonts w:hint="eastAsia" w:hAnsi="宋体" w:cs="宋体"/>
                <w:color w:val="auto"/>
                <w:sz w:val="21"/>
                <w:highlight w:val="none"/>
                <w:lang w:val="en-US" w:eastAsia="zh-CN"/>
              </w:rPr>
            </w:pPr>
            <w:r>
              <w:rPr>
                <w:rFonts w:hint="eastAsia" w:ascii="宋体" w:hAnsi="宋体"/>
                <w:color w:val="auto"/>
                <w:szCs w:val="21"/>
                <w:highlight w:val="none"/>
                <w:lang w:eastAsia="zh-CN"/>
              </w:rPr>
              <w:t>☑</w:t>
            </w:r>
            <w:r>
              <w:rPr>
                <w:rFonts w:hint="eastAsia" w:hAnsi="宋体" w:cs="宋体"/>
                <w:color w:val="auto"/>
                <w:sz w:val="21"/>
                <w:highlight w:val="none"/>
                <w:lang w:val="en-US" w:eastAsia="zh-CN"/>
              </w:rPr>
              <w:t>以分标（</w:t>
            </w:r>
            <w:r>
              <w:rPr>
                <w:rFonts w:hint="eastAsia" w:ascii="宋体" w:hAnsi="宋体"/>
                <w:color w:val="auto"/>
                <w:szCs w:val="21"/>
                <w:highlight w:val="none"/>
                <w:lang w:eastAsia="zh-CN"/>
              </w:rPr>
              <w:t>☑</w:t>
            </w:r>
            <w:r>
              <w:rPr>
                <w:rFonts w:hint="eastAsia" w:hAnsi="宋体" w:cs="宋体"/>
                <w:color w:val="auto"/>
                <w:sz w:val="21"/>
                <w:highlight w:val="none"/>
                <w:lang w:val="en-US" w:eastAsia="zh-CN"/>
              </w:rPr>
              <w:t>成交金额/□采购预算/□暂定成交金额/□其他</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lang w:val="en-US" w:eastAsia="zh-CN"/>
              </w:rPr>
              <w:t>）为计费额，按本须知正文第</w:t>
            </w:r>
            <w:r>
              <w:rPr>
                <w:rFonts w:hAnsi="宋体" w:cs="宋体"/>
                <w:color w:val="auto"/>
                <w:sz w:val="21"/>
                <w:highlight w:val="none"/>
                <w:lang w:val="en-US" w:eastAsia="zh-CN"/>
              </w:rPr>
              <w:t>32</w:t>
            </w:r>
            <w:r>
              <w:rPr>
                <w:rFonts w:hint="eastAsia" w:hAnsi="宋体" w:cs="宋体"/>
                <w:color w:val="auto"/>
                <w:sz w:val="21"/>
                <w:highlight w:val="none"/>
                <w:lang w:val="en-US" w:eastAsia="zh-CN"/>
              </w:rPr>
              <w:t>.</w:t>
            </w:r>
            <w:r>
              <w:rPr>
                <w:rFonts w:hAnsi="宋体" w:cs="宋体"/>
                <w:color w:val="auto"/>
                <w:sz w:val="21"/>
                <w:highlight w:val="none"/>
                <w:lang w:val="en-US" w:eastAsia="zh-CN"/>
              </w:rPr>
              <w:t>2</w:t>
            </w:r>
            <w:r>
              <w:rPr>
                <w:rFonts w:hint="eastAsia" w:hAnsi="宋体" w:cs="宋体"/>
                <w:color w:val="auto"/>
                <w:sz w:val="21"/>
                <w:highlight w:val="none"/>
                <w:lang w:val="en-US" w:eastAsia="zh-CN"/>
              </w:rPr>
              <w:t>条规定的收费计算标准（□货物类/</w:t>
            </w:r>
            <w:r>
              <w:rPr>
                <w:rFonts w:hint="eastAsia" w:ascii="宋体" w:hAnsi="宋体"/>
                <w:color w:val="auto"/>
                <w:szCs w:val="21"/>
                <w:highlight w:val="none"/>
                <w:lang w:eastAsia="zh-CN"/>
              </w:rPr>
              <w:t>☑</w:t>
            </w:r>
            <w:r>
              <w:rPr>
                <w:rFonts w:hint="eastAsia" w:hAnsi="宋体" w:cs="宋体"/>
                <w:color w:val="auto"/>
                <w:sz w:val="21"/>
                <w:highlight w:val="none"/>
                <w:lang w:val="en-US" w:eastAsia="zh-CN"/>
              </w:rPr>
              <w:t>服务类/□工程类）采用差额定率累进法计算出收费基准价格，采购代理收费以（□收费基准价格/√收费基准价格下浮</w:t>
            </w:r>
            <w:r>
              <w:rPr>
                <w:rFonts w:hAnsi="宋体" w:cs="宋体"/>
                <w:color w:val="auto"/>
                <w:sz w:val="21"/>
                <w:highlight w:val="none"/>
                <w:u w:val="single"/>
                <w:lang w:val="en-US" w:eastAsia="zh-CN"/>
              </w:rPr>
              <w:t>20</w:t>
            </w:r>
            <w:r>
              <w:rPr>
                <w:rFonts w:hint="eastAsia" w:hAnsi="宋体" w:cs="宋体"/>
                <w:color w:val="auto"/>
                <w:sz w:val="21"/>
                <w:highlight w:val="none"/>
                <w:u w:val="single"/>
                <w:lang w:val="en-US" w:eastAsia="zh-CN"/>
              </w:rPr>
              <w:t>%</w:t>
            </w:r>
            <w:r>
              <w:rPr>
                <w:rFonts w:hAnsi="宋体" w:cs="宋体"/>
                <w:color w:val="auto"/>
                <w:sz w:val="21"/>
                <w:highlight w:val="none"/>
                <w:lang w:val="en-US" w:eastAsia="zh-CN"/>
              </w:rPr>
              <w:t>/</w:t>
            </w:r>
            <w:r>
              <w:rPr>
                <w:rFonts w:hint="eastAsia" w:hAnsi="宋体" w:cs="宋体"/>
                <w:color w:val="auto"/>
                <w:sz w:val="21"/>
                <w:highlight w:val="none"/>
                <w:lang w:val="en-US" w:eastAsia="zh-CN"/>
              </w:rPr>
              <w:t>□收费基准价格上浮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int="eastAsia" w:hAnsi="宋体" w:cs="宋体"/>
                <w:color w:val="auto"/>
                <w:sz w:val="21"/>
                <w:highlight w:val="none"/>
                <w:lang w:val="en-US" w:eastAsia="zh-CN"/>
              </w:rPr>
              <w:t>）收取（不足3000元按3000元计取）。</w:t>
            </w:r>
          </w:p>
          <w:p w14:paraId="0636593A">
            <w:pPr>
              <w:pStyle w:val="14"/>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5D44B96C">
            <w:pPr>
              <w:pStyle w:val="14"/>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账户名称：广西建设工程机电设备招标中心有限公司</w:t>
            </w:r>
          </w:p>
          <w:p w14:paraId="531E5B44">
            <w:pPr>
              <w:pStyle w:val="14"/>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开户银行：招商银行南宁分行营业部</w:t>
            </w:r>
          </w:p>
          <w:p w14:paraId="62CB88FF">
            <w:pPr>
              <w:pStyle w:val="14"/>
              <w:snapToGrid w:val="0"/>
              <w:spacing w:line="360" w:lineRule="auto"/>
              <w:rPr>
                <w:rFonts w:hint="eastAsia" w:hAnsi="宋体" w:cs="宋体"/>
                <w:color w:val="auto"/>
                <w:sz w:val="21"/>
                <w:highlight w:val="none"/>
                <w:lang w:val="en-US" w:eastAsia="zh-CN"/>
              </w:rPr>
            </w:pPr>
            <w:r>
              <w:rPr>
                <w:rFonts w:hint="eastAsia" w:ascii="宋体" w:hAnsi="宋体" w:eastAsia="宋体" w:cs="宋体"/>
                <w:color w:val="auto"/>
                <w:kern w:val="0"/>
                <w:sz w:val="21"/>
                <w:szCs w:val="21"/>
                <w:highlight w:val="none"/>
              </w:rPr>
              <w:t>银行账号：771901423310201</w:t>
            </w:r>
          </w:p>
        </w:tc>
      </w:tr>
      <w:tr w14:paraId="11CFF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A383CF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noWrap w:val="0"/>
            <w:vAlign w:val="center"/>
          </w:tcPr>
          <w:p w14:paraId="203EFB1C">
            <w:pPr>
              <w:pStyle w:val="14"/>
              <w:snapToGrid w:val="0"/>
              <w:spacing w:line="360" w:lineRule="auto"/>
              <w:rPr>
                <w:rFonts w:hint="eastAsia" w:hAnsi="宋体" w:cs="宋体"/>
                <w:color w:val="auto"/>
                <w:kern w:val="2"/>
                <w:sz w:val="21"/>
                <w:highlight w:val="none"/>
                <w:lang w:val="en-US" w:eastAsia="zh-CN"/>
              </w:rPr>
            </w:pPr>
            <w:r>
              <w:rPr>
                <w:rFonts w:hint="eastAsia" w:hAnsi="宋体" w:cs="宋体"/>
                <w:color w:val="auto"/>
                <w:sz w:val="21"/>
                <w:highlight w:val="none"/>
                <w:lang w:val="en-US" w:eastAsia="zh-CN"/>
              </w:rPr>
              <w:t>解释：</w:t>
            </w:r>
            <w:r>
              <w:rPr>
                <w:rFonts w:hAnsi="宋体" w:cs="宋体"/>
                <w:color w:val="auto"/>
                <w:sz w:val="21"/>
                <w:highlight w:val="none"/>
                <w:lang w:val="en-US" w:eastAsia="zh-CN"/>
              </w:rPr>
              <w:t>构成本</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的各个组成文件应互为解释，互为说明；除</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中有特别规定外，仅适用于</w:t>
            </w:r>
            <w:r>
              <w:rPr>
                <w:rFonts w:hint="eastAsia" w:hAnsi="宋体" w:cs="宋体"/>
                <w:color w:val="auto"/>
                <w:sz w:val="21"/>
                <w:highlight w:val="none"/>
                <w:lang w:val="en-US" w:eastAsia="zh-CN"/>
              </w:rPr>
              <w:t>竞标</w:t>
            </w:r>
            <w:r>
              <w:rPr>
                <w:rFonts w:hAnsi="宋体" w:cs="宋体"/>
                <w:color w:val="auto"/>
                <w:sz w:val="21"/>
                <w:highlight w:val="none"/>
                <w:lang w:val="en-US" w:eastAsia="zh-CN"/>
              </w:rPr>
              <w:t>阶段的规定，按</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w:t>
            </w:r>
            <w:r>
              <w:rPr>
                <w:rFonts w:hint="eastAsia" w:hAnsi="宋体" w:cs="宋体"/>
                <w:color w:val="auto"/>
                <w:sz w:val="21"/>
                <w:highlight w:val="none"/>
                <w:lang w:val="en-US" w:eastAsia="zh-CN"/>
              </w:rPr>
              <w:t>竞争性磋商</w:t>
            </w:r>
            <w:r>
              <w:rPr>
                <w:rFonts w:hAnsi="宋体" w:cs="宋体"/>
                <w:color w:val="auto"/>
                <w:sz w:val="21"/>
                <w:highlight w:val="none"/>
                <w:lang w:val="en-US" w:eastAsia="zh-CN"/>
              </w:rPr>
              <w:t>公告、</w:t>
            </w:r>
            <w:r>
              <w:rPr>
                <w:rFonts w:hint="eastAsia" w:hAnsi="宋体" w:cs="宋体"/>
                <w:color w:val="auto"/>
                <w:sz w:val="21"/>
                <w:highlight w:val="none"/>
                <w:lang w:val="en-US" w:eastAsia="zh-CN"/>
              </w:rPr>
              <w:t>供应商</w:t>
            </w:r>
            <w:r>
              <w:rPr>
                <w:rFonts w:hAnsi="宋体" w:cs="宋体"/>
                <w:color w:val="auto"/>
                <w:sz w:val="21"/>
                <w:highlight w:val="none"/>
                <w:lang w:val="en-US" w:eastAsia="zh-CN"/>
              </w:rPr>
              <w:t>须知</w:t>
            </w:r>
            <w:r>
              <w:rPr>
                <w:rFonts w:hint="eastAsia" w:hAnsi="宋体" w:cs="宋体"/>
                <w:color w:val="auto"/>
                <w:sz w:val="21"/>
                <w:highlight w:val="none"/>
                <w:lang w:val="en-US" w:eastAsia="zh-CN"/>
              </w:rPr>
              <w:t>、采购需求</w:t>
            </w:r>
            <w:r>
              <w:rPr>
                <w:rFonts w:hAnsi="宋体" w:cs="宋体"/>
                <w:color w:val="auto"/>
                <w:sz w:val="21"/>
                <w:highlight w:val="none"/>
                <w:lang w:val="en-US" w:eastAsia="zh-CN"/>
              </w:rPr>
              <w:t>、</w:t>
            </w:r>
            <w:r>
              <w:rPr>
                <w:rFonts w:hint="eastAsia" w:hAnsi="宋体" w:cs="宋体"/>
                <w:color w:val="auto"/>
                <w:sz w:val="21"/>
                <w:highlight w:val="none"/>
                <w:lang w:val="en-US" w:eastAsia="zh-CN"/>
              </w:rPr>
              <w:t>评审程序、评审方法和评审标准</w:t>
            </w:r>
            <w:r>
              <w:rPr>
                <w:rFonts w:hAnsi="宋体" w:cs="宋体"/>
                <w:color w:val="auto"/>
                <w:sz w:val="21"/>
                <w:highlight w:val="none"/>
                <w:lang w:val="en-US" w:eastAsia="zh-CN"/>
              </w:rPr>
              <w:t>、</w:t>
            </w:r>
            <w:r>
              <w:rPr>
                <w:rFonts w:hint="eastAsia" w:hAnsi="宋体" w:cs="宋体"/>
                <w:color w:val="auto"/>
                <w:sz w:val="21"/>
                <w:highlight w:val="none"/>
                <w:lang w:val="en-US" w:eastAsia="zh-CN"/>
              </w:rPr>
              <w:t>响应</w:t>
            </w:r>
            <w:r>
              <w:rPr>
                <w:rFonts w:hAnsi="宋体" w:cs="宋体"/>
                <w:color w:val="auto"/>
                <w:sz w:val="21"/>
                <w:highlight w:val="none"/>
                <w:lang w:val="en-US" w:eastAsia="zh-CN"/>
              </w:rPr>
              <w:t>文件格式</w:t>
            </w:r>
            <w:r>
              <w:rPr>
                <w:rFonts w:hint="eastAsia" w:hAnsi="宋体" w:cs="宋体"/>
                <w:color w:val="auto"/>
                <w:sz w:val="21"/>
                <w:highlight w:val="none"/>
                <w:lang w:val="en-US" w:eastAsia="zh-CN"/>
              </w:rPr>
              <w:t>、合同文本</w:t>
            </w:r>
            <w:r>
              <w:rPr>
                <w:rFonts w:hAnsi="宋体" w:cs="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与同步更新的</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不一致时以</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为准。按本款前述规定仍不能形成结论的，由</w:t>
            </w:r>
            <w:r>
              <w:rPr>
                <w:rFonts w:hint="eastAsia" w:hAnsi="宋体" w:cs="宋体"/>
                <w:color w:val="auto"/>
                <w:sz w:val="21"/>
                <w:highlight w:val="none"/>
                <w:lang w:val="en-US" w:eastAsia="zh-CN"/>
              </w:rPr>
              <w:t>采购</w:t>
            </w:r>
            <w:r>
              <w:rPr>
                <w:rFonts w:hAnsi="宋体" w:cs="宋体"/>
                <w:color w:val="auto"/>
                <w:sz w:val="21"/>
                <w:highlight w:val="none"/>
                <w:lang w:val="en-US" w:eastAsia="zh-CN"/>
              </w:rPr>
              <w:t>人</w:t>
            </w:r>
            <w:r>
              <w:rPr>
                <w:rFonts w:hint="eastAsia" w:hAnsi="宋体" w:cs="宋体"/>
                <w:color w:val="auto"/>
                <w:sz w:val="21"/>
                <w:highlight w:val="none"/>
                <w:lang w:val="en-US" w:eastAsia="zh-CN"/>
              </w:rPr>
              <w:t>或者采购代理机构</w:t>
            </w:r>
            <w:r>
              <w:rPr>
                <w:rFonts w:hAnsi="宋体" w:cs="宋体"/>
                <w:color w:val="auto"/>
                <w:sz w:val="21"/>
                <w:highlight w:val="none"/>
                <w:lang w:val="en-US" w:eastAsia="zh-CN"/>
              </w:rPr>
              <w:t>负责解释。</w:t>
            </w:r>
          </w:p>
        </w:tc>
      </w:tr>
      <w:tr w14:paraId="4EAB9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C2CEF6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7912" w:type="dxa"/>
            <w:noWrap w:val="0"/>
            <w:vAlign w:val="center"/>
          </w:tcPr>
          <w:p w14:paraId="121F7AE0">
            <w:pPr>
              <w:pStyle w:val="14"/>
              <w:snapToGrid w:val="0"/>
              <w:spacing w:line="360" w:lineRule="auto"/>
              <w:rPr>
                <w:rFonts w:hAnsi="宋体" w:cs="宋体"/>
                <w:b/>
                <w:color w:val="auto"/>
                <w:sz w:val="21"/>
                <w:highlight w:val="none"/>
                <w:lang w:val="en-US" w:eastAsia="zh-CN"/>
              </w:rPr>
            </w:pPr>
            <w:r>
              <w:rPr>
                <w:rFonts w:hint="eastAsia" w:hAnsi="宋体" w:cs="宋体"/>
                <w:b/>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AABD219">
            <w:pPr>
              <w:pStyle w:val="14"/>
              <w:snapToGrid w:val="0"/>
              <w:spacing w:line="360" w:lineRule="auto"/>
              <w:rPr>
                <w:rFonts w:hint="eastAsia" w:hAnsi="宋体" w:cs="宋体"/>
                <w:b/>
                <w:color w:val="auto"/>
                <w:sz w:val="21"/>
                <w:highlight w:val="none"/>
                <w:lang w:val="en-US" w:eastAsia="zh-CN"/>
              </w:rPr>
            </w:pPr>
            <w:r>
              <w:rPr>
                <w:rFonts w:hint="eastAsia" w:hAnsi="宋体" w:cs="宋体"/>
                <w:b/>
                <w:bCs/>
                <w:color w:val="auto"/>
                <w:sz w:val="21"/>
                <w:highlight w:val="none"/>
                <w:lang w:val="en-US" w:eastAsia="zh-CN"/>
              </w:rPr>
              <w:t>2.本磋商文件所称的“</w:t>
            </w:r>
            <w:r>
              <w:rPr>
                <w:rFonts w:hint="eastAsia" w:hAnsi="宋体"/>
                <w:b/>
                <w:color w:val="auto"/>
                <w:sz w:val="21"/>
                <w:highlight w:val="none"/>
                <w:lang w:val="en-US" w:eastAsia="zh-CN"/>
              </w:rPr>
              <w:t>电子签章</w:t>
            </w:r>
            <w:r>
              <w:rPr>
                <w:rFonts w:hint="eastAsia" w:hAnsi="宋体" w:cs="宋体"/>
                <w:b/>
                <w:bCs/>
                <w:color w:val="auto"/>
                <w:sz w:val="21"/>
                <w:highlight w:val="none"/>
                <w:lang w:val="en-US" w:eastAsia="zh-CN"/>
              </w:rPr>
              <w:t>”“电子签名”</w:t>
            </w:r>
            <w:r>
              <w:rPr>
                <w:rFonts w:hint="eastAsia" w:hAnsi="宋体"/>
                <w:b/>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6729C1CB">
            <w:pPr>
              <w:pStyle w:val="14"/>
              <w:snapToGrid w:val="0"/>
              <w:spacing w:line="360" w:lineRule="auto"/>
              <w:rPr>
                <w:rFonts w:hint="eastAsia" w:hAnsi="宋体" w:cs="宋体"/>
                <w:b/>
                <w:bCs/>
                <w:color w:val="auto"/>
                <w:sz w:val="21"/>
                <w:highlight w:val="none"/>
                <w:lang w:val="en-US" w:eastAsia="zh-CN"/>
              </w:rPr>
            </w:pPr>
            <w:r>
              <w:rPr>
                <w:rFonts w:hAnsi="宋体" w:cs="宋体"/>
                <w:b/>
                <w:color w:val="auto"/>
                <w:sz w:val="21"/>
                <w:highlight w:val="none"/>
                <w:lang w:val="en-US" w:eastAsia="zh-CN"/>
              </w:rPr>
              <w:t>3</w:t>
            </w:r>
            <w:r>
              <w:rPr>
                <w:rFonts w:hint="eastAsia" w:hAnsi="宋体" w:cs="宋体"/>
                <w:b/>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
                <w:bCs/>
                <w:color w:val="auto"/>
                <w:sz w:val="21"/>
                <w:highlight w:val="none"/>
                <w:lang w:val="en-US" w:eastAsia="zh-CN"/>
              </w:rPr>
              <w:t>营业执照或者执业许可证等证照上的</w:t>
            </w:r>
            <w:r>
              <w:rPr>
                <w:rFonts w:hint="eastAsia" w:hAnsi="宋体" w:cs="宋体"/>
                <w:b/>
                <w:color w:val="auto"/>
                <w:sz w:val="21"/>
                <w:highlight w:val="none"/>
                <w:lang w:val="en-US" w:eastAsia="zh-CN"/>
              </w:rPr>
              <w:t>负责人，本磋商文件所称自然人指参与竞标的自然人本人，</w:t>
            </w:r>
            <w:r>
              <w:rPr>
                <w:rFonts w:hint="eastAsia" w:hAnsi="宋体" w:cs="宋体"/>
                <w:b/>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48A5259">
            <w:pPr>
              <w:pStyle w:val="14"/>
              <w:snapToGrid w:val="0"/>
              <w:spacing w:line="360" w:lineRule="auto"/>
              <w:rPr>
                <w:rFonts w:hAnsi="宋体" w:cs="宋体"/>
                <w:b/>
                <w:color w:val="auto"/>
                <w:sz w:val="21"/>
                <w:highlight w:val="none"/>
                <w:lang w:val="en-US" w:eastAsia="zh-CN"/>
              </w:rPr>
            </w:pPr>
            <w:r>
              <w:rPr>
                <w:rFonts w:hAnsi="宋体" w:cs="宋体"/>
                <w:b/>
                <w:color w:val="auto"/>
                <w:sz w:val="21"/>
                <w:highlight w:val="none"/>
                <w:lang w:val="en-US" w:eastAsia="zh-CN"/>
              </w:rPr>
              <w:t>4.</w:t>
            </w:r>
            <w:r>
              <w:rPr>
                <w:rFonts w:hint="eastAsia" w:hAnsi="宋体" w:cs="宋体"/>
                <w:b/>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24AC39CF">
            <w:pPr>
              <w:pStyle w:val="14"/>
              <w:snapToGrid w:val="0"/>
              <w:spacing w:line="360" w:lineRule="auto"/>
              <w:rPr>
                <w:rFonts w:hint="eastAsia" w:hAnsi="宋体" w:cs="宋体"/>
                <w:color w:val="auto"/>
                <w:sz w:val="21"/>
                <w:highlight w:val="none"/>
                <w:lang w:val="en-US" w:eastAsia="zh-CN"/>
              </w:rPr>
            </w:pPr>
            <w:r>
              <w:rPr>
                <w:rFonts w:hint="eastAsia" w:hAnsi="宋体" w:cs="宋体"/>
                <w:b/>
                <w:color w:val="auto"/>
                <w:sz w:val="21"/>
                <w:highlight w:val="none"/>
                <w:lang w:val="en-US" w:eastAsia="zh-CN"/>
              </w:rPr>
              <w:t>5</w:t>
            </w:r>
            <w:r>
              <w:rPr>
                <w:rFonts w:hAnsi="宋体" w:cs="宋体"/>
                <w:b/>
                <w:color w:val="auto"/>
                <w:sz w:val="21"/>
                <w:highlight w:val="none"/>
                <w:lang w:val="en-US" w:eastAsia="zh-CN"/>
              </w:rPr>
              <w:t>.</w:t>
            </w:r>
            <w:r>
              <w:rPr>
                <w:rFonts w:hint="eastAsia" w:hAnsi="宋体" w:cs="宋体"/>
                <w:b/>
                <w:color w:val="auto"/>
                <w:sz w:val="21"/>
                <w:highlight w:val="none"/>
                <w:lang w:val="en-US" w:eastAsia="zh-CN"/>
              </w:rPr>
              <w:t>本磋商文件所称的“以上”“以下”“以内”“届满”，包括本数；所称的“不满”“超过”“以外”，不包括本数。</w:t>
            </w:r>
          </w:p>
        </w:tc>
      </w:tr>
    </w:tbl>
    <w:p w14:paraId="0EA87AF7">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2CFF75DD">
      <w:pPr>
        <w:spacing w:line="400" w:lineRule="exact"/>
        <w:jc w:val="center"/>
        <w:rPr>
          <w:rFonts w:hint="eastAsia" w:ascii="宋体" w:hAnsi="宋体"/>
          <w:b/>
          <w:color w:val="auto"/>
          <w:sz w:val="32"/>
          <w:szCs w:val="32"/>
          <w:highlight w:val="none"/>
        </w:rPr>
      </w:pPr>
    </w:p>
    <w:p w14:paraId="1AC65B66">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4A1CD75F">
      <w:pPr>
        <w:spacing w:line="400" w:lineRule="exact"/>
        <w:rPr>
          <w:rFonts w:hint="eastAsia" w:ascii="宋体" w:hAnsi="宋体"/>
          <w:color w:val="auto"/>
          <w:szCs w:val="21"/>
          <w:highlight w:val="none"/>
        </w:rPr>
      </w:pPr>
    </w:p>
    <w:p w14:paraId="1643F83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7B42FD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58A2C0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0DE1B0">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6D82C6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6E60F86A">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79D5A2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FBA08AE">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4DF27E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“竞标”是指供应商按照本项目竞争性磋商公告的方式获取磋商文件、提交响应文件并希望获得标的的行为。</w:t>
      </w:r>
    </w:p>
    <w:p w14:paraId="2D377DB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5A5E597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0B90922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45669DC2">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CD4954C">
      <w:pPr>
        <w:spacing w:line="360" w:lineRule="auto"/>
        <w:ind w:firstLine="420" w:firstLineChars="20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3C5FE46D">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6A013B06">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0A049DD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6031DE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29BE8C9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680572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273175A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0F7F75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085E50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14285D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55" w:name="_Hlk66782192"/>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55"/>
    </w:p>
    <w:p w14:paraId="5BC6D32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36470C79">
      <w:pPr>
        <w:outlineLvl w:val="9"/>
        <w:rPr>
          <w:rFonts w:hint="eastAsia" w:ascii="宋体" w:hAnsi="宋体"/>
          <w:b/>
          <w:color w:val="auto"/>
          <w:sz w:val="21"/>
          <w:szCs w:val="21"/>
          <w:highlight w:val="none"/>
        </w:rPr>
      </w:pPr>
      <w:bookmarkStart w:id="56" w:name="_Toc254970673"/>
      <w:bookmarkStart w:id="57" w:name="_Toc254970532"/>
      <w:r>
        <w:rPr>
          <w:rFonts w:hint="eastAsia" w:ascii="宋体" w:hAnsi="宋体"/>
          <w:b/>
          <w:color w:val="auto"/>
          <w:sz w:val="21"/>
          <w:szCs w:val="21"/>
          <w:highlight w:val="none"/>
        </w:rPr>
        <w:t>6.1本项目不允许转包。</w:t>
      </w:r>
    </w:p>
    <w:p w14:paraId="00176E51">
      <w:pPr>
        <w:outlineLvl w:val="9"/>
        <w:rPr>
          <w:rFonts w:hint="eastAsia" w:ascii="宋体" w:hAnsi="宋体"/>
          <w:b/>
          <w:color w:val="auto"/>
          <w:sz w:val="21"/>
          <w:szCs w:val="21"/>
          <w:highlight w:val="none"/>
        </w:rPr>
      </w:pPr>
      <w:r>
        <w:rPr>
          <w:rFonts w:hint="eastAsia" w:ascii="宋体" w:hAnsi="宋体"/>
          <w:b/>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64BC53D5">
      <w:pPr>
        <w:outlineLvl w:val="9"/>
        <w:rPr>
          <w:rFonts w:hint="eastAsia" w:ascii="宋体" w:hAnsi="宋体"/>
          <w:b/>
          <w:color w:val="auto"/>
          <w:sz w:val="21"/>
          <w:szCs w:val="21"/>
          <w:highlight w:val="none"/>
        </w:rPr>
      </w:pPr>
      <w:r>
        <w:rPr>
          <w:rFonts w:hint="eastAsia" w:ascii="宋体" w:hAnsi="宋体"/>
          <w:b/>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023357E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56"/>
      <w:bookmarkEnd w:id="57"/>
    </w:p>
    <w:p w14:paraId="12A76619">
      <w:pPr>
        <w:spacing w:line="360" w:lineRule="auto"/>
        <w:ind w:firstLine="420" w:firstLineChars="200"/>
        <w:rPr>
          <w:rFonts w:hint="eastAsia" w:ascii="宋体" w:hAnsi="宋体" w:cs="宋体"/>
          <w:color w:val="auto"/>
          <w:szCs w:val="21"/>
          <w:highlight w:val="none"/>
        </w:rPr>
      </w:pPr>
      <w:bookmarkStart w:id="58" w:name="_8.1提供相同品牌产品且通过资格审查、符合性审查的不同投标人参加同一合"/>
      <w:bookmarkEnd w:id="58"/>
      <w:r>
        <w:rPr>
          <w:rFonts w:hint="eastAsia" w:ascii="宋体" w:hAnsi="宋体" w:cs="宋体"/>
          <w:color w:val="auto"/>
          <w:szCs w:val="21"/>
          <w:highlight w:val="none"/>
        </w:rPr>
        <w:t>7.</w:t>
      </w:r>
      <w:r>
        <w:rPr>
          <w:rFonts w:ascii="宋体" w:hAnsi="宋体" w:cs="宋体"/>
          <w:color w:val="auto"/>
          <w:szCs w:val="21"/>
          <w:highlight w:val="none"/>
        </w:rPr>
        <w:t>1</w:t>
      </w:r>
      <w:bookmarkStart w:id="59" w:name="_Hlk65832145"/>
      <w:r>
        <w:rPr>
          <w:rFonts w:hint="eastAsia" w:ascii="宋体" w:hAnsi="宋体"/>
          <w:color w:val="auto"/>
          <w:szCs w:val="21"/>
          <w:highlight w:val="none"/>
        </w:rPr>
        <w:t>如果本磋商文件要求提供供应商或其分支机构或制造商的资格、信誉、荣誉、业绩与企业认证等材料的，资格、信誉、荣誉、业绩与企业认证等必须为供应商或其分支机构自身获得或制造商所拥有</w:t>
      </w:r>
      <w:r>
        <w:rPr>
          <w:rFonts w:hint="eastAsia" w:ascii="宋体" w:hAnsi="宋体" w:cs="宋体"/>
          <w:color w:val="auto"/>
          <w:szCs w:val="21"/>
          <w:highlight w:val="none"/>
        </w:rPr>
        <w:t>。</w:t>
      </w:r>
    </w:p>
    <w:bookmarkEnd w:id="59"/>
    <w:p w14:paraId="3C9AAE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6644BF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EC7D8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185D18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F784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22C254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B0C04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D606F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1E70A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ADE04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48C962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33F7ED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316806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A9BDB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1BBD75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13DE6531">
      <w:pPr>
        <w:tabs>
          <w:tab w:val="left" w:pos="6931"/>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11469B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1584FC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07645E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1EB23C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2F0E0A8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5B8D6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C662C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4ADD66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44BB61C">
      <w:pPr>
        <w:spacing w:line="360" w:lineRule="auto"/>
        <w:ind w:firstLine="420" w:firstLineChars="200"/>
        <w:rPr>
          <w:rFonts w:hint="eastAsia" w:ascii="宋体" w:hAnsi="宋体" w:cs="宋体"/>
          <w:color w:val="auto"/>
          <w:szCs w:val="21"/>
          <w:highlight w:val="none"/>
        </w:rPr>
      </w:pPr>
    </w:p>
    <w:p w14:paraId="385E2E89">
      <w:pPr>
        <w:spacing w:line="360" w:lineRule="auto"/>
        <w:ind w:left="1" w:firstLine="417" w:firstLineChars="199"/>
        <w:jc w:val="center"/>
        <w:rPr>
          <w:rFonts w:hint="eastAsia" w:ascii="宋体" w:hAnsi="宋体"/>
          <w:color w:val="auto"/>
          <w:highlight w:val="none"/>
        </w:rPr>
      </w:pPr>
      <w:bookmarkStart w:id="60" w:name="_Toc254970675"/>
      <w:bookmarkStart w:id="61" w:name="_Toc254970534"/>
    </w:p>
    <w:p w14:paraId="72DD7535">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60"/>
      <w:bookmarkEnd w:id="61"/>
    </w:p>
    <w:p w14:paraId="4FF24A80">
      <w:pPr>
        <w:spacing w:line="360" w:lineRule="auto"/>
        <w:rPr>
          <w:rFonts w:hint="eastAsia" w:ascii="宋体" w:hAnsi="宋体"/>
          <w:color w:val="auto"/>
          <w:szCs w:val="21"/>
          <w:highlight w:val="none"/>
        </w:rPr>
      </w:pPr>
    </w:p>
    <w:p w14:paraId="3700DA7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64719B39">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（1）竞争性磋商公告；</w:t>
      </w:r>
    </w:p>
    <w:p w14:paraId="7D95FDF2">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（2）供应商须知； </w:t>
      </w:r>
    </w:p>
    <w:p w14:paraId="27E24861">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（3）采购需求；</w:t>
      </w:r>
    </w:p>
    <w:p w14:paraId="038713FD">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（4）评审程序、评审方法和评审标准；</w:t>
      </w:r>
    </w:p>
    <w:p w14:paraId="30ECAFDD">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（5）响应文件格式；</w:t>
      </w:r>
    </w:p>
    <w:p w14:paraId="103CB52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（6）合同文本。</w:t>
      </w:r>
    </w:p>
    <w:p w14:paraId="589098E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13000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供应商应认真阅读磋商文件的采购需求，如供应商对磋商文件有疑问的，如要求采购人作出澄清或者修改的，供应商应在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4DAF923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6997DF99">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16112D3D">
      <w:pPr>
        <w:spacing w:line="360" w:lineRule="auto"/>
        <w:rPr>
          <w:rFonts w:hint="eastAsia" w:ascii="宋体" w:hAnsi="宋体"/>
          <w:color w:val="auto"/>
          <w:szCs w:val="21"/>
          <w:highlight w:val="none"/>
        </w:rPr>
      </w:pPr>
    </w:p>
    <w:p w14:paraId="5682187A">
      <w:pPr>
        <w:spacing w:line="360" w:lineRule="auto"/>
        <w:jc w:val="center"/>
        <w:rPr>
          <w:rFonts w:hint="eastAsia" w:ascii="宋体" w:hAnsi="宋体"/>
          <w:b/>
          <w:bCs/>
          <w:color w:val="auto"/>
          <w:szCs w:val="21"/>
          <w:highlight w:val="none"/>
        </w:rPr>
      </w:pPr>
      <w:r>
        <w:rPr>
          <w:rFonts w:hint="eastAsia" w:ascii="宋体" w:hAnsi="宋体"/>
          <w:b/>
          <w:bCs/>
          <w:color w:val="auto"/>
          <w:sz w:val="32"/>
          <w:szCs w:val="32"/>
          <w:highlight w:val="none"/>
        </w:rPr>
        <w:t>三、响应文件的编制</w:t>
      </w:r>
    </w:p>
    <w:p w14:paraId="71FC3F30">
      <w:pPr>
        <w:spacing w:line="360" w:lineRule="auto"/>
        <w:rPr>
          <w:rFonts w:hint="eastAsia" w:ascii="宋体" w:hAnsi="宋体"/>
          <w:color w:val="auto"/>
          <w:szCs w:val="21"/>
          <w:highlight w:val="none"/>
        </w:rPr>
      </w:pPr>
    </w:p>
    <w:p w14:paraId="361A367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1BEDFF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w:t>
      </w:r>
      <w:r>
        <w:rPr>
          <w:rFonts w:hint="eastAsia" w:ascii="宋体" w:hAnsi="宋体"/>
          <w:color w:val="auto"/>
          <w:szCs w:val="21"/>
          <w:highlight w:val="none"/>
        </w:rPr>
        <w:t>提出的要求和条件作出明确响应</w:t>
      </w:r>
      <w:r>
        <w:rPr>
          <w:rFonts w:hint="eastAsia" w:ascii="宋体" w:hAnsi="宋体" w:cs="宋体"/>
          <w:color w:val="auto"/>
          <w:szCs w:val="21"/>
          <w:highlight w:val="none"/>
        </w:rPr>
        <w:t>。</w:t>
      </w:r>
    </w:p>
    <w:p w14:paraId="6E0F6ED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618C85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4BD854CF">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0DE419EF">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2191805">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0203756E">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6BAD4C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3B4FA14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6AB645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02EBCF5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1D5E30D8">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44EF59C6">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5B4C9520">
      <w:pPr>
        <w:spacing w:line="360" w:lineRule="auto"/>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5AD611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304B1C1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2EAE14AB">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168E0F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77957E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41100C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bookmarkStart w:id="62" w:name="_Hlk42592874"/>
      <w:r>
        <w:rPr>
          <w:rFonts w:hint="eastAsia" w:ascii="宋体" w:hAnsi="宋体" w:cs="宋体"/>
          <w:color w:val="auto"/>
          <w:szCs w:val="21"/>
          <w:highlight w:val="none"/>
        </w:rPr>
        <w:t>竞标报价（包含首次报价、最后报价）超过分项采购预算金额或者最高限价的，其响应文件将按无效处理。</w:t>
      </w:r>
    </w:p>
    <w:bookmarkEnd w:id="62"/>
    <w:p w14:paraId="01FDEA7D">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74A1B8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0E8A8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r>
        <w:rPr>
          <w:rFonts w:hint="eastAsia" w:ascii="宋体" w:hAnsi="宋体"/>
          <w:color w:val="auto"/>
          <w:szCs w:val="21"/>
          <w:highlight w:val="none"/>
        </w:rPr>
        <w:t>承诺的竞标有效期低于采购文件规定期限的，供应商的响应文件作无效处理。</w:t>
      </w:r>
    </w:p>
    <w:p w14:paraId="7C1952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54DDD7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34013A8E">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5E33FB17">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693E9D20">
      <w:pPr>
        <w:spacing w:line="360" w:lineRule="auto"/>
        <w:ind w:firstLine="420" w:firstLineChars="200"/>
        <w:rPr>
          <w:rFonts w:hint="eastAsia" w:ascii="宋体" w:hAnsi="宋体" w:cs="宋体"/>
          <w:color w:val="auto"/>
          <w:szCs w:val="21"/>
          <w:highlight w:val="none"/>
        </w:rPr>
      </w:pPr>
      <w:bookmarkStart w:id="63"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成交供应商的磋商保证金自成交通知书发出之日起5个工作日内退还；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63"/>
      <w:r>
        <w:rPr>
          <w:rFonts w:hint="eastAsia" w:ascii="宋体" w:hAnsi="宋体" w:cs="宋体"/>
          <w:color w:val="auto"/>
          <w:szCs w:val="21"/>
          <w:highlight w:val="none"/>
        </w:rPr>
        <w:t xml:space="preserve"> </w:t>
      </w:r>
    </w:p>
    <w:p w14:paraId="36AE9C16">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17.3除逾期退还磋商保证金和终止采购的情形以外，磋商保证金不计息。</w:t>
      </w:r>
    </w:p>
    <w:p w14:paraId="08EC5108">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4298836C">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2FCC4280">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41A0AF65">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71F65E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256E8962">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7FF0AB2F">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4852046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6CC9C8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D534A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74442C1A">
      <w:pPr>
        <w:spacing w:line="360" w:lineRule="auto"/>
        <w:ind w:firstLine="482" w:firstLineChars="200"/>
        <w:rPr>
          <w:rFonts w:hint="eastAsia" w:ascii="宋体" w:hAnsi="宋体" w:cs="宋体"/>
          <w:b/>
          <w:color w:val="auto"/>
          <w:sz w:val="24"/>
          <w:szCs w:val="21"/>
          <w:highlight w:val="none"/>
        </w:rPr>
      </w:pPr>
      <w:r>
        <w:rPr>
          <w:rFonts w:hint="eastAsia" w:ascii="宋体" w:hAnsi="宋体" w:cs="宋体"/>
          <w:b/>
          <w:color w:val="auto"/>
          <w:sz w:val="24"/>
          <w:szCs w:val="21"/>
          <w:highlight w:val="none"/>
        </w:rPr>
        <w:t>18.3响应文件须由供应商在规定位置签字、盖章（具体以供应商须知前附表或响应文件格式规定为准），否则按无效响应处理。</w:t>
      </w:r>
    </w:p>
    <w:p w14:paraId="1D4003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供应商为自然人的，标注的供应商名称应与身份证姓名及签名一致，否则其响应文件按无效响应处理。</w:t>
      </w:r>
    </w:p>
    <w:p w14:paraId="130A93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4E51B67E">
      <w:pPr>
        <w:spacing w:line="360" w:lineRule="auto"/>
        <w:ind w:firstLine="482" w:firstLineChars="200"/>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4D17EF0A">
      <w:pPr>
        <w:spacing w:line="360" w:lineRule="auto"/>
        <w:ind w:firstLine="420" w:firstLineChars="200"/>
        <w:rPr>
          <w:rFonts w:hint="eastAsia" w:ascii="宋体" w:hAnsi="宋体" w:cs="宋体"/>
          <w:color w:val="auto"/>
          <w:szCs w:val="21"/>
          <w:highlight w:val="none"/>
        </w:rPr>
      </w:pPr>
      <w:r>
        <w:rPr>
          <w:rFonts w:hint="eastAsia"/>
          <w:color w:val="auto"/>
          <w:highlight w:val="none"/>
        </w:rPr>
        <w:t>电子备份响应文件是指通过在线编制生成且后缀名为“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4F7D8BB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183C82DF">
      <w:pPr>
        <w:spacing w:line="360" w:lineRule="auto"/>
        <w:ind w:firstLine="420" w:firstLineChars="20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6BA1E099">
      <w:pPr>
        <w:spacing w:line="360" w:lineRule="auto"/>
        <w:ind w:firstLine="422" w:firstLineChars="200"/>
        <w:rPr>
          <w:rFonts w:hint="eastAsia" w:ascii="宋体" w:hAnsi="宋体" w:cs="宋体"/>
          <w:color w:val="auto"/>
          <w:szCs w:val="21"/>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未在规定时间内提交或者未按照磋商文件要求加密的电子响应文件，广西政府采购云平台将拒收。</w:t>
      </w:r>
    </w:p>
    <w:p w14:paraId="5CF0C1F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38DA0B48">
      <w:pPr>
        <w:snapToGrid w:val="0"/>
        <w:spacing w:line="360" w:lineRule="auto"/>
        <w:ind w:firstLine="420"/>
        <w:jc w:val="left"/>
        <w:rPr>
          <w:rFonts w:hint="eastAsia" w:ascii="宋体" w:hAnsi="宋体"/>
          <w:color w:val="auto"/>
          <w:szCs w:val="21"/>
          <w:highlight w:val="none"/>
        </w:rPr>
      </w:pPr>
      <w:bookmarkStart w:id="64" w:name="_Toc254970684"/>
      <w:bookmarkStart w:id="65" w:name="_Toc254970543"/>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“电子投标文件制作与投送教程”）</w:t>
      </w:r>
    </w:p>
    <w:bookmarkEnd w:id="64"/>
    <w:bookmarkEnd w:id="65"/>
    <w:p w14:paraId="20052DF3">
      <w:pPr>
        <w:pStyle w:val="66"/>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3C89A5E4">
      <w:pPr>
        <w:spacing w:line="360" w:lineRule="auto"/>
        <w:ind w:firstLine="482" w:firstLineChars="200"/>
        <w:rPr>
          <w:rFonts w:ascii="黑体" w:hAnsi="黑体" w:eastAsia="黑体" w:cs="宋体"/>
          <w:b/>
          <w:bCs/>
          <w:color w:val="auto"/>
          <w:sz w:val="24"/>
          <w:highlight w:val="none"/>
        </w:rPr>
      </w:pPr>
      <w:bookmarkStart w:id="66" w:name="_Hlk45702405"/>
      <w:r>
        <w:rPr>
          <w:rFonts w:hint="eastAsia" w:ascii="黑体" w:hAnsi="黑体" w:eastAsia="黑体" w:cs="宋体"/>
          <w:b/>
          <w:bCs/>
          <w:color w:val="auto"/>
          <w:sz w:val="24"/>
          <w:highlight w:val="none"/>
        </w:rPr>
        <w:t>22.响应文件的退回</w:t>
      </w:r>
    </w:p>
    <w:p w14:paraId="05F11C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5E72D83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09CD9F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66"/>
    <w:p w14:paraId="779A5A03">
      <w:pPr>
        <w:spacing w:line="360" w:lineRule="auto"/>
        <w:rPr>
          <w:rFonts w:hint="eastAsia" w:ascii="宋体" w:hAnsi="宋体"/>
          <w:color w:val="auto"/>
          <w:szCs w:val="21"/>
          <w:highlight w:val="none"/>
        </w:rPr>
      </w:pPr>
    </w:p>
    <w:p w14:paraId="290FECAA">
      <w:pPr>
        <w:spacing w:line="360" w:lineRule="auto"/>
        <w:ind w:left="420" w:firstLine="42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14:paraId="1F138FCF">
      <w:pPr>
        <w:spacing w:line="360" w:lineRule="auto"/>
        <w:ind w:left="420" w:firstLine="420"/>
        <w:rPr>
          <w:rFonts w:hint="eastAsia" w:ascii="宋体" w:hAnsi="宋体"/>
          <w:color w:val="auto"/>
          <w:szCs w:val="21"/>
          <w:highlight w:val="none"/>
        </w:rPr>
      </w:pPr>
    </w:p>
    <w:p w14:paraId="5DE3D28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386A86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555AE0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7D07526">
      <w:pPr>
        <w:spacing w:line="360" w:lineRule="auto"/>
        <w:ind w:firstLine="420" w:firstLineChars="20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5AFEB1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13A72730">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23625A2B">
      <w:pPr>
        <w:spacing w:line="360" w:lineRule="auto"/>
        <w:ind w:firstLine="420" w:firstLineChars="20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sz w:val="24"/>
          <w:highlight w:val="none"/>
        </w:rPr>
        <w:t>。</w:t>
      </w:r>
      <w:r>
        <w:rPr>
          <w:rFonts w:hint="eastAsia"/>
          <w:b/>
          <w:color w:val="auto"/>
          <w:sz w:val="24"/>
          <w:highlight w:val="none"/>
        </w:rPr>
        <w:t>供应商未在</w:t>
      </w:r>
      <w:r>
        <w:rPr>
          <w:b/>
          <w:color w:val="auto"/>
          <w:sz w:val="24"/>
          <w:highlight w:val="none"/>
        </w:rPr>
        <w:t>规定的时间内解密</w:t>
      </w:r>
      <w:r>
        <w:rPr>
          <w:rFonts w:hint="eastAsia"/>
          <w:b/>
          <w:color w:val="auto"/>
          <w:sz w:val="24"/>
          <w:highlight w:val="none"/>
        </w:rPr>
        <w:t>响应文件</w:t>
      </w:r>
      <w:r>
        <w:rPr>
          <w:b/>
          <w:color w:val="auto"/>
          <w:sz w:val="24"/>
          <w:highlight w:val="none"/>
        </w:rPr>
        <w:t>或</w:t>
      </w:r>
      <w:r>
        <w:rPr>
          <w:rFonts w:hint="eastAsia"/>
          <w:b/>
          <w:color w:val="auto"/>
          <w:sz w:val="24"/>
          <w:highlight w:val="none"/>
        </w:rPr>
        <w:t>者</w:t>
      </w:r>
      <w:r>
        <w:rPr>
          <w:b/>
          <w:color w:val="auto"/>
          <w:sz w:val="24"/>
          <w:highlight w:val="none"/>
        </w:rPr>
        <w:t>解密失败的</w:t>
      </w:r>
      <w:r>
        <w:rPr>
          <w:rFonts w:hint="eastAsia"/>
          <w:b/>
          <w:color w:val="auto"/>
          <w:sz w:val="24"/>
          <w:highlight w:val="none"/>
        </w:rPr>
        <w:t>，供应商</w:t>
      </w:r>
      <w:r>
        <w:rPr>
          <w:rFonts w:hint="eastAsia" w:ascii="宋体" w:hAnsi="宋体"/>
          <w:b/>
          <w:color w:val="auto"/>
          <w:sz w:val="24"/>
          <w:szCs w:val="21"/>
          <w:highlight w:val="none"/>
        </w:rPr>
        <w:t>的响应文件作无效处理</w:t>
      </w:r>
      <w:r>
        <w:rPr>
          <w:b/>
          <w:color w:val="auto"/>
          <w:sz w:val="24"/>
          <w:highlight w:val="none"/>
        </w:rPr>
        <w:t>。</w:t>
      </w:r>
    </w:p>
    <w:p w14:paraId="10289AB4">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427198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3BE356B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02CD636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商务/技术要求允许负偏离的条款数详见“供应商须知前附表”。</w:t>
      </w:r>
    </w:p>
    <w:p w14:paraId="0DAFCD5D">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210B8200">
      <w:pPr>
        <w:spacing w:line="360" w:lineRule="auto"/>
        <w:ind w:firstLine="420" w:firstLineChars="20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36072680">
      <w:pPr>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14:paraId="45E3B62F">
      <w:pPr>
        <w:spacing w:line="360" w:lineRule="auto"/>
        <w:ind w:firstLine="420" w:firstLineChars="200"/>
        <w:rPr>
          <w:rFonts w:hint="eastAsia" w:hAnsi="宋体"/>
          <w:color w:val="auto"/>
          <w:highlight w:val="none"/>
        </w:rPr>
      </w:pPr>
      <w:r>
        <w:rPr>
          <w:rFonts w:hint="eastAsia" w:hAnsi="宋体"/>
          <w:color w:val="auto"/>
          <w:highlight w:val="none"/>
        </w:rPr>
        <w:t>（2）电子交易平台应用或数据库出现错误，不能进行正常操作的；</w:t>
      </w:r>
    </w:p>
    <w:p w14:paraId="798D7B4E">
      <w:pPr>
        <w:spacing w:line="360" w:lineRule="auto"/>
        <w:ind w:firstLine="420" w:firstLineChars="200"/>
        <w:rPr>
          <w:rFonts w:hint="eastAsia" w:hAnsi="宋体"/>
          <w:color w:val="auto"/>
          <w:highlight w:val="none"/>
        </w:rPr>
      </w:pPr>
      <w:r>
        <w:rPr>
          <w:rFonts w:hint="eastAsia" w:hAnsi="宋体"/>
          <w:color w:val="auto"/>
          <w:highlight w:val="none"/>
        </w:rPr>
        <w:t>（3）电子交易平台发现严重安全漏洞，有潜在泄密危险的；</w:t>
      </w:r>
    </w:p>
    <w:p w14:paraId="4E05D40A">
      <w:pPr>
        <w:spacing w:line="360" w:lineRule="auto"/>
        <w:ind w:firstLine="420" w:firstLineChars="200"/>
        <w:rPr>
          <w:rFonts w:hint="eastAsia" w:hAnsi="宋体"/>
          <w:color w:val="auto"/>
          <w:highlight w:val="none"/>
        </w:rPr>
      </w:pPr>
      <w:r>
        <w:rPr>
          <w:rFonts w:hint="eastAsia" w:hAnsi="宋体"/>
          <w:color w:val="auto"/>
          <w:highlight w:val="none"/>
        </w:rPr>
        <w:t xml:space="preserve">（4）病毒发作导致不能进行正常操作的； </w:t>
      </w:r>
    </w:p>
    <w:p w14:paraId="66505707">
      <w:pPr>
        <w:spacing w:line="360" w:lineRule="auto"/>
        <w:ind w:firstLine="420" w:firstLineChars="200"/>
        <w:rPr>
          <w:rFonts w:hint="eastAsia" w:hAnsi="宋体"/>
          <w:color w:val="auto"/>
          <w:highlight w:val="none"/>
        </w:rPr>
      </w:pPr>
      <w:r>
        <w:rPr>
          <w:rFonts w:hint="eastAsia" w:hAnsi="宋体"/>
          <w:color w:val="auto"/>
          <w:highlight w:val="none"/>
        </w:rPr>
        <w:t>（5）其他无法保证电子交易的公平、公正和安全的情况。</w:t>
      </w:r>
    </w:p>
    <w:p w14:paraId="23DCF3BC">
      <w:pPr>
        <w:spacing w:line="360" w:lineRule="auto"/>
        <w:ind w:firstLine="420" w:firstLineChars="200"/>
        <w:rPr>
          <w:rFonts w:hint="eastAsia" w:ascii="宋体" w:hAnsi="宋体" w:cs="宋体"/>
          <w:color w:val="auto"/>
          <w:szCs w:val="21"/>
          <w:highlight w:val="none"/>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7864F412">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584590D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DF6FA30">
      <w:pPr>
        <w:spacing w:line="360" w:lineRule="auto"/>
        <w:ind w:firstLine="420" w:firstLineChars="20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7"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67"/>
    </w:p>
    <w:p w14:paraId="34617FAE">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0668846C">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1A76FAD9">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662FCAF6">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7B642426">
      <w:pPr>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A5A1596">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0ED8DD28">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履约保证金的金额、提交方式、缴纳期限、退付的时间和条件详见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6FA80B17">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.2在履约保证金退还日期前，若成交供应商的开户名称、开户银行、账号有变动的，请以书面形式通知履约保证金收取单位，否则由此产生的后果由成交供应商自行承担。</w:t>
      </w:r>
    </w:p>
    <w:p w14:paraId="6E096894">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34A0B164">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50AB7AA2">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20052749">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607913C3">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5FA019A">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BAC448B">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4436B19F">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1684F99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6137C40C">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153E41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B7ED67F">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7F68A47D">
      <w:pPr>
        <w:pStyle w:val="5"/>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4D9D8E5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6A92B32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38E5956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DF91E9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AA7FE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365B8CB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9B130A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A4E091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3621734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22B237B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5639116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28A0E5A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1CFFD33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5D90CB1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3F97C10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6E309CE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BC39CA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ABAF256">
      <w:pPr>
        <w:spacing w:line="360" w:lineRule="auto"/>
        <w:ind w:firstLine="420" w:firstLineChars="200"/>
        <w:rPr>
          <w:rFonts w:hint="eastAsia"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5EBB9EB">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419A6701">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.1代理服务收取标准及缴费账户详见“供应商须知前附表”，供应商为联合体的，可以由联合体中的一方或者多方共同交纳代理服务费。</w:t>
      </w:r>
    </w:p>
    <w:p w14:paraId="12074379">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7CA7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EE16EC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3B1AE6A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0"/>
            <w:vAlign w:val="center"/>
          </w:tcPr>
          <w:p w14:paraId="1E2E2E61">
            <w:pPr>
              <w:spacing w:line="360" w:lineRule="auto"/>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0"/>
            <w:vAlign w:val="center"/>
          </w:tcPr>
          <w:p w14:paraId="7DEB351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0"/>
            <w:vAlign w:val="center"/>
          </w:tcPr>
          <w:p w14:paraId="5890A0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588E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B24C5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14:paraId="568E5EF8">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noWrap w:val="0"/>
            <w:vAlign w:val="top"/>
          </w:tcPr>
          <w:p w14:paraId="246F2B7C">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noWrap w:val="0"/>
            <w:vAlign w:val="top"/>
          </w:tcPr>
          <w:p w14:paraId="68E75DF4">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10AC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D0F124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100万～500万元</w:t>
            </w:r>
          </w:p>
        </w:tc>
        <w:tc>
          <w:tcPr>
            <w:tcW w:w="1659" w:type="dxa"/>
            <w:noWrap w:val="0"/>
            <w:vAlign w:val="top"/>
          </w:tcPr>
          <w:p w14:paraId="2FB9D0B9">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noWrap w:val="0"/>
            <w:vAlign w:val="top"/>
          </w:tcPr>
          <w:p w14:paraId="76D003FD">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noWrap w:val="0"/>
            <w:vAlign w:val="top"/>
          </w:tcPr>
          <w:p w14:paraId="6AED4C75">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3DE8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BFE660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500万～1000万元</w:t>
            </w:r>
          </w:p>
        </w:tc>
        <w:tc>
          <w:tcPr>
            <w:tcW w:w="1659" w:type="dxa"/>
            <w:noWrap w:val="0"/>
            <w:vAlign w:val="top"/>
          </w:tcPr>
          <w:p w14:paraId="30F4A69D">
            <w:pPr>
              <w:spacing w:line="360" w:lineRule="auto"/>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noWrap w:val="0"/>
            <w:vAlign w:val="top"/>
          </w:tcPr>
          <w:p w14:paraId="7E44127B">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noWrap w:val="0"/>
            <w:vAlign w:val="top"/>
          </w:tcPr>
          <w:p w14:paraId="623552EA">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4AA8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1515C4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1000万～5000万元</w:t>
            </w:r>
          </w:p>
        </w:tc>
        <w:tc>
          <w:tcPr>
            <w:tcW w:w="1659" w:type="dxa"/>
            <w:noWrap w:val="0"/>
            <w:vAlign w:val="top"/>
          </w:tcPr>
          <w:p w14:paraId="574A18A5">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noWrap w:val="0"/>
            <w:vAlign w:val="top"/>
          </w:tcPr>
          <w:p w14:paraId="29E3C67C">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noWrap w:val="0"/>
            <w:vAlign w:val="top"/>
          </w:tcPr>
          <w:p w14:paraId="0ABA77CF">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3C87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5FF294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14:paraId="519EC00F">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noWrap w:val="0"/>
            <w:vAlign w:val="top"/>
          </w:tcPr>
          <w:p w14:paraId="6EB87491">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noWrap w:val="0"/>
            <w:vAlign w:val="top"/>
          </w:tcPr>
          <w:p w14:paraId="1372ACAD">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773A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408DDC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1亿～5亿元</w:t>
            </w:r>
          </w:p>
        </w:tc>
        <w:tc>
          <w:tcPr>
            <w:tcW w:w="1659" w:type="dxa"/>
            <w:noWrap w:val="0"/>
            <w:vAlign w:val="top"/>
          </w:tcPr>
          <w:p w14:paraId="0A5089A9">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noWrap w:val="0"/>
            <w:vAlign w:val="top"/>
          </w:tcPr>
          <w:p w14:paraId="1C563C8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noWrap w:val="0"/>
            <w:vAlign w:val="top"/>
          </w:tcPr>
          <w:p w14:paraId="5717DA2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6A9D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F920BD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5亿～10亿元</w:t>
            </w:r>
          </w:p>
        </w:tc>
        <w:tc>
          <w:tcPr>
            <w:tcW w:w="1659" w:type="dxa"/>
            <w:noWrap w:val="0"/>
            <w:vAlign w:val="top"/>
          </w:tcPr>
          <w:p w14:paraId="44708BD4">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noWrap w:val="0"/>
            <w:vAlign w:val="top"/>
          </w:tcPr>
          <w:p w14:paraId="5D71895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noWrap w:val="0"/>
            <w:vAlign w:val="top"/>
          </w:tcPr>
          <w:p w14:paraId="38A521BC">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14:paraId="6049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A51223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10亿～50亿元</w:t>
            </w:r>
          </w:p>
        </w:tc>
        <w:tc>
          <w:tcPr>
            <w:tcW w:w="1659" w:type="dxa"/>
            <w:noWrap w:val="0"/>
            <w:vAlign w:val="top"/>
          </w:tcPr>
          <w:p w14:paraId="149F9A80">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noWrap w:val="0"/>
            <w:vAlign w:val="top"/>
          </w:tcPr>
          <w:p w14:paraId="00AD1935">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noWrap w:val="0"/>
            <w:vAlign w:val="top"/>
          </w:tcPr>
          <w:p w14:paraId="4A8BBC37">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14:paraId="34E6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80307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50亿～100亿元</w:t>
            </w:r>
          </w:p>
        </w:tc>
        <w:tc>
          <w:tcPr>
            <w:tcW w:w="1659" w:type="dxa"/>
            <w:noWrap w:val="0"/>
            <w:vAlign w:val="top"/>
          </w:tcPr>
          <w:p w14:paraId="147878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noWrap w:val="0"/>
            <w:vAlign w:val="top"/>
          </w:tcPr>
          <w:p w14:paraId="234FF0B0">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noWrap w:val="0"/>
            <w:vAlign w:val="top"/>
          </w:tcPr>
          <w:p w14:paraId="093BB5AD">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14:paraId="22A4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5A7136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659" w:type="dxa"/>
            <w:noWrap w:val="0"/>
            <w:vAlign w:val="top"/>
          </w:tcPr>
          <w:p w14:paraId="739FD70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noWrap w:val="0"/>
            <w:vAlign w:val="top"/>
          </w:tcPr>
          <w:p w14:paraId="50BBA8F1">
            <w:pPr>
              <w:spacing w:line="360" w:lineRule="auto"/>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noWrap w:val="0"/>
            <w:vAlign w:val="top"/>
          </w:tcPr>
          <w:p w14:paraId="0B34EE8F">
            <w:pPr>
              <w:spacing w:line="360" w:lineRule="auto"/>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7BE6052F">
      <w:pPr>
        <w:spacing w:line="360" w:lineRule="auto"/>
        <w:ind w:firstLine="420" w:firstLineChars="200"/>
        <w:rPr>
          <w:rFonts w:ascii="宋体" w:hAnsi="宋体" w:cs="宋体"/>
          <w:color w:val="auto"/>
          <w:highlight w:val="none"/>
        </w:rPr>
      </w:pPr>
      <w:r>
        <w:rPr>
          <w:rFonts w:ascii="宋体" w:hAnsi="宋体" w:cs="宋体"/>
          <w:color w:val="auto"/>
          <w:highlight w:val="none"/>
        </w:rPr>
        <w:t>注：</w:t>
      </w:r>
    </w:p>
    <w:p w14:paraId="6DE27C3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639D5FC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013197B6">
      <w:pPr>
        <w:spacing w:line="360" w:lineRule="auto"/>
        <w:ind w:firstLine="420" w:firstLineChars="20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服务采购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26E0D58B">
      <w:pPr>
        <w:spacing w:line="360" w:lineRule="auto"/>
        <w:ind w:firstLine="420" w:firstLineChars="200"/>
        <w:rPr>
          <w:rFonts w:ascii="宋体" w:hAnsi="宋体" w:cs="宋体"/>
          <w:color w:val="auto"/>
          <w:highlight w:val="none"/>
        </w:rPr>
      </w:pPr>
      <w:r>
        <w:rPr>
          <w:rFonts w:ascii="宋体" w:hAnsi="宋体" w:cs="宋体"/>
          <w:color w:val="auto"/>
          <w:highlight w:val="none"/>
        </w:rPr>
        <w:t>100 万元 ×l.5 %＝ 1.5 万元</w:t>
      </w:r>
    </w:p>
    <w:p w14:paraId="6A7C6174">
      <w:pPr>
        <w:spacing w:line="360" w:lineRule="auto"/>
        <w:ind w:firstLine="420" w:firstLineChars="200"/>
        <w:rPr>
          <w:rFonts w:ascii="宋体" w:hAnsi="宋体" w:cs="宋体"/>
          <w:color w:val="auto"/>
          <w:highlight w:val="none"/>
        </w:rPr>
      </w:pPr>
      <w:r>
        <w:rPr>
          <w:rFonts w:ascii="宋体" w:hAnsi="宋体" w:cs="宋体"/>
          <w:color w:val="auto"/>
          <w:highlight w:val="none"/>
        </w:rPr>
        <w:t>（ 150 － 100 ）万元 ×0.8%＝ 0.4万元</w:t>
      </w:r>
    </w:p>
    <w:p w14:paraId="537E000F">
      <w:pPr>
        <w:spacing w:line="360" w:lineRule="auto"/>
        <w:ind w:firstLine="420" w:firstLineChars="200"/>
        <w:rPr>
          <w:rFonts w:ascii="宋体" w:hAnsi="宋体" w:cs="宋体"/>
          <w:color w:val="auto"/>
          <w:highlight w:val="none"/>
        </w:rPr>
      </w:pPr>
      <w:r>
        <w:rPr>
          <w:rFonts w:ascii="宋体" w:hAnsi="宋体" w:cs="宋体"/>
          <w:color w:val="auto"/>
          <w:highlight w:val="none"/>
        </w:rPr>
        <w:t>合计收费＝ 1.5 ＋ 0.4＝ 1.9 万元</w:t>
      </w:r>
    </w:p>
    <w:p w14:paraId="3EF5AF8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3DE75CF6">
      <w:pPr>
        <w:pStyle w:val="14"/>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7F9E3534">
      <w:pPr>
        <w:pStyle w:val="14"/>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33.2</w:t>
      </w:r>
      <w:r>
        <w:rPr>
          <w:rFonts w:hint="eastAsia" w:hAnsi="宋体" w:cs="宋体"/>
          <w:color w:val="auto"/>
          <w:kern w:val="2"/>
          <w:sz w:val="21"/>
          <w:highlight w:val="none"/>
        </w:rPr>
        <w:t xml:space="preserve"> 其他事项详见“供应商须知前附表”。</w:t>
      </w:r>
    </w:p>
    <w:p w14:paraId="0A019E4C">
      <w:pPr>
        <w:pStyle w:val="14"/>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3.3</w:t>
      </w:r>
      <w:r>
        <w:rPr>
          <w:rFonts w:hint="eastAsia" w:hAnsi="宋体" w:cs="宋体"/>
          <w:color w:val="auto"/>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F89DA12">
      <w:pPr>
        <w:pStyle w:val="14"/>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4818EC28">
      <w:pPr>
        <w:pStyle w:val="14"/>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1FFEB3F0">
      <w:pPr>
        <w:pStyle w:val="14"/>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6F79604">
      <w:pPr>
        <w:pStyle w:val="14"/>
        <w:spacing w:line="360" w:lineRule="auto"/>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00191962">
      <w:pPr>
        <w:pStyle w:val="14"/>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依据本磋商文件规定享受扶持政策获得政府采购合同的，小微企业不得将合同分包给大中型企业，中型企业不得将合同分包给大型企业。</w:t>
      </w:r>
    </w:p>
    <w:p w14:paraId="127ED4F8">
      <w:pPr>
        <w:pStyle w:val="14"/>
        <w:spacing w:line="360" w:lineRule="auto"/>
        <w:ind w:firstLine="420" w:firstLineChars="200"/>
        <w:textAlignment w:val="center"/>
        <w:rPr>
          <w:rFonts w:hAnsi="宋体" w:cs="宋体"/>
          <w:color w:val="auto"/>
          <w:kern w:val="2"/>
          <w:sz w:val="21"/>
          <w:highlight w:val="none"/>
        </w:rPr>
      </w:pPr>
    </w:p>
    <w:p w14:paraId="6D13E568">
      <w:pPr>
        <w:pStyle w:val="14"/>
        <w:spacing w:line="360" w:lineRule="auto"/>
        <w:ind w:firstLine="420" w:firstLineChars="200"/>
        <w:textAlignment w:val="center"/>
        <w:rPr>
          <w:rFonts w:hAnsi="宋体" w:cs="宋体"/>
          <w:color w:val="auto"/>
          <w:kern w:val="2"/>
          <w:sz w:val="21"/>
          <w:highlight w:val="none"/>
        </w:rPr>
      </w:pPr>
    </w:p>
    <w:p w14:paraId="13BBD9AD">
      <w:pPr>
        <w:pStyle w:val="14"/>
        <w:spacing w:line="360" w:lineRule="auto"/>
        <w:ind w:firstLine="420" w:firstLineChars="200"/>
        <w:textAlignment w:val="center"/>
        <w:rPr>
          <w:rFonts w:hAnsi="宋体" w:cs="宋体"/>
          <w:color w:val="auto"/>
          <w:kern w:val="2"/>
          <w:sz w:val="21"/>
          <w:highlight w:val="none"/>
        </w:rPr>
      </w:pPr>
    </w:p>
    <w:p w14:paraId="04E25169">
      <w:pPr>
        <w:pStyle w:val="14"/>
        <w:spacing w:line="360" w:lineRule="auto"/>
        <w:ind w:firstLine="420" w:firstLineChars="200"/>
        <w:textAlignment w:val="center"/>
        <w:rPr>
          <w:rFonts w:hAnsi="宋体" w:cs="宋体"/>
          <w:color w:val="auto"/>
          <w:kern w:val="2"/>
          <w:sz w:val="21"/>
          <w:highlight w:val="none"/>
        </w:rPr>
      </w:pPr>
    </w:p>
    <w:p w14:paraId="04E2F999">
      <w:pPr>
        <w:pStyle w:val="14"/>
        <w:spacing w:line="360" w:lineRule="auto"/>
        <w:ind w:firstLine="420" w:firstLineChars="200"/>
        <w:textAlignment w:val="center"/>
        <w:rPr>
          <w:rFonts w:hAnsi="宋体" w:cs="宋体"/>
          <w:color w:val="auto"/>
          <w:kern w:val="2"/>
          <w:sz w:val="21"/>
          <w:highlight w:val="none"/>
        </w:rPr>
      </w:pPr>
    </w:p>
    <w:p w14:paraId="749DA1E4">
      <w:pPr>
        <w:pStyle w:val="14"/>
        <w:spacing w:line="360" w:lineRule="auto"/>
        <w:ind w:firstLine="420" w:firstLineChars="200"/>
        <w:textAlignment w:val="center"/>
        <w:rPr>
          <w:rFonts w:hAnsi="宋体" w:cs="宋体"/>
          <w:color w:val="auto"/>
          <w:kern w:val="2"/>
          <w:sz w:val="21"/>
          <w:highlight w:val="none"/>
        </w:rPr>
      </w:pPr>
    </w:p>
    <w:p w14:paraId="57280F19">
      <w:pPr>
        <w:pStyle w:val="14"/>
        <w:spacing w:line="360" w:lineRule="auto"/>
        <w:ind w:firstLine="420" w:firstLineChars="200"/>
        <w:textAlignment w:val="center"/>
        <w:rPr>
          <w:rFonts w:hAnsi="宋体" w:cs="宋体"/>
          <w:color w:val="auto"/>
          <w:kern w:val="2"/>
          <w:sz w:val="21"/>
          <w:highlight w:val="none"/>
        </w:rPr>
      </w:pPr>
    </w:p>
    <w:p w14:paraId="09E32A25">
      <w:pPr>
        <w:pStyle w:val="14"/>
        <w:spacing w:line="360" w:lineRule="auto"/>
        <w:ind w:firstLine="420" w:firstLineChars="200"/>
        <w:textAlignment w:val="center"/>
        <w:rPr>
          <w:rFonts w:hAnsi="宋体" w:cs="宋体"/>
          <w:color w:val="auto"/>
          <w:kern w:val="2"/>
          <w:sz w:val="21"/>
          <w:highlight w:val="none"/>
        </w:rPr>
      </w:pPr>
    </w:p>
    <w:p w14:paraId="01D217A2">
      <w:pPr>
        <w:pStyle w:val="14"/>
        <w:spacing w:line="360" w:lineRule="auto"/>
        <w:ind w:firstLine="420" w:firstLineChars="200"/>
        <w:textAlignment w:val="center"/>
        <w:rPr>
          <w:rFonts w:hAnsi="宋体" w:cs="宋体"/>
          <w:color w:val="auto"/>
          <w:kern w:val="2"/>
          <w:sz w:val="21"/>
          <w:highlight w:val="none"/>
        </w:rPr>
      </w:pPr>
    </w:p>
    <w:p w14:paraId="5F0906C4">
      <w:pPr>
        <w:pStyle w:val="14"/>
        <w:spacing w:line="360" w:lineRule="auto"/>
        <w:ind w:firstLine="420" w:firstLineChars="200"/>
        <w:textAlignment w:val="center"/>
        <w:rPr>
          <w:rFonts w:hAnsi="宋体" w:cs="宋体"/>
          <w:color w:val="auto"/>
          <w:kern w:val="2"/>
          <w:sz w:val="21"/>
          <w:highlight w:val="none"/>
        </w:rPr>
      </w:pPr>
    </w:p>
    <w:p w14:paraId="21FE50D0">
      <w:pPr>
        <w:pStyle w:val="14"/>
        <w:spacing w:line="360" w:lineRule="auto"/>
        <w:ind w:firstLine="420" w:firstLineChars="200"/>
        <w:textAlignment w:val="center"/>
        <w:rPr>
          <w:rFonts w:hAnsi="宋体" w:cs="宋体"/>
          <w:color w:val="auto"/>
          <w:kern w:val="2"/>
          <w:sz w:val="21"/>
          <w:highlight w:val="none"/>
        </w:rPr>
      </w:pPr>
    </w:p>
    <w:p w14:paraId="05E572F0">
      <w:pPr>
        <w:pStyle w:val="14"/>
        <w:spacing w:line="360" w:lineRule="auto"/>
        <w:ind w:firstLine="420" w:firstLineChars="200"/>
        <w:textAlignment w:val="center"/>
        <w:rPr>
          <w:rFonts w:hAnsi="宋体" w:cs="宋体"/>
          <w:color w:val="auto"/>
          <w:kern w:val="2"/>
          <w:sz w:val="21"/>
          <w:highlight w:val="none"/>
        </w:rPr>
      </w:pPr>
    </w:p>
    <w:p w14:paraId="11A1C4A1">
      <w:pPr>
        <w:pStyle w:val="14"/>
        <w:spacing w:line="360" w:lineRule="auto"/>
        <w:ind w:firstLine="420" w:firstLineChars="200"/>
        <w:textAlignment w:val="center"/>
        <w:rPr>
          <w:rFonts w:hAnsi="宋体" w:cs="宋体"/>
          <w:color w:val="auto"/>
          <w:kern w:val="2"/>
          <w:sz w:val="21"/>
          <w:highlight w:val="none"/>
        </w:rPr>
      </w:pPr>
    </w:p>
    <w:p w14:paraId="1FDC3439">
      <w:pPr>
        <w:pStyle w:val="14"/>
        <w:spacing w:line="360" w:lineRule="auto"/>
        <w:ind w:firstLine="420" w:firstLineChars="200"/>
        <w:textAlignment w:val="center"/>
        <w:rPr>
          <w:rFonts w:hAnsi="宋体" w:cs="宋体"/>
          <w:color w:val="auto"/>
          <w:kern w:val="2"/>
          <w:sz w:val="21"/>
          <w:highlight w:val="none"/>
        </w:rPr>
      </w:pPr>
    </w:p>
    <w:p w14:paraId="5635752C">
      <w:pPr>
        <w:pStyle w:val="14"/>
        <w:spacing w:line="360" w:lineRule="auto"/>
        <w:ind w:firstLine="420" w:firstLineChars="200"/>
        <w:textAlignment w:val="center"/>
        <w:rPr>
          <w:rFonts w:hAnsi="宋体" w:cs="宋体"/>
          <w:color w:val="auto"/>
          <w:kern w:val="2"/>
          <w:sz w:val="21"/>
          <w:highlight w:val="none"/>
        </w:rPr>
      </w:pPr>
    </w:p>
    <w:p w14:paraId="7BB133DA">
      <w:pPr>
        <w:pStyle w:val="14"/>
        <w:spacing w:line="360" w:lineRule="auto"/>
        <w:ind w:firstLine="643" w:firstLineChars="200"/>
        <w:textAlignment w:val="center"/>
        <w:rPr>
          <w:rFonts w:hint="eastAsia" w:hAnsi="宋体"/>
          <w:b/>
          <w:color w:val="auto"/>
          <w:sz w:val="32"/>
          <w:szCs w:val="32"/>
          <w:highlight w:val="none"/>
        </w:rPr>
      </w:pPr>
    </w:p>
    <w:p w14:paraId="45D25FC0">
      <w:pPr>
        <w:pStyle w:val="2"/>
        <w:spacing w:line="240" w:lineRule="auto"/>
        <w:contextualSpacing/>
        <w:jc w:val="center"/>
        <w:rPr>
          <w:rFonts w:hint="eastAsia"/>
          <w:color w:val="auto"/>
          <w:highlight w:val="none"/>
        </w:rPr>
      </w:pPr>
      <w:bookmarkStart w:id="68" w:name="_Toc74323458"/>
      <w:r>
        <w:rPr>
          <w:rFonts w:hint="eastAsia"/>
          <w:color w:val="auto"/>
          <w:highlight w:val="none"/>
        </w:rPr>
        <w:br w:type="page"/>
      </w:r>
      <w:r>
        <w:rPr>
          <w:rFonts w:hint="eastAsia"/>
          <w:color w:val="auto"/>
          <w:highlight w:val="none"/>
        </w:rPr>
        <w:t>第三章 采购需求</w:t>
      </w:r>
      <w:bookmarkEnd w:id="68"/>
    </w:p>
    <w:p w14:paraId="7430C175">
      <w:pPr>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采购项目技术规格、参数及要求</w:t>
      </w:r>
    </w:p>
    <w:p w14:paraId="49FD8FF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0C55C4E0">
      <w:pPr>
        <w:spacing w:line="360" w:lineRule="auto"/>
        <w:ind w:firstLine="420" w:firstLineChars="200"/>
        <w:jc w:val="left"/>
        <w:rPr>
          <w:color w:val="auto"/>
          <w:highlight w:val="none"/>
        </w:rPr>
      </w:pPr>
      <w:r>
        <w:rPr>
          <w:rFonts w:hint="eastAsia" w:ascii="宋体" w:hAnsi="宋体"/>
          <w:color w:val="auto"/>
          <w:highlight w:val="none"/>
        </w:rPr>
        <w:t>1</w:t>
      </w:r>
      <w:r>
        <w:rPr>
          <w:rFonts w:hint="eastAsia"/>
          <w:color w:val="auto"/>
          <w:highlight w:val="none"/>
        </w:rPr>
        <w:t>. 为落实政府采购政策需满足的要求</w:t>
      </w:r>
    </w:p>
    <w:p w14:paraId="4A97404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101E5DC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“实质性要求”是指采购需求中带“▲”的条款或者不能负偏离的条款或者已经指明不满足按响应文件按无效处理的条款。</w:t>
      </w:r>
    </w:p>
    <w:p w14:paraId="2DD1D2D2">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供应商应根据自身实际情况如实响应磋商文件，对磋商文件提出的要求和条件作出明确响应，否则将作无效响应处理。对于重要技术条款或技术参数应当在响应文件中提供技术支持资料，技术支持资料以磋商文件中规定的形式为准，否则将视为无效技术支持资料。</w:t>
      </w:r>
    </w:p>
    <w:p w14:paraId="5310E1D7">
      <w:pPr>
        <w:spacing w:line="360" w:lineRule="auto"/>
        <w:ind w:firstLine="424" w:firstLineChars="202"/>
        <w:jc w:val="left"/>
        <w:rPr>
          <w:rFonts w:hint="eastAsia"/>
          <w:color w:val="auto"/>
          <w:highlight w:val="none"/>
        </w:rPr>
      </w:pPr>
      <w:r>
        <w:rPr>
          <w:rFonts w:hint="eastAsia" w:ascii="宋体" w:hAnsi="宋体" w:cs="宋体"/>
          <w:color w:val="auto"/>
          <w:szCs w:val="21"/>
          <w:highlight w:val="none"/>
        </w:rPr>
        <w:t>4.</w:t>
      </w:r>
      <w:r>
        <w:rPr>
          <w:rFonts w:hint="eastAsia"/>
          <w:color w:val="auto"/>
          <w:highlight w:val="none"/>
        </w:rPr>
        <w:t>供应商必须自行为其竞标产品侵犯他人的知识产权或者专利成果的行为承担相应法律责任。</w:t>
      </w:r>
    </w:p>
    <w:p w14:paraId="4B8910B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5.本项目采购标的对应的中小企业划分标准所属行业为：其他未列明行业。</w:t>
      </w:r>
    </w:p>
    <w:p w14:paraId="5614C955">
      <w:pPr>
        <w:spacing w:line="360" w:lineRule="auto"/>
        <w:ind w:firstLine="424" w:firstLineChars="202"/>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6.商务要求评审中允许负偏离的条款数为</w:t>
      </w:r>
      <w:r>
        <w:rPr>
          <w:rFonts w:hint="eastAsia" w:ascii="宋体" w:hAnsi="宋体" w:cs="宋体"/>
          <w:color w:val="auto"/>
          <w:szCs w:val="21"/>
          <w:highlight w:val="none"/>
          <w:u w:val="single"/>
          <w:lang w:val="en-US" w:eastAsia="zh-CN"/>
        </w:rPr>
        <w:t xml:space="preserve"> 0 </w:t>
      </w:r>
      <w:r>
        <w:rPr>
          <w:rFonts w:hint="eastAsia" w:ascii="宋体" w:hAnsi="宋体" w:cs="宋体"/>
          <w:color w:val="auto"/>
          <w:szCs w:val="21"/>
          <w:highlight w:val="none"/>
          <w:lang w:val="en-US" w:eastAsia="zh-CN"/>
        </w:rPr>
        <w:t>项，技术要求评审中允许负偏离的条款数为</w:t>
      </w:r>
      <w:r>
        <w:rPr>
          <w:rFonts w:hint="eastAsia" w:ascii="宋体" w:hAnsi="宋体" w:cs="宋体"/>
          <w:color w:val="auto"/>
          <w:szCs w:val="21"/>
          <w:highlight w:val="none"/>
          <w:u w:val="none"/>
          <w:lang w:val="en-US" w:eastAsia="zh-CN"/>
        </w:rPr>
        <w:t xml:space="preserve"> 0 </w:t>
      </w:r>
      <w:r>
        <w:rPr>
          <w:rFonts w:hint="eastAsia" w:ascii="宋体" w:hAnsi="宋体" w:cs="宋体"/>
          <w:color w:val="auto"/>
          <w:szCs w:val="21"/>
          <w:highlight w:val="none"/>
          <w:lang w:val="en-US" w:eastAsia="zh-CN"/>
        </w:rPr>
        <w:t>项，偏离</w:t>
      </w:r>
      <w:r>
        <w:rPr>
          <w:rFonts w:hint="eastAsia" w:ascii="宋体" w:hAnsi="宋体" w:cs="宋体"/>
          <w:color w:val="auto"/>
          <w:szCs w:val="21"/>
          <w:highlight w:val="none"/>
          <w:u w:val="single"/>
          <w:lang w:val="en-US" w:eastAsia="zh-CN"/>
        </w:rPr>
        <w:t xml:space="preserve"> 1 </w:t>
      </w:r>
      <w:r>
        <w:rPr>
          <w:rFonts w:hint="eastAsia" w:ascii="宋体" w:hAnsi="宋体" w:cs="宋体"/>
          <w:color w:val="auto"/>
          <w:szCs w:val="21"/>
          <w:highlight w:val="none"/>
          <w:lang w:val="en-US" w:eastAsia="zh-CN"/>
        </w:rPr>
        <w:t>项及以上的响应文件按无效响应处理。</w:t>
      </w:r>
    </w:p>
    <w:tbl>
      <w:tblPr>
        <w:tblStyle w:val="24"/>
        <w:tblW w:w="9282"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476"/>
        <w:gridCol w:w="706"/>
        <w:gridCol w:w="3774"/>
        <w:gridCol w:w="1536"/>
        <w:gridCol w:w="751"/>
        <w:gridCol w:w="589"/>
      </w:tblGrid>
      <w:tr w14:paraId="3788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82" w:type="dxa"/>
            <w:gridSpan w:val="7"/>
            <w:noWrap/>
            <w:vAlign w:val="top"/>
          </w:tcPr>
          <w:p w14:paraId="62D69973">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b/>
                <w:bCs/>
                <w:color w:val="auto"/>
                <w:kern w:val="0"/>
                <w:sz w:val="24"/>
                <w:highlight w:val="none"/>
                <w:lang w:bidi="ar"/>
              </w:rPr>
              <w:t>一、采购内容及参数要求</w:t>
            </w:r>
          </w:p>
        </w:tc>
      </w:tr>
      <w:tr w14:paraId="304E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0" w:type="dxa"/>
            <w:noWrap w:val="0"/>
            <w:vAlign w:val="center"/>
          </w:tcPr>
          <w:p w14:paraId="063A5FFC">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1476" w:type="dxa"/>
            <w:noWrap w:val="0"/>
            <w:vAlign w:val="center"/>
          </w:tcPr>
          <w:p w14:paraId="747A1B82">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服务类别</w:t>
            </w:r>
          </w:p>
        </w:tc>
        <w:tc>
          <w:tcPr>
            <w:tcW w:w="706" w:type="dxa"/>
            <w:noWrap w:val="0"/>
            <w:vAlign w:val="center"/>
          </w:tcPr>
          <w:p w14:paraId="547965B8">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服务名称</w:t>
            </w:r>
          </w:p>
        </w:tc>
        <w:tc>
          <w:tcPr>
            <w:tcW w:w="3774" w:type="dxa"/>
            <w:noWrap w:val="0"/>
            <w:vAlign w:val="center"/>
          </w:tcPr>
          <w:p w14:paraId="73EB1C53">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技术要求</w:t>
            </w:r>
          </w:p>
        </w:tc>
        <w:tc>
          <w:tcPr>
            <w:tcW w:w="1536" w:type="dxa"/>
            <w:noWrap w:val="0"/>
            <w:vAlign w:val="center"/>
          </w:tcPr>
          <w:p w14:paraId="0FA823B7">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服务区域</w:t>
            </w:r>
          </w:p>
        </w:tc>
        <w:tc>
          <w:tcPr>
            <w:tcW w:w="751" w:type="dxa"/>
            <w:noWrap w:val="0"/>
            <w:vAlign w:val="center"/>
          </w:tcPr>
          <w:p w14:paraId="4091A0E4">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数量</w:t>
            </w:r>
          </w:p>
        </w:tc>
        <w:tc>
          <w:tcPr>
            <w:tcW w:w="589" w:type="dxa"/>
            <w:noWrap w:val="0"/>
            <w:vAlign w:val="center"/>
          </w:tcPr>
          <w:p w14:paraId="20BA770D">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单位</w:t>
            </w:r>
          </w:p>
        </w:tc>
      </w:tr>
      <w:tr w14:paraId="23D2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7" w:hRule="atLeast"/>
        </w:trPr>
        <w:tc>
          <w:tcPr>
            <w:tcW w:w="450" w:type="dxa"/>
            <w:noWrap/>
            <w:vAlign w:val="center"/>
          </w:tcPr>
          <w:p w14:paraId="4A11B04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476" w:type="dxa"/>
            <w:vMerge w:val="restart"/>
            <w:noWrap w:val="0"/>
            <w:vAlign w:val="center"/>
          </w:tcPr>
          <w:p w14:paraId="0931E3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szCs w:val="21"/>
                <w:highlight w:val="none"/>
              </w:rPr>
              <w:t>▲</w:t>
            </w:r>
            <w:r>
              <w:rPr>
                <w:rFonts w:hint="eastAsia" w:ascii="宋体" w:hAnsi="宋体" w:eastAsia="宋体" w:cs="宋体"/>
                <w:i w:val="0"/>
                <w:iCs w:val="0"/>
                <w:color w:val="auto"/>
                <w:kern w:val="0"/>
                <w:sz w:val="22"/>
                <w:szCs w:val="22"/>
                <w:highlight w:val="none"/>
                <w:u w:val="none"/>
                <w:lang w:val="en-US" w:eastAsia="zh-CN" w:bidi="ar"/>
              </w:rPr>
              <w:t>东校门出入口道闸</w:t>
            </w:r>
            <w:r>
              <w:rPr>
                <w:rFonts w:hint="eastAsia" w:ascii="宋体" w:hAnsi="宋体" w:cs="宋体"/>
                <w:i w:val="0"/>
                <w:iCs w:val="0"/>
                <w:color w:val="auto"/>
                <w:kern w:val="0"/>
                <w:sz w:val="22"/>
                <w:szCs w:val="22"/>
                <w:highlight w:val="none"/>
                <w:u w:val="none"/>
                <w:lang w:val="en-US" w:eastAsia="zh-CN" w:bidi="ar"/>
              </w:rPr>
              <w:t>设备修复服务</w:t>
            </w:r>
          </w:p>
        </w:tc>
        <w:tc>
          <w:tcPr>
            <w:tcW w:w="706" w:type="dxa"/>
            <w:noWrap w:val="0"/>
            <w:vAlign w:val="center"/>
          </w:tcPr>
          <w:p w14:paraId="3F0C76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东大门车行闸恢复</w:t>
            </w:r>
          </w:p>
          <w:p w14:paraId="181395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center"/>
          </w:tcPr>
          <w:p w14:paraId="0756F39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1.切断设备总电源及分路电源，验电确认无残余电荷，设置"禁止合闸"警示牌，确保作业安全；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2.使用螺丝刀、扳手等工具拆解车道闸外壳及挡杆、弹簧、连杆等机械部件，按顺序摆放并标记；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3.用铲刀、毛刷清除各部件表面附着的淤泥、泥沙及杂物，重点清理缝隙和死角位；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4.使用高压水枪（压力控制在5-8MPa）冲洗机械部件表面，去除残留污垢；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5.用干净抹布擦干各部件表面水分，对精密部位使用无尘布擦拭；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6.将部件置于通风干燥处自然晾干不少于</w:t>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4小时，或使用工业热风机（温度40-50℃）吹干；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7.目视检查挡杆有无变形、裂纹，检查弹簧弹力是否正常，检查连杆有无弯曲、磨损；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8.用游标卡尺测量磨损部位，检查各机械连接件间隙是否在标准范围内；</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9.对损坏的连杆、弹簧、卡扣等配件，选用同型号规格的原厂或替代配件进行更换；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10.按拆解逆序组装各部件，调整挡杆水平度及弹簧张力，紧固各连接螺栓至规定扭矩；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11.恢复供电，进行升降测试不少于5次，检查运行平稳性、噪音及到位停止精度，确认正常后交付使用。</w:t>
            </w:r>
          </w:p>
        </w:tc>
        <w:tc>
          <w:tcPr>
            <w:tcW w:w="1536" w:type="dxa"/>
            <w:vMerge w:val="restart"/>
            <w:noWrap/>
            <w:vAlign w:val="center"/>
          </w:tcPr>
          <w:p w14:paraId="66B97B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东大门出入口</w:t>
            </w:r>
          </w:p>
        </w:tc>
        <w:tc>
          <w:tcPr>
            <w:tcW w:w="751" w:type="dxa"/>
            <w:noWrap w:val="0"/>
            <w:vAlign w:val="center"/>
          </w:tcPr>
          <w:p w14:paraId="705834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89" w:type="dxa"/>
            <w:noWrap/>
            <w:vAlign w:val="center"/>
          </w:tcPr>
          <w:p w14:paraId="0130E8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r>
      <w:tr w14:paraId="0663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450" w:type="dxa"/>
            <w:noWrap/>
            <w:vAlign w:val="center"/>
          </w:tcPr>
          <w:p w14:paraId="57EB8D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476" w:type="dxa"/>
            <w:vMerge w:val="continue"/>
            <w:noWrap w:val="0"/>
            <w:vAlign w:val="center"/>
          </w:tcPr>
          <w:p w14:paraId="66A495B0">
            <w:pPr>
              <w:jc w:val="center"/>
              <w:rPr>
                <w:rFonts w:hint="eastAsia" w:ascii="宋体" w:hAnsi="宋体" w:eastAsia="宋体" w:cs="宋体"/>
                <w:i w:val="0"/>
                <w:iCs w:val="0"/>
                <w:color w:val="auto"/>
                <w:sz w:val="22"/>
                <w:szCs w:val="22"/>
                <w:highlight w:val="none"/>
                <w:u w:val="none"/>
              </w:rPr>
            </w:pPr>
          </w:p>
        </w:tc>
        <w:tc>
          <w:tcPr>
            <w:tcW w:w="706" w:type="dxa"/>
            <w:noWrap w:val="0"/>
            <w:vAlign w:val="center"/>
          </w:tcPr>
          <w:p w14:paraId="74F22B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东门出入口车牌识别恢复</w:t>
            </w:r>
          </w:p>
          <w:p w14:paraId="4D2D69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center"/>
          </w:tcPr>
          <w:p w14:paraId="4128974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1.切断车牌识别设备供电电源，拔出网线及电源线，验电确认无电；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2.使用螺丝刀拆解设备外壳及防护罩，取出摄像头模组及主控板；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3.用软毛刷清除镜头表面、补光灯罩、机身散热槽内的淤泥和灰尘；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4.使用专用镜头清洁液滴在镜头纸上，由中心向外螺旋式轻轻擦拭镜头镀膜表面，去除水渍和油污，严禁干擦；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5.用无水酒精浸润无尘布擦拭主控板、补光灯板、网络接口，去除腐蚀痕迹；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6.将各部件置于通风干燥处自然晾干不少于2</w:t>
            </w:r>
            <w:r>
              <w:rPr>
                <w:rFonts w:hint="eastAsia" w:ascii="宋体" w:hAnsi="宋体" w:cs="宋体"/>
                <w:i w:val="0"/>
                <w:iCs w:val="0"/>
                <w:color w:val="auto"/>
                <w:kern w:val="0"/>
                <w:sz w:val="22"/>
                <w:szCs w:val="22"/>
                <w:highlight w:val="none"/>
                <w:u w:val="none"/>
                <w:lang w:val="en-US" w:eastAsia="zh-CN" w:bidi="ar"/>
              </w:rPr>
              <w:t>4</w:t>
            </w:r>
            <w:r>
              <w:rPr>
                <w:rFonts w:hint="eastAsia" w:ascii="宋体" w:hAnsi="宋体" w:eastAsia="宋体" w:cs="宋体"/>
                <w:i w:val="0"/>
                <w:iCs w:val="0"/>
                <w:color w:val="auto"/>
                <w:kern w:val="0"/>
                <w:sz w:val="22"/>
                <w:szCs w:val="22"/>
                <w:highlight w:val="none"/>
                <w:u w:val="none"/>
                <w:lang w:val="en-US" w:eastAsia="zh-CN" w:bidi="ar"/>
              </w:rPr>
              <w:t>小时，或用热风枪（200℃、低风速）距离30cm均匀吹干；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7.在强光下通过放大镜检查镜头镀膜有无划伤、脱膜、霉斑，检查镜头镜片有无裂纹；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8.检查补光灯LED灯珠有无发黑、不亮，检查红外滤光片切换机构是否卡滞；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9.用万用表测量主控板供电电压，测量网络变压器线圈是否开路；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10.更换损坏的镜头（同焦距同接口）、LED灯珠、主控板等配件；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11.组装外壳，安装支架，接回网线和电源，调整摄像机俯仰角和水平角度；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12.通电后通过客户端软件查看图像清晰度、色彩还原度，在光线充足和夜间补光条件下分别测试车牌识别率，要求识别率≥98%，调整焦距至图像最清晰。</w:t>
            </w:r>
          </w:p>
        </w:tc>
        <w:tc>
          <w:tcPr>
            <w:tcW w:w="1536" w:type="dxa"/>
            <w:vMerge w:val="continue"/>
            <w:noWrap/>
            <w:vAlign w:val="center"/>
          </w:tcPr>
          <w:p w14:paraId="3157E5F6">
            <w:pPr>
              <w:jc w:val="center"/>
              <w:rPr>
                <w:rFonts w:hint="eastAsia" w:ascii="宋体" w:hAnsi="宋体" w:eastAsia="宋体" w:cs="宋体"/>
                <w:i w:val="0"/>
                <w:iCs w:val="0"/>
                <w:color w:val="auto"/>
                <w:sz w:val="22"/>
                <w:szCs w:val="22"/>
                <w:highlight w:val="none"/>
                <w:u w:val="none"/>
              </w:rPr>
            </w:pPr>
          </w:p>
        </w:tc>
        <w:tc>
          <w:tcPr>
            <w:tcW w:w="751" w:type="dxa"/>
            <w:noWrap w:val="0"/>
            <w:vAlign w:val="center"/>
          </w:tcPr>
          <w:p w14:paraId="3C299E20">
            <w:pPr>
              <w:keepNext w:val="0"/>
              <w:keepLines w:val="0"/>
              <w:widowControl/>
              <w:suppressLineNumbers w:val="0"/>
              <w:jc w:val="center"/>
              <w:textAlignment w:val="center"/>
              <w:rPr>
                <w:rFonts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kern w:val="0"/>
                <w:sz w:val="20"/>
                <w:szCs w:val="20"/>
                <w:highlight w:val="none"/>
                <w:u w:val="none"/>
                <w:lang w:val="en-US" w:eastAsia="zh-CN" w:bidi="ar"/>
              </w:rPr>
              <w:t>2</w:t>
            </w:r>
          </w:p>
        </w:tc>
        <w:tc>
          <w:tcPr>
            <w:tcW w:w="589" w:type="dxa"/>
            <w:noWrap/>
            <w:vAlign w:val="center"/>
          </w:tcPr>
          <w:p w14:paraId="403045E3">
            <w:pPr>
              <w:keepNext w:val="0"/>
              <w:keepLines w:val="0"/>
              <w:widowControl/>
              <w:suppressLineNumbers w:val="0"/>
              <w:jc w:val="center"/>
              <w:textAlignment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kern w:val="0"/>
                <w:sz w:val="20"/>
                <w:szCs w:val="20"/>
                <w:highlight w:val="none"/>
                <w:u w:val="none"/>
                <w:lang w:val="en-US" w:eastAsia="zh-CN" w:bidi="ar"/>
              </w:rPr>
              <w:t>套</w:t>
            </w:r>
          </w:p>
        </w:tc>
      </w:tr>
      <w:tr w14:paraId="0566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450" w:type="dxa"/>
            <w:noWrap/>
            <w:vAlign w:val="center"/>
          </w:tcPr>
          <w:p w14:paraId="034527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476" w:type="dxa"/>
            <w:vMerge w:val="continue"/>
            <w:noWrap w:val="0"/>
            <w:vAlign w:val="center"/>
          </w:tcPr>
          <w:p w14:paraId="5EAD7B3E">
            <w:pPr>
              <w:jc w:val="center"/>
              <w:rPr>
                <w:rFonts w:hint="eastAsia" w:ascii="宋体" w:hAnsi="宋体" w:eastAsia="宋体" w:cs="宋体"/>
                <w:i w:val="0"/>
                <w:iCs w:val="0"/>
                <w:color w:val="auto"/>
                <w:sz w:val="22"/>
                <w:szCs w:val="22"/>
                <w:highlight w:val="none"/>
                <w:u w:val="none"/>
              </w:rPr>
            </w:pPr>
          </w:p>
        </w:tc>
        <w:tc>
          <w:tcPr>
            <w:tcW w:w="706" w:type="dxa"/>
            <w:noWrap w:val="0"/>
            <w:vAlign w:val="center"/>
          </w:tcPr>
          <w:p w14:paraId="74E765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东门非机动车闸恢复（不锈钢摆闸、人脸识别）</w:t>
            </w:r>
          </w:p>
          <w:p w14:paraId="0BB293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top"/>
          </w:tcPr>
          <w:p w14:paraId="514843F4">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1.切断设备总电源，验电确认无残余电荷，悬挂"禁止合闸"警示牌；</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2.使用内六角扳手、螺丝刀等工具拆解摆闸机箱外壳、侧板及顶盖，拆下摆臂及离合机构，按顺序摆放并标记；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3.用毛刷和压缩空气（0.3-0.5MPa）清除机箱内部、主板、电机、摆臂传动机构上的淤泥及杂物；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4.将主板、红外传感器板等电路板浸入洗板水中浸泡10-15分钟，用防静电软毛刷沿IC引脚方向轻刷；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5.用无水酒精（浓度≥99.7%）擦拭接线端子、排线接口、传感器探头，去除氧化层及腐蚀痕迹；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6.放入恒温干燥箱设置50±5℃烘干4小时，或使用热风枪（200℃、低风速）距离20cm均匀吹干；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7.用万用表测量主板电源输入对地电阻排除短路，测量各供电模块输出电压（如5V、12V、24V）是否正常；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8.检查电机绕组直流电阻及绝缘电阻（≥0.5MΩ），检查减速箱齿轮有无磨损、卡滞；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9.检查红外传感器发射接收功能，检查摆臂离合机构能否正常吸合分离；</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10.更换损坏的主板、电机、红外传感器、电源模块等配件，使用同规格型号替换；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11.按拆解逆序组装机箱，安装摆臂，调整摆臂位置传感器及限位开关；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12.恢复供电，进行开关闸测试不少于10次，检查摆臂摆动角度、到位精度、红外防夹功能、自动复位功能，确认运行平稳无异常噪音。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13.切断人脸识别设备电源，拔掉网线及电源线，验电确认无电；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14.使用螺丝刀拆解设备外壳及面板，取出摄像头模组及主控板；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15.用软毛刷清除摄像头镜头、屏幕、散热槽内的淤泥和灰尘；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16.用无水酒精浸润无尘布擦拭主控板、摄像头接口、网络接口，去除腐蚀痕迹；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17.用专用镜头清洁液由中心向外螺旋式擦拭摄像头镀膜表面，去除水渍油污；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18.自然晾干不少于2</w:t>
            </w:r>
            <w:r>
              <w:rPr>
                <w:rFonts w:hint="eastAsia" w:ascii="宋体" w:hAnsi="宋体" w:cs="宋体"/>
                <w:i w:val="0"/>
                <w:iCs w:val="0"/>
                <w:color w:val="auto"/>
                <w:kern w:val="0"/>
                <w:sz w:val="22"/>
                <w:szCs w:val="22"/>
                <w:highlight w:val="none"/>
                <w:u w:val="none"/>
                <w:lang w:val="en-US" w:eastAsia="zh-CN" w:bidi="ar"/>
              </w:rPr>
              <w:t>4</w:t>
            </w:r>
            <w:r>
              <w:rPr>
                <w:rFonts w:hint="eastAsia" w:ascii="宋体" w:hAnsi="宋体" w:eastAsia="宋体" w:cs="宋体"/>
                <w:i w:val="0"/>
                <w:iCs w:val="0"/>
                <w:color w:val="auto"/>
                <w:kern w:val="0"/>
                <w:sz w:val="22"/>
                <w:szCs w:val="22"/>
                <w:highlight w:val="none"/>
                <w:u w:val="none"/>
                <w:lang w:val="en-US" w:eastAsia="zh-CN" w:bidi="ar"/>
              </w:rPr>
              <w:t>小时，或使用热风枪（200℃、低风速）距离30cm吹干；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19.通电后检查屏幕显示是否正常，摄像头图像是否清晰，红外补光是否正常；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20.在强光下检查镜头镀膜有无划伤、脱膜，检查屏幕有无进水造成的显示异常；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21.用万用表测量主控板供电电压，检查网络通信是否正常；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22.更换损坏的摄像头模组、屏幕、主控板等配件；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23.组装外壳，安装支架，接回网线和电源；通电后通过管理软件测试人脸识别功能，在不同光照条件下测试识别速度和识别率，要求识别率≥95%，调整摄像头角度至最佳识别区域。</w:t>
            </w:r>
          </w:p>
        </w:tc>
        <w:tc>
          <w:tcPr>
            <w:tcW w:w="1536" w:type="dxa"/>
            <w:vMerge w:val="continue"/>
            <w:noWrap/>
            <w:vAlign w:val="center"/>
          </w:tcPr>
          <w:p w14:paraId="36775489">
            <w:pPr>
              <w:jc w:val="center"/>
              <w:rPr>
                <w:rFonts w:hint="eastAsia" w:ascii="宋体" w:hAnsi="宋体" w:eastAsia="宋体" w:cs="宋体"/>
                <w:i w:val="0"/>
                <w:iCs w:val="0"/>
                <w:color w:val="auto"/>
                <w:sz w:val="22"/>
                <w:szCs w:val="22"/>
                <w:highlight w:val="none"/>
                <w:u w:val="none"/>
              </w:rPr>
            </w:pPr>
          </w:p>
        </w:tc>
        <w:tc>
          <w:tcPr>
            <w:tcW w:w="751" w:type="dxa"/>
            <w:noWrap w:val="0"/>
            <w:vAlign w:val="center"/>
          </w:tcPr>
          <w:p w14:paraId="0680D3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89" w:type="dxa"/>
            <w:noWrap/>
            <w:vAlign w:val="center"/>
          </w:tcPr>
          <w:p w14:paraId="29A955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r>
      <w:tr w14:paraId="07E8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450" w:type="dxa"/>
            <w:noWrap/>
            <w:vAlign w:val="center"/>
          </w:tcPr>
          <w:p w14:paraId="6CCA96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476" w:type="dxa"/>
            <w:vMerge w:val="continue"/>
            <w:noWrap w:val="0"/>
            <w:vAlign w:val="center"/>
          </w:tcPr>
          <w:p w14:paraId="74485A35">
            <w:pPr>
              <w:jc w:val="center"/>
              <w:rPr>
                <w:rFonts w:hint="eastAsia" w:ascii="宋体" w:hAnsi="宋体" w:eastAsia="宋体" w:cs="宋体"/>
                <w:i w:val="0"/>
                <w:iCs w:val="0"/>
                <w:color w:val="auto"/>
                <w:sz w:val="22"/>
                <w:szCs w:val="22"/>
                <w:highlight w:val="none"/>
                <w:u w:val="none"/>
              </w:rPr>
            </w:pPr>
          </w:p>
        </w:tc>
        <w:tc>
          <w:tcPr>
            <w:tcW w:w="706" w:type="dxa"/>
            <w:noWrap w:val="0"/>
            <w:vAlign w:val="center"/>
          </w:tcPr>
          <w:p w14:paraId="60CDAA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东门人行通道闸恢复（翼闸（单/双）、人脸识别）</w:t>
            </w:r>
          </w:p>
          <w:p w14:paraId="4B260F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top"/>
          </w:tcPr>
          <w:p w14:paraId="7C8A9373">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1.切断翼闸电源，验电确认无电，悬挂"禁止合闸"警示牌；</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2.使用内六角扳手拆解翼闸机箱盖板及侧板，取出左右两侧翼板及双套传动机构，按顺序摆放标记，注意左右侧部件分开摆放；</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3.用毛刷和压缩空气（0.3-0.5MPa）清除机箱内部、两侧翼板、双套传动机构上的淤泥杂物；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4.将主板、双路驱动板等电路板浸入洗板水中浸泡10-15分钟，用防静电软毛刷轻刷，无水酒精擦拭接线端子及排线接口；</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5.放入恒温干燥箱设置50±5℃烘干4小时；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6.用万用表测量主板电源输入对地电阻，测量双路驱动板各供电电压是否正常；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7.检查两侧翼板有无变形、开裂，检查双套传动皮带/齿轮有无磨损松脱，检查导轨有无锈蚀卡滞；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8.检查双电机绕组直流电阻及绝缘电阻（≥0.5MΩ），检查两电机参数是否一致；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9.更换损坏的主板、驱动板、电机、翼板、传动皮带等配件，使用同规格型号替换，两侧配件需保持同型号；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10.按拆解逆序组装，分别调整两侧翼板到位传感器及限位开关，调整两侧翼板同步开合角度；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11.恢复供电，进行双翼同步开关测试不少于10次，检查两侧翼板同步性（开合时间差≤0.1秒）、到位精度、防夹功能，运行无异常噪音。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12.切断人脸识别设备电源，拔掉网线及电源线，验电确认无电；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13.使用螺丝刀拆解设备外壳及面板，取出摄像头模组及主控板；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14.用软毛刷清除摄像头镜头、屏幕、散热槽内的淤泥和灰尘；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15.用无水酒精浸润无尘布擦拭主控板、摄像头接口、网络接口，去除腐蚀痕迹；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16.用专用镜头清洁液由中心向外螺旋式擦拭摄像头镀膜表面，去除水渍油污；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17.自然晾干不少于2</w:t>
            </w:r>
            <w:r>
              <w:rPr>
                <w:rFonts w:hint="eastAsia" w:ascii="宋体" w:hAnsi="宋体" w:cs="宋体"/>
                <w:i w:val="0"/>
                <w:iCs w:val="0"/>
                <w:color w:val="auto"/>
                <w:kern w:val="0"/>
                <w:sz w:val="22"/>
                <w:szCs w:val="22"/>
                <w:highlight w:val="none"/>
                <w:u w:val="none"/>
                <w:lang w:val="en-US" w:eastAsia="zh-CN" w:bidi="ar"/>
              </w:rPr>
              <w:t>4</w:t>
            </w:r>
            <w:r>
              <w:rPr>
                <w:rFonts w:hint="eastAsia" w:ascii="宋体" w:hAnsi="宋体" w:eastAsia="宋体" w:cs="宋体"/>
                <w:i w:val="0"/>
                <w:iCs w:val="0"/>
                <w:color w:val="auto"/>
                <w:kern w:val="0"/>
                <w:sz w:val="22"/>
                <w:szCs w:val="22"/>
                <w:highlight w:val="none"/>
                <w:u w:val="none"/>
                <w:lang w:val="en-US" w:eastAsia="zh-CN" w:bidi="ar"/>
              </w:rPr>
              <w:t>小时，或使用热风枪（200℃、低风速）距离30cm吹干；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18.通电后检查屏幕显示是否正常，摄像头图像是否清晰，红外补光是否正常；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19.在强光下检查镜头镀膜有无划伤、脱膜，检查屏幕有无进水造成的显示异常；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20.用万用表测量主控板供电电压，检查网络通信是否正常；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21.更换损坏的摄像头模组、屏幕、主控板等配件；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22.组装外壳，安装支架，接回网线和电源；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23.通电后通过管理软件测试人脸识别功能，在不同光照条件下测试识别速度和识别率，要求识别率≥95%，调整摄像头角度至最佳识别区域。</w:t>
            </w:r>
          </w:p>
        </w:tc>
        <w:tc>
          <w:tcPr>
            <w:tcW w:w="1536" w:type="dxa"/>
            <w:vMerge w:val="continue"/>
            <w:noWrap/>
            <w:vAlign w:val="center"/>
          </w:tcPr>
          <w:p w14:paraId="22DF2DAC">
            <w:pPr>
              <w:jc w:val="center"/>
              <w:rPr>
                <w:rFonts w:hint="eastAsia" w:ascii="宋体" w:hAnsi="宋体" w:eastAsia="宋体" w:cs="宋体"/>
                <w:i w:val="0"/>
                <w:iCs w:val="0"/>
                <w:color w:val="auto"/>
                <w:sz w:val="22"/>
                <w:szCs w:val="22"/>
                <w:highlight w:val="none"/>
                <w:u w:val="none"/>
              </w:rPr>
            </w:pPr>
          </w:p>
        </w:tc>
        <w:tc>
          <w:tcPr>
            <w:tcW w:w="751" w:type="dxa"/>
            <w:noWrap w:val="0"/>
            <w:vAlign w:val="center"/>
          </w:tcPr>
          <w:p w14:paraId="68F5BB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589" w:type="dxa"/>
            <w:noWrap/>
            <w:vAlign w:val="center"/>
          </w:tcPr>
          <w:p w14:paraId="563F2C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r>
      <w:tr w14:paraId="381C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450" w:type="dxa"/>
            <w:noWrap/>
            <w:vAlign w:val="center"/>
          </w:tcPr>
          <w:p w14:paraId="582A75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476" w:type="dxa"/>
            <w:vMerge w:val="continue"/>
            <w:noWrap w:val="0"/>
            <w:vAlign w:val="center"/>
          </w:tcPr>
          <w:p w14:paraId="32402C0F">
            <w:pPr>
              <w:jc w:val="center"/>
              <w:rPr>
                <w:rFonts w:hint="eastAsia" w:ascii="宋体" w:hAnsi="宋体" w:eastAsia="宋体" w:cs="宋体"/>
                <w:i w:val="0"/>
                <w:iCs w:val="0"/>
                <w:color w:val="auto"/>
                <w:sz w:val="22"/>
                <w:szCs w:val="22"/>
                <w:highlight w:val="none"/>
                <w:u w:val="none"/>
              </w:rPr>
            </w:pPr>
          </w:p>
        </w:tc>
        <w:tc>
          <w:tcPr>
            <w:tcW w:w="706" w:type="dxa"/>
            <w:noWrap w:val="0"/>
            <w:vAlign w:val="center"/>
          </w:tcPr>
          <w:p w14:paraId="3DCA53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东门一键呼叫恢复</w:t>
            </w:r>
          </w:p>
          <w:p w14:paraId="1E7B84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top"/>
          </w:tcPr>
          <w:p w14:paraId="2C157229">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1.切断对讲主机电源，拔掉所有连接线缆（电源线、网线、音频线、显示屏排线），验电确认无电，佩戴防静电手环；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2.使用螺丝刀拆解主板固定螺丝，取出主板，持板边缘防止静电损伤；</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3.用防静电毛刷扫除主板正反面淤泥、灰尘，用洗耳球吹除CPU、内存、电容底部等死角杂物；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4.将主板浸入洗板水中浸泡12-15分钟，用防静电软毛刷沿IC引脚方向轻刷，重点清洗CPU、音频编解码芯片、网络芯片区域；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5.用无水酒精擦拭排线插座、网口RJ45针脚、音频接口、SIM卡槽金属触点，去除氧化层；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6.放入恒温干燥箱设置50±3℃烘干5小时，确保BGA芯片底部完全干燥；</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7.在放大镜下检查主板有无铜箔腐蚀断裂、焊点氧化发黑、电容鼓包漏液、网络变压器引脚锈蚀；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8.用万用表测量主板电源接口对地电阻排除短路，测量各供电电压（3.3V、1.8V、1.2V、5V、12V）是否正常；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9.用示波器检查CPU主时钟晶振波形、音频编解码芯片MCLK波形、网络PHY时钟波形是否正常；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10.更换损坏的电容、网络芯片、音频芯片、电源管理IC等元件，使用恒温烙铁（350℃）焊接，BGA芯片需使用BGA返修台；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11.将主板装回机箱，插回各连接线缆，确保排线插接牢固；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12.通电测试，检查主板是否正常启动，操作系统能否加载，网络通信是否正常，音频输入输出通路是否正常，连续运行1小时无死机、重启。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13.切断二维码读头供电电源，拔掉数据线及电源线，验电确认无电；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14.使用螺丝刀拆解读头外壳及面板，取出摄像头模组及解码板；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15.用软毛刷清除读头面板、摄像头窗口、补光灯上的淤泥和灰尘；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16.用无水酒精浸润无尘布擦拭摄像头窗口玻璃、补光灯罩，去除水渍油污；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17.用专用镜头清洁液由中心向外螺旋式擦拭摄像头镀膜表面，确保镜头清晰无遮挡；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18.自然晾干不少于</w:t>
            </w:r>
            <w:r>
              <w:rPr>
                <w:rFonts w:hint="eastAsia" w:ascii="宋体" w:hAnsi="宋体" w:cs="宋体"/>
                <w:i w:val="0"/>
                <w:iCs w:val="0"/>
                <w:color w:val="auto"/>
                <w:kern w:val="0"/>
                <w:sz w:val="22"/>
                <w:szCs w:val="22"/>
                <w:highlight w:val="none"/>
                <w:u w:val="none"/>
                <w:lang w:val="en-US" w:eastAsia="zh-CN" w:bidi="ar"/>
              </w:rPr>
              <w:t>24</w:t>
            </w:r>
            <w:r>
              <w:rPr>
                <w:rFonts w:hint="eastAsia" w:ascii="宋体" w:hAnsi="宋体" w:eastAsia="宋体" w:cs="宋体"/>
                <w:i w:val="0"/>
                <w:iCs w:val="0"/>
                <w:color w:val="auto"/>
                <w:kern w:val="0"/>
                <w:sz w:val="22"/>
                <w:szCs w:val="22"/>
                <w:highlight w:val="none"/>
                <w:u w:val="none"/>
                <w:lang w:val="en-US" w:eastAsia="zh-CN" w:bidi="ar"/>
              </w:rPr>
              <w:t>小时，或用热风枪（200℃、低风速）距离20cm吹干；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19.通电后检查补光灯是否正常亮起，摄像头画面是否清晰，二维码扫描区域是否明亮均匀；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20.用万用表测量解码板供电电压是否正常，检查数据通信接口（如RS485、韦根）信号是否正常；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21.使用标准二维码测试卡在不同距离（10-50cm）和角度下测试扫码识别功能，要求识别率≥98%；</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22.更换损坏的摄像头模组、解码板、补光灯板等配件，使用同规格型号替换；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23.组装外壳，安装固定，接回数据线和电源线；通电后反复测试扫码功能，在强光、弱光、逆光等不同光照条件下测试识别速度和准确率，连续扫码50次，失败次数不超过2次。</w:t>
            </w:r>
          </w:p>
        </w:tc>
        <w:tc>
          <w:tcPr>
            <w:tcW w:w="1536" w:type="dxa"/>
            <w:vMerge w:val="continue"/>
            <w:noWrap/>
            <w:vAlign w:val="center"/>
          </w:tcPr>
          <w:p w14:paraId="7D1EE9FE">
            <w:pPr>
              <w:jc w:val="center"/>
              <w:rPr>
                <w:rFonts w:hint="eastAsia" w:ascii="宋体" w:hAnsi="宋体" w:eastAsia="宋体" w:cs="宋体"/>
                <w:i w:val="0"/>
                <w:iCs w:val="0"/>
                <w:color w:val="auto"/>
                <w:sz w:val="22"/>
                <w:szCs w:val="22"/>
                <w:highlight w:val="none"/>
                <w:u w:val="none"/>
              </w:rPr>
            </w:pPr>
          </w:p>
        </w:tc>
        <w:tc>
          <w:tcPr>
            <w:tcW w:w="751" w:type="dxa"/>
            <w:noWrap w:val="0"/>
            <w:vAlign w:val="center"/>
          </w:tcPr>
          <w:p w14:paraId="778F13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89" w:type="dxa"/>
            <w:noWrap/>
            <w:vAlign w:val="center"/>
          </w:tcPr>
          <w:p w14:paraId="7B4103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r>
      <w:tr w14:paraId="39A8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450" w:type="dxa"/>
            <w:noWrap/>
            <w:vAlign w:val="center"/>
          </w:tcPr>
          <w:p w14:paraId="38FD8E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476" w:type="dxa"/>
            <w:noWrap w:val="0"/>
            <w:vAlign w:val="center"/>
          </w:tcPr>
          <w:p w14:paraId="2496E1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szCs w:val="21"/>
                <w:highlight w:val="none"/>
              </w:rPr>
              <w:t>▲</w:t>
            </w:r>
            <w:r>
              <w:rPr>
                <w:rFonts w:hint="eastAsia" w:ascii="宋体" w:hAnsi="宋体" w:eastAsia="宋体" w:cs="宋体"/>
                <w:i w:val="0"/>
                <w:iCs w:val="0"/>
                <w:color w:val="auto"/>
                <w:kern w:val="0"/>
                <w:sz w:val="22"/>
                <w:szCs w:val="22"/>
                <w:highlight w:val="none"/>
                <w:u w:val="none"/>
                <w:lang w:val="en-US" w:eastAsia="zh-CN" w:bidi="ar"/>
              </w:rPr>
              <w:t>南校门出入口道闸</w:t>
            </w:r>
            <w:r>
              <w:rPr>
                <w:rFonts w:hint="eastAsia" w:ascii="宋体" w:hAnsi="宋体" w:cs="宋体"/>
                <w:i w:val="0"/>
                <w:iCs w:val="0"/>
                <w:color w:val="auto"/>
                <w:kern w:val="0"/>
                <w:sz w:val="22"/>
                <w:szCs w:val="22"/>
                <w:highlight w:val="none"/>
                <w:u w:val="none"/>
                <w:lang w:val="en-US" w:eastAsia="zh-CN" w:bidi="ar"/>
              </w:rPr>
              <w:t>设备修复服务</w:t>
            </w:r>
          </w:p>
        </w:tc>
        <w:tc>
          <w:tcPr>
            <w:tcW w:w="706" w:type="dxa"/>
            <w:noWrap w:val="0"/>
            <w:vAlign w:val="center"/>
          </w:tcPr>
          <w:p w14:paraId="72192DD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南门人行摆闸恢复(亚克力摆闸（单/双）、人脸识别)</w:t>
            </w:r>
          </w:p>
          <w:p w14:paraId="24DA68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top"/>
          </w:tcPr>
          <w:p w14:paraId="44EBD12B">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1.切断摆闸电源，验电确认无电，悬挂"禁止合闸"警示牌；</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2.使用内六角扳手拆解摆闸机箱盖板及侧板，取出左右两侧亚克力摆臂及双套传动机构，按顺序摆放标记，左右侧部件分开摆放，亚克力材质轻拿轻放；</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3.用软毛刷和压缩空气清除机箱内部、两侧亚克力摆臂、双套传动机构上的淤泥杂物，亚克力表面用湿软布轻擦；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4.将主板、双路驱动板等电路板浸入洗板水中浸泡10-15分钟，用防静电软毛刷轻刷，无水酒精擦拭接线端子及排线接口；</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5.放入恒温干燥箱设置50±5℃烘干4小时；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6.用万用表测量主板电源输入对地电阻，测量双路驱动板各供电电压是否正常；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7.检查两侧亚克力摆臂有无开裂、划伤、透明度下降，检查双套传动皮带/齿轮有无磨损松脱，检查导轨有无锈蚀卡滞；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8.检查双电机绕组直流电阻及绝缘电阻（≥0.5MΩ），两电机参数偏差≤5%；</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9.更换损坏的主板、驱动板、电机、亚克力摆臂、传动皮带等配件，使用同规格型号替换，两侧配件需保持同型号，亚克力摆臂需确认尺寸一致；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10.按拆解逆序组装，分别调整两侧摆臂到位传感器及限位开关，调整两侧摆臂同步开合角度；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11.恢复供电，进行双摆同步开关测试不少于10次，检查两侧摆臂同步性（开合时间差≤0.1秒）、到位精度、防夹功能，运行无异常噪音。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12.切断人脸识别设备电源，拔掉网线及电源线，验电确认无电；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13.使用螺丝刀拆解设备外壳及面板，取出摄像头模组及主控板；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14.用软毛刷清除摄像头镜头、屏幕、散热槽内的淤泥和灰尘；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15.用无水酒精浸润无尘布擦拭主控板、摄像头接口、网络接口，去除腐蚀痕迹；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16.用专用镜头清洁液由中心向外螺旋式擦拭摄像头镀膜表面，去除水渍油污；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17.自然晾干不少于2</w:t>
            </w:r>
            <w:r>
              <w:rPr>
                <w:rFonts w:hint="eastAsia" w:ascii="宋体" w:hAnsi="宋体" w:cs="宋体"/>
                <w:i w:val="0"/>
                <w:iCs w:val="0"/>
                <w:color w:val="auto"/>
                <w:kern w:val="0"/>
                <w:sz w:val="22"/>
                <w:szCs w:val="22"/>
                <w:highlight w:val="none"/>
                <w:u w:val="none"/>
                <w:lang w:val="en-US" w:eastAsia="zh-CN" w:bidi="ar"/>
              </w:rPr>
              <w:t>4</w:t>
            </w:r>
            <w:r>
              <w:rPr>
                <w:rFonts w:hint="eastAsia" w:ascii="宋体" w:hAnsi="宋体" w:eastAsia="宋体" w:cs="宋体"/>
                <w:i w:val="0"/>
                <w:iCs w:val="0"/>
                <w:color w:val="auto"/>
                <w:kern w:val="0"/>
                <w:sz w:val="22"/>
                <w:szCs w:val="22"/>
                <w:highlight w:val="none"/>
                <w:u w:val="none"/>
                <w:lang w:val="en-US" w:eastAsia="zh-CN" w:bidi="ar"/>
              </w:rPr>
              <w:t>小时，或使用热风枪（200℃、低风速）距离30cm吹干；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18.通电后检查屏幕显示是否正常，摄像头图像是否清晰，红外补光是否正常；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19.在强光下检查镜头镀膜有无划伤、脱膜，检查屏幕有无进水造成的显示异常；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20.用万用表测量主控板供电电压，检查网络通信是否正常；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21.更换损坏的摄像头模组、屏幕、主控板等配件；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22.组装外壳，安装支架，接回网线和电源；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23.通电后通过管理软件测试人脸识别功能，在不同光照条件下测试识别速度和识别率，要求识别率≥95%，调整摄像头角度至最佳识别区域。</w:t>
            </w:r>
          </w:p>
        </w:tc>
        <w:tc>
          <w:tcPr>
            <w:tcW w:w="1536" w:type="dxa"/>
            <w:noWrap/>
            <w:vAlign w:val="center"/>
          </w:tcPr>
          <w:p w14:paraId="0BBAE5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南大门出入口</w:t>
            </w:r>
          </w:p>
        </w:tc>
        <w:tc>
          <w:tcPr>
            <w:tcW w:w="751" w:type="dxa"/>
            <w:noWrap w:val="0"/>
            <w:vAlign w:val="center"/>
          </w:tcPr>
          <w:p w14:paraId="737CBE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589" w:type="dxa"/>
            <w:noWrap/>
            <w:vAlign w:val="center"/>
          </w:tcPr>
          <w:p w14:paraId="279D76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套 </w:t>
            </w:r>
          </w:p>
        </w:tc>
      </w:tr>
      <w:tr w14:paraId="747F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0" w:hRule="atLeast"/>
        </w:trPr>
        <w:tc>
          <w:tcPr>
            <w:tcW w:w="450" w:type="dxa"/>
            <w:noWrap/>
            <w:vAlign w:val="center"/>
          </w:tcPr>
          <w:p w14:paraId="74E79A6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7</w:t>
            </w:r>
          </w:p>
        </w:tc>
        <w:tc>
          <w:tcPr>
            <w:tcW w:w="1476" w:type="dxa"/>
            <w:noWrap w:val="0"/>
            <w:vAlign w:val="center"/>
          </w:tcPr>
          <w:p w14:paraId="6E7B566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i w:val="0"/>
                <w:iCs w:val="0"/>
                <w:color w:val="auto"/>
                <w:kern w:val="0"/>
                <w:sz w:val="22"/>
                <w:szCs w:val="22"/>
                <w:highlight w:val="none"/>
                <w:u w:val="none"/>
                <w:lang w:val="en-US" w:eastAsia="zh-CN" w:bidi="ar"/>
              </w:rPr>
              <w:t>太行楼地库</w:t>
            </w:r>
            <w:r>
              <w:rPr>
                <w:rFonts w:hint="eastAsia" w:ascii="宋体" w:hAnsi="宋体" w:eastAsia="宋体" w:cs="宋体"/>
                <w:i w:val="0"/>
                <w:iCs w:val="0"/>
                <w:color w:val="auto"/>
                <w:kern w:val="0"/>
                <w:sz w:val="22"/>
                <w:szCs w:val="22"/>
                <w:highlight w:val="none"/>
                <w:u w:val="none"/>
                <w:lang w:val="en-US" w:eastAsia="zh-CN" w:bidi="ar"/>
              </w:rPr>
              <w:t>道闸</w:t>
            </w:r>
            <w:r>
              <w:rPr>
                <w:rFonts w:hint="eastAsia" w:ascii="宋体" w:hAnsi="宋体" w:cs="宋体"/>
                <w:i w:val="0"/>
                <w:iCs w:val="0"/>
                <w:color w:val="auto"/>
                <w:kern w:val="0"/>
                <w:sz w:val="22"/>
                <w:szCs w:val="22"/>
                <w:highlight w:val="none"/>
                <w:u w:val="none"/>
                <w:lang w:val="en-US" w:eastAsia="zh-CN" w:bidi="ar"/>
              </w:rPr>
              <w:t>设备修复服务</w:t>
            </w:r>
          </w:p>
        </w:tc>
        <w:tc>
          <w:tcPr>
            <w:tcW w:w="706" w:type="dxa"/>
            <w:noWrap w:val="0"/>
            <w:vAlign w:val="center"/>
          </w:tcPr>
          <w:p w14:paraId="42ED21A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太行楼地库车行</w:t>
            </w:r>
            <w:r>
              <w:rPr>
                <w:rFonts w:hint="eastAsia" w:ascii="宋体" w:hAnsi="宋体" w:eastAsia="宋体" w:cs="宋体"/>
                <w:i w:val="0"/>
                <w:iCs w:val="0"/>
                <w:color w:val="auto"/>
                <w:kern w:val="0"/>
                <w:sz w:val="22"/>
                <w:szCs w:val="22"/>
                <w:highlight w:val="none"/>
                <w:u w:val="none"/>
                <w:lang w:val="en-US" w:eastAsia="zh-CN" w:bidi="ar"/>
              </w:rPr>
              <w:t>闸恢复</w:t>
            </w:r>
          </w:p>
          <w:p w14:paraId="7B726C29">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3774" w:type="dxa"/>
            <w:noWrap w:val="0"/>
            <w:vAlign w:val="top"/>
          </w:tcPr>
          <w:p w14:paraId="54F6674A">
            <w:pPr>
              <w:keepNext w:val="0"/>
              <w:keepLines w:val="0"/>
              <w:widowControl/>
              <w:suppressLineNumbers w:val="0"/>
              <w:jc w:val="left"/>
              <w:textAlignment w:val="top"/>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1.切断设备总电源及分路电源，验电确认无残余电荷，设置"禁止合闸"警示牌，确保作业安全；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2.使用螺丝刀、扳手等工具拆解车道闸外壳及挡杆、弹簧、连杆等机械部件，按顺序摆放并标记；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3.用铲刀、毛刷清除各部件表面附着的淤泥、泥沙及杂物，重点清理缝隙和死角位；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4.使用高压水枪（压力控制在5-8MPa）冲洗机械部件表面，去除残留污垢；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5.用干净抹布擦干各部件表面水分，对精密部位使用无尘布擦拭；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6.将部件置于通风干燥处自然晾干不少于</w:t>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4小时，或使用工业热风机（温度40-50℃）吹干；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7.目视检查挡杆有无变形、裂纹，检查弹簧弹力是否正常，检查连杆有无弯曲、磨损；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8.用游标卡尺测量磨损部位，检查各机械连接件间隙是否在标准范围内；</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9.对损坏的连杆、弹簧、卡扣等配件，选用同型号规格的原厂或替代配件进行更换；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10.按拆解逆序组装各部件，调整挡杆水平度及弹簧张力，紧固各连接螺栓至规定扭矩；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11.恢复供电，进行升降测试不少于5次，检查运行平稳性、噪音及到位停止精度，确认正常后交付使用。</w:t>
            </w:r>
          </w:p>
        </w:tc>
        <w:tc>
          <w:tcPr>
            <w:tcW w:w="1536" w:type="dxa"/>
            <w:noWrap/>
            <w:vAlign w:val="center"/>
          </w:tcPr>
          <w:p w14:paraId="7B0EDCCA">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太行楼地库</w:t>
            </w:r>
          </w:p>
        </w:tc>
        <w:tc>
          <w:tcPr>
            <w:tcW w:w="751" w:type="dxa"/>
            <w:noWrap w:val="0"/>
            <w:vAlign w:val="center"/>
          </w:tcPr>
          <w:p w14:paraId="2BA23C3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w:t>
            </w:r>
          </w:p>
        </w:tc>
        <w:tc>
          <w:tcPr>
            <w:tcW w:w="589" w:type="dxa"/>
            <w:noWrap/>
            <w:vAlign w:val="center"/>
          </w:tcPr>
          <w:p w14:paraId="3AC205C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套</w:t>
            </w:r>
          </w:p>
        </w:tc>
      </w:tr>
      <w:tr w14:paraId="3741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0" w:hRule="atLeast"/>
        </w:trPr>
        <w:tc>
          <w:tcPr>
            <w:tcW w:w="450" w:type="dxa"/>
            <w:noWrap/>
            <w:vAlign w:val="center"/>
          </w:tcPr>
          <w:p w14:paraId="3B63C6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8</w:t>
            </w:r>
          </w:p>
        </w:tc>
        <w:tc>
          <w:tcPr>
            <w:tcW w:w="1476" w:type="dxa"/>
            <w:noWrap/>
            <w:vAlign w:val="center"/>
          </w:tcPr>
          <w:p w14:paraId="654D3B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szCs w:val="21"/>
                <w:highlight w:val="none"/>
              </w:rPr>
              <w:t>▲</w:t>
            </w:r>
            <w:r>
              <w:rPr>
                <w:rFonts w:hint="eastAsia" w:ascii="宋体" w:hAnsi="宋体" w:eastAsia="宋体" w:cs="宋体"/>
                <w:i w:val="0"/>
                <w:iCs w:val="0"/>
                <w:color w:val="auto"/>
                <w:kern w:val="0"/>
                <w:sz w:val="22"/>
                <w:szCs w:val="22"/>
                <w:highlight w:val="none"/>
                <w:u w:val="none"/>
                <w:lang w:val="en-US" w:eastAsia="zh-CN" w:bidi="ar"/>
              </w:rPr>
              <w:t>学生公寓</w:t>
            </w:r>
          </w:p>
        </w:tc>
        <w:tc>
          <w:tcPr>
            <w:tcW w:w="706" w:type="dxa"/>
            <w:noWrap w:val="0"/>
            <w:vAlign w:val="center"/>
          </w:tcPr>
          <w:p w14:paraId="7951309D">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女生宿恢复(出入人形</w:t>
            </w:r>
            <w:r>
              <w:rPr>
                <w:rFonts w:hint="eastAsia" w:ascii="宋体" w:hAnsi="宋体" w:eastAsia="宋体" w:cs="宋体"/>
                <w:i w:val="0"/>
                <w:iCs w:val="0"/>
                <w:color w:val="auto"/>
                <w:kern w:val="0"/>
                <w:sz w:val="22"/>
                <w:szCs w:val="22"/>
                <w:highlight w:val="none"/>
                <w:u w:val="none"/>
                <w:lang w:val="en-US" w:eastAsia="zh-CN" w:bidi="ar"/>
              </w:rPr>
              <w:t>闸机、人脸识别</w:t>
            </w:r>
            <w:r>
              <w:rPr>
                <w:rFonts w:hint="eastAsia" w:ascii="宋体" w:hAnsi="宋体" w:cs="宋体"/>
                <w:i w:val="0"/>
                <w:iCs w:val="0"/>
                <w:color w:val="auto"/>
                <w:sz w:val="22"/>
                <w:szCs w:val="22"/>
                <w:highlight w:val="none"/>
                <w:u w:val="none"/>
                <w:lang w:val="en-US" w:eastAsia="zh-CN"/>
              </w:rPr>
              <w:t>)</w:t>
            </w:r>
          </w:p>
          <w:p w14:paraId="71E29B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top"/>
          </w:tcPr>
          <w:p w14:paraId="3568566D">
            <w:pPr>
              <w:keepNext w:val="0"/>
              <w:keepLines w:val="0"/>
              <w:widowControl/>
              <w:suppressLineNumbers w:val="0"/>
              <w:jc w:val="left"/>
              <w:textAlignment w:val="top"/>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1.切断闸机电源，验电确认无电，悬挂"禁止合闸"警示牌；</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2.使用内六角扳手拆解闸机机箱盖板及侧板，取出摆臂/翼板及传动机构，按顺序摆放标记；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3.用毛刷和压缩空气（0.3-0.5MPa）清除机箱内部、摆臂/翼板、传动机构上的淤泥杂物；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4.将主板、驱动板等电路板浸入洗板水中浸泡10-15分钟，用防静电软毛刷轻刷，无水酒精擦拭接线端子及排线接口；</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5.放入恒温干燥箱设置50±5℃烘干4小时；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6.用万用表测量主板电源输入对地电阻，测量各供电模块输出电压（5V、12V、24V）是否正常；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7.检查摆臂/翼板有无变形开裂，检查传动皮带/齿轮有无磨损松脱，检查导轨有无锈蚀卡滞；</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8.检查电机绕组直流电阻及绝缘电阻（≥0.5MΩ）；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9.更换损坏的主板、电机、摆臂/翼板、传动皮带等配件，使用同规格型号替换；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10.按拆解逆序组装，调整到位传感器及限位开关；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11.恢复供电，进行开关测试不少于10次，检查动作平稳性、到位精度、防夹功能，运行无异常噪音。</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12.切断人脸识别设备电源，拔掉网线及电源线，验电确认无电；</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13.使用螺丝刀拆解设备外壳及面板，取出摄像头模组及主控板；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14.用软毛刷清除摄像头镜头、屏幕、散热槽内的淤泥和灰尘；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15.用无水酒精浸润无尘布擦拭主控板、摄像头接口、网络接口，去除腐蚀痕迹；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16.用专用镜头清洁液由中心向外螺旋式擦拭摄像头镀膜表面，去除水渍油污；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17.自然晾干不少于2</w:t>
            </w:r>
            <w:r>
              <w:rPr>
                <w:rFonts w:hint="eastAsia" w:ascii="宋体" w:hAnsi="宋体" w:cs="宋体"/>
                <w:i w:val="0"/>
                <w:iCs w:val="0"/>
                <w:color w:val="auto"/>
                <w:kern w:val="0"/>
                <w:sz w:val="22"/>
                <w:szCs w:val="22"/>
                <w:highlight w:val="none"/>
                <w:u w:val="none"/>
                <w:lang w:val="en-US" w:eastAsia="zh-CN" w:bidi="ar"/>
              </w:rPr>
              <w:t>4</w:t>
            </w:r>
            <w:r>
              <w:rPr>
                <w:rFonts w:hint="eastAsia" w:ascii="宋体" w:hAnsi="宋体" w:eastAsia="宋体" w:cs="宋体"/>
                <w:i w:val="0"/>
                <w:iCs w:val="0"/>
                <w:color w:val="auto"/>
                <w:kern w:val="0"/>
                <w:sz w:val="22"/>
                <w:szCs w:val="22"/>
                <w:highlight w:val="none"/>
                <w:u w:val="none"/>
                <w:lang w:val="en-US" w:eastAsia="zh-CN" w:bidi="ar"/>
              </w:rPr>
              <w:t>小时，或使用热风枪（200℃、低风速）距离30cm吹干；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18.通电后检查屏幕显示是否正常，摄像头图像是否清晰，红外补光是否正常；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19.在强光下检查镜头镀膜有无划伤、脱膜，检查屏幕有无进水造成的显示异常；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20.用万用表测量主控板供电电压，检查网络通信是否正常；</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21.更换损坏的摄像头模组、屏幕、主控板等配件；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22.组装外壳，安装支架，接回网线和电源；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23.通电后通过管理软件测试人脸识别功能，在不同光照条件下测试识别速度和识别率，要求识别率≥95%，调整摄像头角度至最佳识别区域。</w:t>
            </w:r>
          </w:p>
        </w:tc>
        <w:tc>
          <w:tcPr>
            <w:tcW w:w="1536" w:type="dxa"/>
            <w:noWrap/>
            <w:vAlign w:val="center"/>
          </w:tcPr>
          <w:p w14:paraId="7B06BC8A">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女生宿舍</w:t>
            </w:r>
          </w:p>
        </w:tc>
        <w:tc>
          <w:tcPr>
            <w:tcW w:w="751" w:type="dxa"/>
            <w:noWrap w:val="0"/>
            <w:vAlign w:val="center"/>
          </w:tcPr>
          <w:p w14:paraId="5F79B1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1</w:t>
            </w:r>
          </w:p>
        </w:tc>
        <w:tc>
          <w:tcPr>
            <w:tcW w:w="589" w:type="dxa"/>
            <w:noWrap/>
            <w:vAlign w:val="center"/>
          </w:tcPr>
          <w:p w14:paraId="32072B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项</w:t>
            </w:r>
          </w:p>
        </w:tc>
      </w:tr>
      <w:tr w14:paraId="72A9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0" w:type="dxa"/>
            <w:vMerge w:val="restart"/>
            <w:noWrap/>
            <w:vAlign w:val="center"/>
          </w:tcPr>
          <w:p w14:paraId="2961531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9</w:t>
            </w:r>
          </w:p>
        </w:tc>
        <w:tc>
          <w:tcPr>
            <w:tcW w:w="1476" w:type="dxa"/>
            <w:vMerge w:val="restart"/>
            <w:noWrap/>
            <w:vAlign w:val="center"/>
          </w:tcPr>
          <w:p w14:paraId="7154C344">
            <w:pPr>
              <w:keepNext w:val="0"/>
              <w:keepLines w:val="0"/>
              <w:widowControl/>
              <w:suppressLineNumbers w:val="0"/>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▲核心组件维修</w:t>
            </w:r>
          </w:p>
        </w:tc>
        <w:tc>
          <w:tcPr>
            <w:tcW w:w="706" w:type="dxa"/>
            <w:noWrap w:val="0"/>
            <w:vAlign w:val="center"/>
          </w:tcPr>
          <w:p w14:paraId="193C0CCA">
            <w:pPr>
              <w:keepNext w:val="0"/>
              <w:keepLines w:val="0"/>
              <w:widowControl/>
              <w:suppressLineNumbers w:val="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翼闸维修</w:t>
            </w:r>
          </w:p>
          <w:p w14:paraId="39A97167">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3774" w:type="dxa"/>
            <w:noWrap w:val="0"/>
            <w:vAlign w:val="top"/>
          </w:tcPr>
          <w:p w14:paraId="186CFD4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1.切断翼闸总电源，拔掉所有连接线缆（电源线、电机线、传感器线），验电确认无电，佩戴防静电手环；</w:t>
            </w:r>
          </w:p>
          <w:p w14:paraId="3822B08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2.使用螺丝刀拆解主板屏蔽盒及固定螺丝，取出主板，持板边缘防止静电损伤；</w:t>
            </w:r>
          </w:p>
          <w:p w14:paraId="1E54138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3.用防静电毛刷扫除主板正反面淤泥、灰尘，用洗耳球吹除IC插座、电容底部等死角杂物；</w:t>
            </w:r>
          </w:p>
          <w:p w14:paraId="20B94DC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4.将主板浸入洗板水中浸泡12-15分钟，用防静电软毛刷沿IC引脚方向轻刷，重点清洗CPU、电机驱动芯片、电源管理芯片区域；</w:t>
            </w:r>
          </w:p>
          <w:p w14:paraId="7B6D88A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5.用无水酒精擦拭排线插座、接线端子、IC插座金属触点，去除氧化层；</w:t>
            </w:r>
          </w:p>
          <w:p w14:paraId="011D3EE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6.放入恒温干燥箱设置50±3℃烘干5小时，确保BGA芯片底部及多层板间完全干燥；</w:t>
            </w:r>
          </w:p>
          <w:p w14:paraId="5BFB0C4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7.在放大镜下检查主板有无铜箔腐蚀断裂、焊点氧化发黑、电容鼓包漏液、MOS管烧蚀痕迹；</w:t>
            </w:r>
          </w:p>
          <w:p w14:paraId="669999B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8.用万用表测量主板电源接口对地电阻排除短路，测量各供电电压（3.3V、5V、12V、24V）是否正常；</w:t>
            </w:r>
          </w:p>
          <w:p w14:paraId="29DA7A2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9.用示波器检查晶振起振波形、电机驱动PWM波形是否正常；</w:t>
            </w:r>
          </w:p>
          <w:p w14:paraId="11660E6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10.更换损坏的电容、驱动芯片、电源管理IC等元件，使用恒温烙铁（350℃）焊接；</w:t>
            </w:r>
          </w:p>
          <w:p w14:paraId="731BB24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11.将主板装回机箱，插回各连接线缆，确保排线插接牢固；</w:t>
            </w:r>
          </w:p>
          <w:p w14:paraId="75A9060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12.通电测试，检查主板是否正常启动，各功能模块（电机驱动、传感器接口、通信接口）是否正常工作，连续运行1小时无异常。</w:t>
            </w:r>
          </w:p>
        </w:tc>
        <w:tc>
          <w:tcPr>
            <w:tcW w:w="1536" w:type="dxa"/>
            <w:noWrap/>
            <w:vAlign w:val="center"/>
          </w:tcPr>
          <w:p w14:paraId="22A725DD">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全校</w:t>
            </w:r>
          </w:p>
        </w:tc>
        <w:tc>
          <w:tcPr>
            <w:tcW w:w="751" w:type="dxa"/>
            <w:noWrap w:val="0"/>
            <w:vAlign w:val="center"/>
          </w:tcPr>
          <w:p w14:paraId="3B449DDF">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 xml:space="preserve">96 </w:t>
            </w:r>
          </w:p>
        </w:tc>
        <w:tc>
          <w:tcPr>
            <w:tcW w:w="589" w:type="dxa"/>
            <w:noWrap/>
            <w:vAlign w:val="center"/>
          </w:tcPr>
          <w:p w14:paraId="518007E5">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台</w:t>
            </w:r>
          </w:p>
        </w:tc>
      </w:tr>
      <w:tr w14:paraId="519B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0" w:type="dxa"/>
            <w:vMerge w:val="continue"/>
            <w:noWrap/>
            <w:vAlign w:val="center"/>
          </w:tcPr>
          <w:p w14:paraId="51DA449B">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76" w:type="dxa"/>
            <w:vMerge w:val="continue"/>
            <w:noWrap/>
            <w:vAlign w:val="center"/>
          </w:tcPr>
          <w:p w14:paraId="45473AD1">
            <w:pPr>
              <w:keepNext w:val="0"/>
              <w:keepLines w:val="0"/>
              <w:widowControl/>
              <w:suppressLineNumbers w:val="0"/>
              <w:jc w:val="center"/>
              <w:textAlignment w:val="center"/>
              <w:rPr>
                <w:rFonts w:hint="eastAsia" w:ascii="宋体" w:hAnsi="宋体" w:cs="宋体"/>
                <w:color w:val="auto"/>
                <w:szCs w:val="21"/>
                <w:highlight w:val="none"/>
                <w:lang w:val="en-US" w:eastAsia="zh-CN"/>
              </w:rPr>
            </w:pPr>
          </w:p>
        </w:tc>
        <w:tc>
          <w:tcPr>
            <w:tcW w:w="706" w:type="dxa"/>
            <w:noWrap w:val="0"/>
            <w:vAlign w:val="center"/>
          </w:tcPr>
          <w:p w14:paraId="50B85FA8">
            <w:pPr>
              <w:keepNext w:val="0"/>
              <w:keepLines w:val="0"/>
              <w:widowControl/>
              <w:suppressLineNumbers w:val="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摆闸维修</w:t>
            </w:r>
          </w:p>
          <w:p w14:paraId="0D966150">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3774" w:type="dxa"/>
            <w:noWrap w:val="0"/>
            <w:vAlign w:val="top"/>
          </w:tcPr>
          <w:p w14:paraId="5B34DF7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1.切断摆闸总电源，拔掉所有连接线缆（电源线、电机线、传感器线），验电确认无电，佩戴防静电手环；</w:t>
            </w:r>
          </w:p>
          <w:p w14:paraId="7544343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2.使用螺丝刀拆解主板屏蔽盒及固定螺丝，取出主板，持板边缘防止静电损伤；</w:t>
            </w:r>
          </w:p>
          <w:p w14:paraId="4B33347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3.用防静电毛刷扫除主板正反面淤泥、灰尘，用洗耳球吹除IC插座、电容底部等死角杂物；</w:t>
            </w:r>
          </w:p>
          <w:p w14:paraId="4B32AB0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4.将主板浸入洗板水中浸泡12-15分钟，用防静电软毛刷沿IC引脚方向轻刷，重点清洗CPU、电机驱动芯片、电源管理芯片区域；</w:t>
            </w:r>
          </w:p>
          <w:p w14:paraId="0CFBBD1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5.用无水酒精擦拭排线插座、接线端子、IC插座金属触点，去除氧化层；</w:t>
            </w:r>
          </w:p>
          <w:p w14:paraId="21B1D0E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6.放入恒温干燥箱设置50±3℃烘干5小时，确保BGA芯片底部及多层板间完全干燥；</w:t>
            </w:r>
          </w:p>
          <w:p w14:paraId="0604E82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7.在放大镜下检查主板有无铜箔腐蚀断裂、焊点氧化发黑、电容鼓包漏液、MOS管烧蚀痕迹；</w:t>
            </w:r>
          </w:p>
          <w:p w14:paraId="2BC7587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8.用万用表测量主板电源接口对地电阻排除短路，测量各供电电压（3.3V、5V、12V、24V）是否正常；</w:t>
            </w:r>
          </w:p>
          <w:p w14:paraId="6FD13CC3">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9.用示波器检查晶振起振波形、电机驱动PWM波形是否正常；</w:t>
            </w:r>
          </w:p>
          <w:p w14:paraId="25500D45">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10.更换损坏的电容、驱动芯片、电源管理IC等元件，使用恒温烙铁（350℃）焊接；</w:t>
            </w:r>
          </w:p>
          <w:p w14:paraId="2129C2A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11.将主板装回机箱，插回各连接线缆，确保排线插接牢固；</w:t>
            </w:r>
          </w:p>
          <w:p w14:paraId="598A3904">
            <w:pPr>
              <w:keepNext w:val="0"/>
              <w:keepLines w:val="0"/>
              <w:widowControl/>
              <w:suppressLineNumbers w:val="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12.通电测试，检查主板是否正常启动，各功能模块（电机驱动、传感器接口、通信接口）是否正常工作，连续运行1小时无异常。 </w:t>
            </w:r>
          </w:p>
          <w:p w14:paraId="3B43FE7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536" w:type="dxa"/>
            <w:noWrap/>
            <w:vAlign w:val="center"/>
          </w:tcPr>
          <w:p w14:paraId="69FBB46F">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全校</w:t>
            </w:r>
          </w:p>
          <w:p w14:paraId="2B708678">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751" w:type="dxa"/>
            <w:noWrap w:val="0"/>
            <w:vAlign w:val="center"/>
          </w:tcPr>
          <w:p w14:paraId="429703FD">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17</w:t>
            </w:r>
          </w:p>
        </w:tc>
        <w:tc>
          <w:tcPr>
            <w:tcW w:w="589" w:type="dxa"/>
            <w:noWrap/>
            <w:vAlign w:val="center"/>
          </w:tcPr>
          <w:p w14:paraId="5A6EDA5D">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台</w:t>
            </w:r>
          </w:p>
        </w:tc>
      </w:tr>
      <w:tr w14:paraId="2E72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450" w:type="dxa"/>
            <w:vMerge w:val="continue"/>
            <w:noWrap/>
            <w:vAlign w:val="center"/>
          </w:tcPr>
          <w:p w14:paraId="49AE9E3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76" w:type="dxa"/>
            <w:vMerge w:val="continue"/>
            <w:noWrap/>
            <w:vAlign w:val="center"/>
          </w:tcPr>
          <w:p w14:paraId="33D24ED3">
            <w:pPr>
              <w:keepNext w:val="0"/>
              <w:keepLines w:val="0"/>
              <w:widowControl/>
              <w:suppressLineNumbers w:val="0"/>
              <w:jc w:val="center"/>
              <w:textAlignment w:val="center"/>
              <w:rPr>
                <w:rFonts w:hint="eastAsia" w:ascii="宋体" w:hAnsi="宋体" w:cs="宋体"/>
                <w:color w:val="auto"/>
                <w:szCs w:val="21"/>
                <w:highlight w:val="none"/>
                <w:lang w:val="en-US" w:eastAsia="zh-CN"/>
              </w:rPr>
            </w:pPr>
          </w:p>
        </w:tc>
        <w:tc>
          <w:tcPr>
            <w:tcW w:w="706" w:type="dxa"/>
            <w:noWrap w:val="0"/>
            <w:vAlign w:val="center"/>
          </w:tcPr>
          <w:p w14:paraId="6D46516D">
            <w:pPr>
              <w:keepNext w:val="0"/>
              <w:keepLines w:val="0"/>
              <w:widowControl/>
              <w:suppressLineNumbers w:val="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道闸维修</w:t>
            </w:r>
          </w:p>
          <w:p w14:paraId="0F694F9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3774" w:type="dxa"/>
            <w:noWrap w:val="0"/>
            <w:vAlign w:val="top"/>
          </w:tcPr>
          <w:p w14:paraId="0EDE79A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 </w:t>
            </w:r>
          </w:p>
          <w:p w14:paraId="7BF31C4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1.切断闸机总电源，拔掉所有连接线缆，验电确认无电，佩戴防静电手环；</w:t>
            </w:r>
          </w:p>
          <w:p w14:paraId="2CDD283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2.拆解负机主板屏蔽盒及固定螺丝，取出主板，持板边缘防止静电损伤；</w:t>
            </w:r>
          </w:p>
          <w:p w14:paraId="1946733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3.用防静电毛刷扫除主板正反面淤泥、灰尘，用洗耳球吹除IC插座、电容底部杂物；</w:t>
            </w:r>
          </w:p>
          <w:p w14:paraId="54A545B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4.将主板浸入洗板水中浸泡12-15分钟，用防静电软毛刷沿IC引脚方向轻刷，重点清洗主控芯片、通信接口芯片、电机驱动芯片区域；</w:t>
            </w:r>
          </w:p>
          <w:p w14:paraId="15F6853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5.用无水酒精擦拭排线插座、接线端子、通信接口金属触点，去除氧化层；</w:t>
            </w:r>
          </w:p>
          <w:p w14:paraId="584A4D03">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6.放入恒温干燥箱设置50±3℃烘干5小时，确保BGA芯片底部完全干燥；</w:t>
            </w:r>
          </w:p>
          <w:p w14:paraId="0693954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7.在放大镜下检查主板有无铜箔腐蚀断裂、焊点氧化发黑、电容鼓包漏液、MOS管烧蚀痕迹；</w:t>
            </w:r>
          </w:p>
          <w:p w14:paraId="0E5B8CF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8.用万用表测量主板电源接口对地电阻排除短路，测量各供电电压（3.3V、5V、12V、24V）是否正常；</w:t>
            </w:r>
          </w:p>
          <w:p w14:paraId="26BCF28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9.用示波器检查主控芯片晶振起振波形、通信接口信号波形、电机驱动PWM波形是否正常；</w:t>
            </w:r>
          </w:p>
          <w:p w14:paraId="4C9766C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10.更换损坏的电容、驱动芯片、通信芯片、电源管理IC等元件，使用恒温烙铁（350℃）焊接；</w:t>
            </w:r>
          </w:p>
          <w:p w14:paraId="20C9429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11.将主板装回机箱，插回各连接线缆，确保排线插接牢固；</w:t>
            </w:r>
          </w:p>
          <w:p w14:paraId="66F4173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12.通电测试，检查主板是否正常启动，与系统的通信是否正常，各功能模块是否正常工作，连续运行1小时无异常。</w:t>
            </w:r>
          </w:p>
        </w:tc>
        <w:tc>
          <w:tcPr>
            <w:tcW w:w="1536" w:type="dxa"/>
            <w:noWrap/>
            <w:vAlign w:val="center"/>
          </w:tcPr>
          <w:p w14:paraId="11CAD7DF">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全校</w:t>
            </w:r>
          </w:p>
          <w:p w14:paraId="0287984B">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p>
        </w:tc>
        <w:tc>
          <w:tcPr>
            <w:tcW w:w="751" w:type="dxa"/>
            <w:noWrap w:val="0"/>
            <w:vAlign w:val="center"/>
          </w:tcPr>
          <w:p w14:paraId="43B8DE76">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w:t>
            </w:r>
          </w:p>
        </w:tc>
        <w:tc>
          <w:tcPr>
            <w:tcW w:w="589" w:type="dxa"/>
            <w:noWrap/>
            <w:vAlign w:val="center"/>
          </w:tcPr>
          <w:p w14:paraId="0D245EDF">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台</w:t>
            </w:r>
          </w:p>
        </w:tc>
      </w:tr>
      <w:tr w14:paraId="4E30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450" w:type="dxa"/>
            <w:vMerge w:val="continue"/>
            <w:noWrap/>
            <w:vAlign w:val="center"/>
          </w:tcPr>
          <w:p w14:paraId="73D7556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76" w:type="dxa"/>
            <w:vMerge w:val="continue"/>
            <w:noWrap/>
            <w:vAlign w:val="center"/>
          </w:tcPr>
          <w:p w14:paraId="00190ED3">
            <w:pPr>
              <w:keepNext w:val="0"/>
              <w:keepLines w:val="0"/>
              <w:widowControl/>
              <w:suppressLineNumbers w:val="0"/>
              <w:jc w:val="center"/>
              <w:textAlignment w:val="center"/>
              <w:rPr>
                <w:rFonts w:hint="eastAsia" w:ascii="宋体" w:hAnsi="宋体" w:cs="宋体"/>
                <w:color w:val="auto"/>
                <w:szCs w:val="21"/>
                <w:highlight w:val="none"/>
                <w:lang w:val="en-US" w:eastAsia="zh-CN"/>
              </w:rPr>
            </w:pPr>
          </w:p>
        </w:tc>
        <w:tc>
          <w:tcPr>
            <w:tcW w:w="706" w:type="dxa"/>
            <w:noWrap w:val="0"/>
            <w:vAlign w:val="center"/>
          </w:tcPr>
          <w:p w14:paraId="4E207D2D">
            <w:pPr>
              <w:keepNext w:val="0"/>
              <w:keepLines w:val="0"/>
              <w:widowControl/>
              <w:suppressLineNumbers w:val="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车牌识别一体机维修</w:t>
            </w:r>
          </w:p>
          <w:p w14:paraId="0E6E049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3774" w:type="dxa"/>
            <w:noWrap w:val="0"/>
            <w:vAlign w:val="top"/>
          </w:tcPr>
          <w:p w14:paraId="75B70CB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1.切断控制器总电源，拔掉所有连接线缆（电源线、数据线、控制线），验电确认无残留电压；</w:t>
            </w:r>
          </w:p>
          <w:p w14:paraId="46E4153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2.使用螺丝刀拆解控制器机箱面板及侧板，取出主板，注意持板边缘防静电；</w:t>
            </w:r>
          </w:p>
          <w:p w14:paraId="4A27512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3.用防静电毛刷扫除主板表面淤泥、灰尘，用吸尘器吸除I/O接口、插槽内的杂物；</w:t>
            </w:r>
          </w:p>
          <w:p w14:paraId="095647B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4.将主板浸入洗板水中浸泡12-15分钟，用防静电软毛刷沿IC引脚方向轻轻刷洗，重点清洗CPU座、内存槽、芯片组区域；</w:t>
            </w:r>
          </w:p>
          <w:p w14:paraId="6D7C96A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5.用无水酒精擦拭PCI-E插槽、内存插槽、SATA接口、I/O接口的金属触点，去除氧化层；</w:t>
            </w:r>
          </w:p>
          <w:p w14:paraId="3102ABA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6.放入恒温干燥箱设置50±3℃烘干6小时，确保主板完全干燥，尤其是BGA芯片底部；</w:t>
            </w:r>
          </w:p>
          <w:p w14:paraId="0FDD3DA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7.在放大镜下目视检查主板有无铜箔腐蚀断裂、焊点氧化发黑、电容鼓包漏液、MOS管烧蚀痕迹；</w:t>
            </w:r>
          </w:p>
          <w:p w14:paraId="543F64D3">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8.用万用表测量主板电源接口对地电阻，排除短路；测量ATX电源各引脚电压输出；</w:t>
            </w:r>
          </w:p>
          <w:p w14:paraId="62CCA55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9.用示波器检查CPU供电PWM波形、时钟芯片输出波形是否正常；</w:t>
            </w:r>
          </w:p>
          <w:p w14:paraId="3E77454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10.更换损坏的电容、MOS管、I/O芯片等元件，使用恒温烙铁（350℃）或BGA返修台焊接；</w:t>
            </w:r>
          </w:p>
          <w:p w14:paraId="6B5ED74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11.将主板装回机箱，插回内存、CPU（如已拆除），连接各线缆，安装驱动；</w:t>
            </w:r>
          </w:p>
          <w:p w14:paraId="54434005">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12.通电开机，观察BIOS自检是否通过，操作系统能否正常启动，运行诊断软件测试各接口功能（USB、网口、串口等），连续运行2小时无死机、重启为合格。</w:t>
            </w:r>
          </w:p>
          <w:p w14:paraId="0ED00E6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3</w:t>
            </w:r>
            <w:r>
              <w:rPr>
                <w:rFonts w:hint="eastAsia" w:ascii="宋体" w:hAnsi="宋体" w:eastAsia="宋体" w:cs="宋体"/>
                <w:i w:val="0"/>
                <w:iCs w:val="0"/>
                <w:color w:val="auto"/>
                <w:kern w:val="0"/>
                <w:sz w:val="22"/>
                <w:szCs w:val="22"/>
                <w:highlight w:val="none"/>
                <w:u w:val="none"/>
                <w:lang w:val="en-US" w:eastAsia="zh-CN" w:bidi="ar"/>
              </w:rPr>
              <w:t>.切断摄像头供电电源，拔掉视频线/网线及电源线，验电确认无电；</w:t>
            </w:r>
          </w:p>
          <w:p w14:paraId="0A01133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14</w:t>
            </w:r>
            <w:r>
              <w:rPr>
                <w:rFonts w:hint="eastAsia" w:ascii="宋体" w:hAnsi="宋体" w:eastAsia="宋体" w:cs="宋体"/>
                <w:i w:val="0"/>
                <w:iCs w:val="0"/>
                <w:color w:val="auto"/>
                <w:kern w:val="0"/>
                <w:sz w:val="22"/>
                <w:szCs w:val="22"/>
                <w:highlight w:val="none"/>
                <w:u w:val="none"/>
                <w:lang w:val="en-US" w:eastAsia="zh-CN" w:bidi="ar"/>
              </w:rPr>
              <w:t>.使用内六角扳手拆解摄像头外壳及遮阳罩，拆下主板及镜头模组总成；</w:t>
            </w:r>
          </w:p>
          <w:p w14:paraId="028F635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15</w:t>
            </w:r>
            <w:r>
              <w:rPr>
                <w:rFonts w:hint="eastAsia" w:ascii="宋体" w:hAnsi="宋体" w:eastAsia="宋体" w:cs="宋体"/>
                <w:i w:val="0"/>
                <w:iCs w:val="0"/>
                <w:color w:val="auto"/>
                <w:kern w:val="0"/>
                <w:sz w:val="22"/>
                <w:szCs w:val="22"/>
                <w:highlight w:val="none"/>
                <w:u w:val="none"/>
                <w:lang w:val="en-US" w:eastAsia="zh-CN" w:bidi="ar"/>
              </w:rPr>
              <w:t>.用软毛刷清除外壳内部、主板表面、散热片的淤泥和杂物；</w:t>
            </w:r>
          </w:p>
          <w:p w14:paraId="091F317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16</w:t>
            </w:r>
            <w:r>
              <w:rPr>
                <w:rFonts w:hint="eastAsia" w:ascii="宋体" w:hAnsi="宋体" w:eastAsia="宋体" w:cs="宋体"/>
                <w:i w:val="0"/>
                <w:iCs w:val="0"/>
                <w:color w:val="auto"/>
                <w:kern w:val="0"/>
                <w:sz w:val="22"/>
                <w:szCs w:val="22"/>
                <w:highlight w:val="none"/>
                <w:u w:val="none"/>
                <w:lang w:val="en-US" w:eastAsia="zh-CN" w:bidi="ar"/>
              </w:rPr>
              <w:t>.将主板浸入洗板水中浸泡8-10分钟，用防静电软毛刷刷洗图像传感器周边电路及元件引脚；</w:t>
            </w:r>
          </w:p>
          <w:p w14:paraId="56EF2F5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17</w:t>
            </w:r>
            <w:r>
              <w:rPr>
                <w:rFonts w:hint="eastAsia" w:ascii="宋体" w:hAnsi="宋体" w:eastAsia="宋体" w:cs="宋体"/>
                <w:i w:val="0"/>
                <w:iCs w:val="0"/>
                <w:color w:val="auto"/>
                <w:kern w:val="0"/>
                <w:sz w:val="22"/>
                <w:szCs w:val="22"/>
                <w:highlight w:val="none"/>
                <w:u w:val="none"/>
                <w:lang w:val="en-US" w:eastAsia="zh-CN" w:bidi="ar"/>
              </w:rPr>
              <w:t>.用无水酒精浸润无尘布擦拭镜头外表面、视频接口、网口RJ45针脚，去除氧化层；</w:t>
            </w:r>
          </w:p>
          <w:p w14:paraId="6A9702E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18</w:t>
            </w:r>
            <w:r>
              <w:rPr>
                <w:rFonts w:hint="eastAsia" w:ascii="宋体" w:hAnsi="宋体" w:eastAsia="宋体" w:cs="宋体"/>
                <w:i w:val="0"/>
                <w:iCs w:val="0"/>
                <w:color w:val="auto"/>
                <w:kern w:val="0"/>
                <w:sz w:val="22"/>
                <w:szCs w:val="22"/>
                <w:highlight w:val="none"/>
                <w:u w:val="none"/>
                <w:lang w:val="en-US" w:eastAsia="zh-CN" w:bidi="ar"/>
              </w:rPr>
              <w:t>.放入恒温干燥箱设置45±3℃烘干3小时，或使用热风枪（200℃、低风速）距离20cm吹干；</w:t>
            </w:r>
          </w:p>
          <w:p w14:paraId="59A2172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19</w:t>
            </w:r>
            <w:r>
              <w:rPr>
                <w:rFonts w:hint="eastAsia" w:ascii="宋体" w:hAnsi="宋体" w:eastAsia="宋体" w:cs="宋体"/>
                <w:i w:val="0"/>
                <w:iCs w:val="0"/>
                <w:color w:val="auto"/>
                <w:kern w:val="0"/>
                <w:sz w:val="22"/>
                <w:szCs w:val="22"/>
                <w:highlight w:val="none"/>
                <w:u w:val="none"/>
                <w:lang w:val="en-US" w:eastAsia="zh-CN" w:bidi="ar"/>
              </w:rPr>
              <w:t>.用万用表测量主板电源输入对地电阻，排除短路；测量各供电模块输出是否正常；</w:t>
            </w:r>
          </w:p>
          <w:p w14:paraId="5CBBD1F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20</w:t>
            </w:r>
            <w:r>
              <w:rPr>
                <w:rFonts w:hint="eastAsia" w:ascii="宋体" w:hAnsi="宋体" w:eastAsia="宋体" w:cs="宋体"/>
                <w:i w:val="0"/>
                <w:iCs w:val="0"/>
                <w:color w:val="auto"/>
                <w:kern w:val="0"/>
                <w:sz w:val="22"/>
                <w:szCs w:val="22"/>
                <w:highlight w:val="none"/>
                <w:u w:val="none"/>
                <w:lang w:val="en-US" w:eastAsia="zh-CN" w:bidi="ar"/>
              </w:rPr>
              <w:t>.通电后通过监视器查看图像，检查有无花屏、黑屏、条纹、噪点过多等异常；</w:t>
            </w:r>
          </w:p>
          <w:p w14:paraId="49229A8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21</w:t>
            </w:r>
            <w:r>
              <w:rPr>
                <w:rFonts w:hint="eastAsia" w:ascii="宋体" w:hAnsi="宋体" w:eastAsia="宋体" w:cs="宋体"/>
                <w:i w:val="0"/>
                <w:iCs w:val="0"/>
                <w:color w:val="auto"/>
                <w:kern w:val="0"/>
                <w:sz w:val="22"/>
                <w:szCs w:val="22"/>
                <w:highlight w:val="none"/>
                <w:u w:val="none"/>
                <w:lang w:val="en-US" w:eastAsia="zh-CN" w:bidi="ar"/>
              </w:rPr>
              <w:t>.检查图像传感器表面有无灰尘、水渍痕迹，用气吹清洁传感器表面，严禁触碰；</w:t>
            </w:r>
          </w:p>
          <w:p w14:paraId="1ED3ABA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22</w:t>
            </w:r>
            <w:r>
              <w:rPr>
                <w:rFonts w:hint="eastAsia" w:ascii="宋体" w:hAnsi="宋体" w:eastAsia="宋体" w:cs="宋体"/>
                <w:i w:val="0"/>
                <w:iCs w:val="0"/>
                <w:color w:val="auto"/>
                <w:kern w:val="0"/>
                <w:sz w:val="22"/>
                <w:szCs w:val="22"/>
                <w:highlight w:val="none"/>
                <w:u w:val="none"/>
                <w:lang w:val="en-US" w:eastAsia="zh-CN" w:bidi="ar"/>
              </w:rPr>
              <w:t>.更换损坏的镜头（同规格焦距）、图像传感器板、电源板等部件；</w:t>
            </w:r>
          </w:p>
          <w:p w14:paraId="148356F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23</w:t>
            </w:r>
            <w:r>
              <w:rPr>
                <w:rFonts w:hint="eastAsia" w:ascii="宋体" w:hAnsi="宋体" w:eastAsia="宋体" w:cs="宋体"/>
                <w:i w:val="0"/>
                <w:iCs w:val="0"/>
                <w:color w:val="auto"/>
                <w:kern w:val="0"/>
                <w:sz w:val="22"/>
                <w:szCs w:val="22"/>
                <w:highlight w:val="none"/>
                <w:u w:val="none"/>
                <w:lang w:val="en-US" w:eastAsia="zh-CN" w:bidi="ar"/>
              </w:rPr>
              <w:t>.组装外壳，安装密封圈防止进水，紧固螺丝，接回线缆；</w:t>
            </w:r>
          </w:p>
          <w:p w14:paraId="5E93EC5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24</w:t>
            </w:r>
            <w:r>
              <w:rPr>
                <w:rFonts w:hint="eastAsia" w:ascii="宋体" w:hAnsi="宋体" w:eastAsia="宋体" w:cs="宋体"/>
                <w:i w:val="0"/>
                <w:iCs w:val="0"/>
                <w:color w:val="auto"/>
                <w:kern w:val="0"/>
                <w:sz w:val="22"/>
                <w:szCs w:val="22"/>
                <w:highlight w:val="none"/>
                <w:u w:val="none"/>
                <w:lang w:val="en-US" w:eastAsia="zh-CN" w:bidi="ar"/>
              </w:rPr>
              <w:t>.通电后调整焦距和光圈至图像最清晰，测试红外夜视功能（光照度低于0.01Lux时自动切换），检查水平/垂直转动功能（若为球机），确认画面无抖动。</w:t>
            </w:r>
          </w:p>
        </w:tc>
        <w:tc>
          <w:tcPr>
            <w:tcW w:w="1536" w:type="dxa"/>
            <w:noWrap/>
            <w:vAlign w:val="center"/>
          </w:tcPr>
          <w:p w14:paraId="7F079EDC">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全校</w:t>
            </w:r>
          </w:p>
          <w:p w14:paraId="57C75733">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751" w:type="dxa"/>
            <w:noWrap w:val="0"/>
            <w:vAlign w:val="center"/>
          </w:tcPr>
          <w:p w14:paraId="0995006A">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w:t>
            </w:r>
          </w:p>
        </w:tc>
        <w:tc>
          <w:tcPr>
            <w:tcW w:w="589" w:type="dxa"/>
            <w:noWrap/>
            <w:vAlign w:val="center"/>
          </w:tcPr>
          <w:p w14:paraId="73C47965">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台</w:t>
            </w:r>
          </w:p>
        </w:tc>
      </w:tr>
      <w:tr w14:paraId="26CC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450" w:type="dxa"/>
            <w:vMerge w:val="continue"/>
            <w:noWrap/>
            <w:vAlign w:val="center"/>
          </w:tcPr>
          <w:p w14:paraId="66D4F0C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476" w:type="dxa"/>
            <w:vMerge w:val="continue"/>
            <w:noWrap/>
            <w:vAlign w:val="center"/>
          </w:tcPr>
          <w:p w14:paraId="78E10651">
            <w:pPr>
              <w:keepNext w:val="0"/>
              <w:keepLines w:val="0"/>
              <w:widowControl/>
              <w:suppressLineNumbers w:val="0"/>
              <w:jc w:val="center"/>
              <w:textAlignment w:val="center"/>
              <w:rPr>
                <w:rFonts w:hint="eastAsia" w:ascii="宋体" w:hAnsi="宋体" w:cs="宋体"/>
                <w:color w:val="auto"/>
                <w:szCs w:val="21"/>
                <w:highlight w:val="none"/>
                <w:lang w:val="en-US" w:eastAsia="zh-CN"/>
              </w:rPr>
            </w:pPr>
          </w:p>
        </w:tc>
        <w:tc>
          <w:tcPr>
            <w:tcW w:w="706" w:type="dxa"/>
            <w:noWrap w:val="0"/>
            <w:vAlign w:val="center"/>
          </w:tcPr>
          <w:p w14:paraId="3033B2B0">
            <w:pPr>
              <w:keepNext w:val="0"/>
              <w:keepLines w:val="0"/>
              <w:widowControl/>
              <w:suppressLineNumbers w:val="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人员身份识别模块维修</w:t>
            </w:r>
          </w:p>
          <w:p w14:paraId="6BF754C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3774" w:type="dxa"/>
            <w:noWrap w:val="0"/>
            <w:vAlign w:val="top"/>
          </w:tcPr>
          <w:p w14:paraId="176F39C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1.切断人脸识别设备电源，拔掉网线及电源线，验电确认无电；</w:t>
            </w:r>
          </w:p>
          <w:p w14:paraId="092CDCD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2.使用螺丝刀拆解设备外壳及面板，取出摄像头模组及主控板；</w:t>
            </w:r>
          </w:p>
          <w:p w14:paraId="7F3CDFA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3.用软毛刷清除摄像头镜头、屏幕、散热槽内的淤泥和灰尘；</w:t>
            </w:r>
          </w:p>
          <w:p w14:paraId="41FD514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4.用无水酒精浸润无尘布擦拭主控板、摄像头接口、网络接口，去除腐蚀痕迹；</w:t>
            </w:r>
          </w:p>
          <w:p w14:paraId="5F8CFDA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5.用专用镜头清洁液由中心向外螺旋式擦拭摄像头镀膜表面，去除水渍油污；</w:t>
            </w:r>
          </w:p>
          <w:p w14:paraId="2CD6A7B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6.自然晾干不少于2</w:t>
            </w:r>
            <w:r>
              <w:rPr>
                <w:rFonts w:hint="eastAsia" w:ascii="宋体" w:hAnsi="宋体" w:cs="宋体"/>
                <w:i w:val="0"/>
                <w:iCs w:val="0"/>
                <w:color w:val="auto"/>
                <w:kern w:val="0"/>
                <w:sz w:val="22"/>
                <w:szCs w:val="22"/>
                <w:highlight w:val="none"/>
                <w:u w:val="none"/>
                <w:lang w:val="en-US" w:eastAsia="zh-CN" w:bidi="ar"/>
              </w:rPr>
              <w:t>4</w:t>
            </w:r>
            <w:r>
              <w:rPr>
                <w:rFonts w:hint="eastAsia" w:ascii="宋体" w:hAnsi="宋体" w:eastAsia="宋体" w:cs="宋体"/>
                <w:i w:val="0"/>
                <w:iCs w:val="0"/>
                <w:color w:val="auto"/>
                <w:kern w:val="0"/>
                <w:sz w:val="22"/>
                <w:szCs w:val="22"/>
                <w:highlight w:val="none"/>
                <w:u w:val="none"/>
                <w:lang w:val="en-US" w:eastAsia="zh-CN" w:bidi="ar"/>
              </w:rPr>
              <w:t>小时，或使用热风枪（200℃、低风速）距离30cm吹干；</w:t>
            </w:r>
          </w:p>
          <w:p w14:paraId="11C4860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7.通电后检查屏幕显示是否正常，摄像头图像是否清晰，红外补光是否正常；</w:t>
            </w:r>
          </w:p>
          <w:p w14:paraId="587253C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8.在强光下检查镜头镀膜有无划伤、脱膜，检查屏幕有无进水造成的显示异常；</w:t>
            </w:r>
          </w:p>
          <w:p w14:paraId="7B7982E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9.用万用表测量主控板供电电压，检查网络通信是否正常；</w:t>
            </w:r>
          </w:p>
          <w:p w14:paraId="4755064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10.更换损坏的摄像头模组、屏幕、主控板等配件；</w:t>
            </w:r>
          </w:p>
          <w:p w14:paraId="4AD5984D">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11.组装外壳，安装支架，接回网线和电源；</w:t>
            </w:r>
          </w:p>
          <w:p w14:paraId="4103A40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12.通电后通过管理软件测试人脸识别功能，在不同光照条件下测试识别速度和识别率，要求识别率≥95%，调整摄像头角度至最佳识别区域。</w:t>
            </w:r>
          </w:p>
        </w:tc>
        <w:tc>
          <w:tcPr>
            <w:tcW w:w="1536" w:type="dxa"/>
            <w:noWrap/>
            <w:vAlign w:val="center"/>
          </w:tcPr>
          <w:p w14:paraId="6C2EAF07">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全校</w:t>
            </w:r>
          </w:p>
          <w:p w14:paraId="407CF253">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p>
        </w:tc>
        <w:tc>
          <w:tcPr>
            <w:tcW w:w="751" w:type="dxa"/>
            <w:noWrap w:val="0"/>
            <w:vAlign w:val="center"/>
          </w:tcPr>
          <w:p w14:paraId="2A32808A">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183</w:t>
            </w:r>
          </w:p>
        </w:tc>
        <w:tc>
          <w:tcPr>
            <w:tcW w:w="589" w:type="dxa"/>
            <w:noWrap/>
            <w:vAlign w:val="center"/>
          </w:tcPr>
          <w:p w14:paraId="2A696AA6">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台</w:t>
            </w:r>
          </w:p>
        </w:tc>
      </w:tr>
      <w:tr w14:paraId="5AE3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trPr>
        <w:tc>
          <w:tcPr>
            <w:tcW w:w="450" w:type="dxa"/>
            <w:noWrap/>
            <w:vAlign w:val="center"/>
          </w:tcPr>
          <w:p w14:paraId="6C7D38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476" w:type="dxa"/>
            <w:vMerge w:val="restart"/>
            <w:noWrap w:val="0"/>
            <w:vAlign w:val="center"/>
          </w:tcPr>
          <w:p w14:paraId="2FBEDC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szCs w:val="21"/>
                <w:highlight w:val="none"/>
              </w:rPr>
              <w:t>▲</w:t>
            </w:r>
            <w:r>
              <w:rPr>
                <w:rFonts w:hint="eastAsia" w:ascii="宋体" w:hAnsi="宋体" w:eastAsia="宋体" w:cs="宋体"/>
                <w:i w:val="0"/>
                <w:iCs w:val="0"/>
                <w:color w:val="auto"/>
                <w:kern w:val="0"/>
                <w:sz w:val="22"/>
                <w:szCs w:val="22"/>
                <w:highlight w:val="none"/>
                <w:u w:val="none"/>
                <w:lang w:val="en-US" w:eastAsia="zh-CN" w:bidi="ar"/>
              </w:rPr>
              <w:t>视频监</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控系统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关键点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位设备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修复服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务</w:t>
            </w:r>
          </w:p>
        </w:tc>
        <w:tc>
          <w:tcPr>
            <w:tcW w:w="706" w:type="dxa"/>
            <w:noWrap w:val="0"/>
            <w:vAlign w:val="center"/>
          </w:tcPr>
          <w:p w14:paraId="411881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筒型网络摄像机的修缮服务</w:t>
            </w:r>
          </w:p>
          <w:p w14:paraId="26EDA03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p w14:paraId="23079A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6F9903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22250D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77D65D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3E7D01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57D28B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center"/>
          </w:tcPr>
          <w:p w14:paraId="7722E2E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设备拆除作业：</w:t>
            </w:r>
          </w:p>
          <w:p w14:paraId="563C9B2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1、施工人员抵达各个监控点位，拆卸固定支架、筒型网络摄像机、完整取下进水网络摄像机。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2、每一台摄像机粘贴专属点位标签，标注清楚安装楼宇、区域、点位编号，拍摄设备进水受损原貌照片，防止维修之后设备点位混淆。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3、拆卸过程轻拿轻放，避免镜头玻璃、尾线接口出现二次磕碰损伤。</w:t>
            </w:r>
          </w:p>
          <w:p w14:paraId="5C394AD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整机拆解作业：</w:t>
            </w:r>
          </w:p>
          <w:p w14:paraId="314C6CB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1、拆开摄像机外壳、主板模组、红外补光板、镜头组件、尾线接口、防水胶圈，所有元器件分开拆分。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2、老化失效的防水胶圈单独收纳，检修之后按需更换全新密封配件。对镜头镜片做好防尘防护，杜绝沙尘、洪水泥沙划伤镜头透光面。</w:t>
            </w:r>
          </w:p>
          <w:p w14:paraId="06CC46D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超声波清洗工艺标准：</w:t>
            </w:r>
          </w:p>
          <w:p w14:paraId="57A73E1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1、摄像机电路板、红外灯板采用工业超声波清洗机，添加电路板专用中性清洗剂，超声波清洗时长≥15min，彻底冲刷板卡缝隙、焊盘、接口内部淤积的泥沙、盐分、洪水腐蚀性残留物。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2、清洗结束之后使用去离子纯水多次冲洗电路板，冲净清洗剂残留污渍。镜头外壳、金属支架、护罩外壳单独冲洗消杀，清除淤泥霉斑。</w:t>
            </w:r>
          </w:p>
          <w:p w14:paraId="435E05B2">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恒温烘干硬性参数：</w:t>
            </w:r>
          </w:p>
          <w:p w14:paraId="201FF44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1、采用阶梯式无尘恒温烘干箱开展除湿烘干，烘干温度控制 45℃</w:t>
            </w:r>
            <w:r>
              <w:rPr>
                <w:rStyle w:val="74"/>
                <w:rFonts w:eastAsia="宋体"/>
                <w:color w:val="auto"/>
                <w:highlight w:val="none"/>
                <w:lang w:val="en-US" w:eastAsia="zh-CN" w:bidi="ar"/>
              </w:rPr>
              <w:noBreakHyphen/>
            </w:r>
            <w:r>
              <w:rPr>
                <w:rFonts w:hint="eastAsia" w:ascii="宋体" w:hAnsi="宋体" w:eastAsia="宋体" w:cs="宋体"/>
                <w:i w:val="0"/>
                <w:iCs w:val="0"/>
                <w:color w:val="auto"/>
                <w:kern w:val="0"/>
                <w:sz w:val="22"/>
                <w:szCs w:val="22"/>
                <w:highlight w:val="none"/>
                <w:u w:val="none"/>
                <w:lang w:val="en-US" w:eastAsia="zh-CN" w:bidi="ar"/>
              </w:rPr>
              <w:t>55℃区间。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2、整机烘干时长不得小于 4 小时。烘干完成之后自然冷却，电路板表层湿度低于 60% 以后，才可开展上电检测，杜绝残留水汽造成二次短路烧坏元器件。</w:t>
            </w:r>
          </w:p>
          <w:p w14:paraId="30CB6B6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全方位硬件故障检测：</w:t>
            </w:r>
          </w:p>
          <w:p w14:paraId="66B085DE">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1、检查电路板铜箔腐蚀、电容鼓包、贴片元件锈蚀、网口针脚氧化、红外灯损坏、镜头起雾进水。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2、检测主板供电电压、线路通断、元器件阻值。</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 整机上电测试，检测图像成像、红外夜视、音频、POE 供电、网络端口连通、码流传输各项基础功能</w:t>
            </w:r>
          </w:p>
          <w:p w14:paraId="643100E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设备维修、配件更换以及老化测试：</w:t>
            </w:r>
          </w:p>
          <w:p w14:paraId="7964BDD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1、针对可修复的腐蚀焊盘、受损线路做除腐、焊盘修补。对于烧毁芯片、损坏红外模组、故障尾线、破损镜头、老化防水胶圈等不可逆损坏配件，更换同规格全新原厂配件。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2、全部维修结束之后进行 120 分钟不间断通电老化测试，排查受潮引发的间歇性黑屏、图像卡顿、红外失灵、时断时续等隐性故障。</w:t>
            </w:r>
          </w:p>
          <w:p w14:paraId="65691B7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现场安装调试服务：</w:t>
            </w:r>
          </w:p>
          <w:p w14:paraId="119A8DD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1、将检修合格的筒型摄像机运送回原监控点位，完成支架固定、防水胶条密封、POE 网线接线。调整摄像机监控角度、点位名称、IP地址等。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2、接入校园监控平台，调试图像清晰度、夜视功能、移动侦测、录像存储，验证监控画面稳定上传、无卡顿丢包。</w:t>
            </w:r>
          </w:p>
        </w:tc>
        <w:tc>
          <w:tcPr>
            <w:tcW w:w="1536" w:type="dxa"/>
            <w:noWrap w:val="0"/>
            <w:vAlign w:val="center"/>
          </w:tcPr>
          <w:p w14:paraId="663110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视频监控设备修复服务范围包含：东大门出入口、太行楼、鹏山楼，独秀楼、北区食堂、兰园居、桂圆居、梧桐居、南山楼、宜贵楼、1#-4#实训楼、后勤服务中心、南区食堂、南门出入口、木棉居、紫荆居、榕园居、桢楠居、紫檀居、黄檀居、莲德广场、礼仪广场等公共监控区域。</w:t>
            </w:r>
          </w:p>
        </w:tc>
        <w:tc>
          <w:tcPr>
            <w:tcW w:w="751" w:type="dxa"/>
            <w:noWrap/>
            <w:vAlign w:val="center"/>
          </w:tcPr>
          <w:p w14:paraId="26A77C88">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918</w:t>
            </w:r>
          </w:p>
        </w:tc>
        <w:tc>
          <w:tcPr>
            <w:tcW w:w="589" w:type="dxa"/>
            <w:noWrap/>
            <w:vAlign w:val="center"/>
          </w:tcPr>
          <w:p w14:paraId="0CC8B13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r>
      <w:tr w14:paraId="333D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trPr>
        <w:tc>
          <w:tcPr>
            <w:tcW w:w="450" w:type="dxa"/>
            <w:noWrap/>
            <w:vAlign w:val="center"/>
          </w:tcPr>
          <w:p w14:paraId="474A59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476" w:type="dxa"/>
            <w:vMerge w:val="continue"/>
            <w:noWrap w:val="0"/>
            <w:vAlign w:val="center"/>
          </w:tcPr>
          <w:p w14:paraId="7F93CCBD">
            <w:pPr>
              <w:jc w:val="center"/>
              <w:rPr>
                <w:rFonts w:hint="eastAsia" w:ascii="宋体" w:hAnsi="宋体" w:eastAsia="宋体" w:cs="宋体"/>
                <w:i w:val="0"/>
                <w:iCs w:val="0"/>
                <w:color w:val="auto"/>
                <w:sz w:val="22"/>
                <w:szCs w:val="22"/>
                <w:highlight w:val="none"/>
                <w:u w:val="none"/>
              </w:rPr>
            </w:pPr>
          </w:p>
        </w:tc>
        <w:tc>
          <w:tcPr>
            <w:tcW w:w="706" w:type="dxa"/>
            <w:noWrap w:val="0"/>
            <w:vAlign w:val="center"/>
          </w:tcPr>
          <w:p w14:paraId="011A043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球型网络摄像机的修缮服务</w:t>
            </w:r>
          </w:p>
          <w:p w14:paraId="097364D8">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p w14:paraId="038090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02894F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3E67B6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72EEDA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2B0C42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756272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center"/>
          </w:tcPr>
          <w:p w14:paraId="49E55B9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球机拆除工作：</w:t>
            </w:r>
          </w:p>
          <w:p w14:paraId="67A7673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1、拆解球机室外支架、抱箍、电源线缆。拆除受损进水球机。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2、粘贴点位标识标签，登记所属监控区域。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3、搬运途中做好球机镜头防护，水平放置运输，防止云台机芯磕碰受损。</w:t>
            </w:r>
          </w:p>
          <w:p w14:paraId="7285CA1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整机拆解作业：</w:t>
            </w:r>
          </w:p>
          <w:p w14:paraId="194983B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1、拆开球机外罩、透明球罩、云台机芯、主板、电源板、红外组件、滑环组件。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2、分离所有精密组件，妥善保护云台齿轮、电机组件，避免灰尘泥沙进入机芯传动结构造成卡顿。</w:t>
            </w:r>
          </w:p>
          <w:p w14:paraId="177DFD45">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清洗作业：</w:t>
            </w:r>
          </w:p>
          <w:p w14:paraId="398C5B4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1、机芯电路板、电源主板执行超声波清洗 + 纯水漂洗。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2、球罩、外壳、支架高压冲洗，清理洪水淤泥、霉渍、腐蚀污渍。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3、触点使用专用清洁耗材擦拭除锈除污。</w:t>
            </w:r>
          </w:p>
          <w:p w14:paraId="33ED73A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烘干除湿：</w:t>
            </w:r>
          </w:p>
          <w:p w14:paraId="75A4550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1、严格执行 45</w:t>
            </w:r>
            <w:r>
              <w:rPr>
                <w:rFonts w:hint="default" w:ascii="Times New Roman" w:hAnsi="Times New Roman" w:eastAsia="宋体" w:cs="Times New Roman"/>
                <w:i w:val="0"/>
                <w:iCs w:val="0"/>
                <w:color w:val="auto"/>
                <w:kern w:val="0"/>
                <w:sz w:val="22"/>
                <w:szCs w:val="22"/>
                <w:highlight w:val="none"/>
                <w:u w:val="none"/>
                <w:lang w:val="en-US" w:eastAsia="zh-CN" w:bidi="ar"/>
              </w:rPr>
              <w:noBreakHyphen/>
            </w:r>
            <w:r>
              <w:rPr>
                <w:rFonts w:hint="eastAsia" w:ascii="宋体" w:hAnsi="宋体" w:eastAsia="宋体" w:cs="宋体"/>
                <w:i w:val="0"/>
                <w:iCs w:val="0"/>
                <w:color w:val="auto"/>
                <w:kern w:val="0"/>
                <w:sz w:val="22"/>
                <w:szCs w:val="22"/>
                <w:highlight w:val="none"/>
                <w:u w:val="none"/>
                <w:lang w:val="en-US" w:eastAsia="zh-CN" w:bidi="ar"/>
              </w:rPr>
              <w:t>55℃阶梯烘干，烘干时长≥4h，机芯内部、接线端子、滑环缝隙完全除去残留水汽，冷却之后检测电路板湿度达标再上电。</w:t>
            </w:r>
          </w:p>
          <w:p w14:paraId="16F5F85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硬件功能检测：</w:t>
            </w:r>
          </w:p>
          <w:p w14:paraId="2BDE5D0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1、电路板供电检测、云台电机转动测试。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2、自检水平旋转、垂直俯仰、自动巡航、镜头变焦变倍、红外夜视、网络传输。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3、排查云台卡顿、转动异响、无法自检、镜头水雾、供电短路、网口故障等问题。</w:t>
            </w:r>
          </w:p>
          <w:p w14:paraId="35EC61C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维修换件与老化测试：</w:t>
            </w:r>
          </w:p>
          <w:p w14:paraId="2E4B357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1、腐蚀电路板开展修复处理。损坏云台电机、电源板、镜头模组、防水密封圈更换全新配件。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2、维修完成之后长时间通电，循环测试云台巡航功能，进行最低 120min 通电老化测试，排除间歇性机芯故障。</w:t>
            </w:r>
          </w:p>
          <w:p w14:paraId="682984F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点位安装调试：</w:t>
            </w:r>
          </w:p>
          <w:p w14:paraId="029E5C4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1、球机支架牢固安装、做好室外防水密封处理。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2、布设供电以及网络线路。</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3、调试云台巡航计划、监控预置点位、变焦参数。</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3、接入监控平台，预览实时视频、调取录像，确认所有功能正常运行。</w:t>
            </w:r>
          </w:p>
        </w:tc>
        <w:tc>
          <w:tcPr>
            <w:tcW w:w="1536" w:type="dxa"/>
            <w:noWrap w:val="0"/>
            <w:vAlign w:val="center"/>
          </w:tcPr>
          <w:p w14:paraId="76910A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视频监控设备修复服务范围包含：东大门出入口、太行楼、鹏山楼，独秀楼、北区食堂、兰园居、桂圆居、梧桐居、南山楼、宜贵楼、1#-4#实训楼、后勤服务中心、南区食堂、南门出入口、木棉居、紫荆居、榕园居、桢楠居、紫檀居、黄檀居、莲德广场、礼仪广场等公共监控区域。</w:t>
            </w:r>
          </w:p>
        </w:tc>
        <w:tc>
          <w:tcPr>
            <w:tcW w:w="751" w:type="dxa"/>
            <w:noWrap/>
            <w:vAlign w:val="center"/>
          </w:tcPr>
          <w:p w14:paraId="0277D7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r>
              <w:rPr>
                <w:rFonts w:hint="eastAsia" w:ascii="宋体" w:hAnsi="宋体" w:cs="宋体"/>
                <w:i w:val="0"/>
                <w:iCs w:val="0"/>
                <w:color w:val="auto"/>
                <w:kern w:val="0"/>
                <w:sz w:val="22"/>
                <w:szCs w:val="22"/>
                <w:highlight w:val="none"/>
                <w:u w:val="none"/>
                <w:lang w:val="en-US" w:eastAsia="zh-CN" w:bidi="ar"/>
              </w:rPr>
              <w:t>1</w:t>
            </w:r>
          </w:p>
        </w:tc>
        <w:tc>
          <w:tcPr>
            <w:tcW w:w="589" w:type="dxa"/>
            <w:noWrap/>
            <w:vAlign w:val="center"/>
          </w:tcPr>
          <w:p w14:paraId="25AAA0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r>
      <w:tr w14:paraId="4597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450" w:type="dxa"/>
            <w:noWrap/>
            <w:vAlign w:val="center"/>
          </w:tcPr>
          <w:p w14:paraId="7FF9DE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476" w:type="dxa"/>
            <w:vMerge w:val="continue"/>
            <w:noWrap w:val="0"/>
            <w:vAlign w:val="center"/>
          </w:tcPr>
          <w:p w14:paraId="7FB98DD3">
            <w:pPr>
              <w:jc w:val="center"/>
              <w:rPr>
                <w:rFonts w:hint="eastAsia" w:ascii="宋体" w:hAnsi="宋体" w:eastAsia="宋体" w:cs="宋体"/>
                <w:i w:val="0"/>
                <w:iCs w:val="0"/>
                <w:color w:val="auto"/>
                <w:sz w:val="22"/>
                <w:szCs w:val="22"/>
                <w:highlight w:val="none"/>
                <w:u w:val="none"/>
              </w:rPr>
            </w:pPr>
          </w:p>
        </w:tc>
        <w:tc>
          <w:tcPr>
            <w:tcW w:w="706" w:type="dxa"/>
            <w:noWrap w:val="0"/>
            <w:vAlign w:val="center"/>
          </w:tcPr>
          <w:p w14:paraId="0F8589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人脸识别球机的修缮服务</w:t>
            </w:r>
          </w:p>
          <w:p w14:paraId="02169E7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p>
          <w:p w14:paraId="271031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77F2A1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15ACD3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621566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5591DA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734AFE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61CD1E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0FC8FA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4BA92D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33FD93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276C81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p w14:paraId="3B77A5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center"/>
          </w:tcPr>
          <w:p w14:paraId="6DF9CA9B">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设备拆卸：</w:t>
            </w:r>
          </w:p>
          <w:p w14:paraId="2AAF8DF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1、拆除室外人脸识别球机固定构件。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2、拆除人脸识别球机。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3、设备张贴点位标签，区分普通监控点位、出入口人脸抓拍点位。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4、运输阶段重点防护镜头、人脸抓拍感光模组，防止震动损伤精密成像元件。</w:t>
            </w:r>
          </w:p>
          <w:p w14:paraId="234842F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设备拆解：</w:t>
            </w:r>
          </w:p>
          <w:p w14:paraId="4DB100F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1、拆卸透明防护罩、人脸抓拍主板、云台机芯、补光灯组件、电源板。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2、分开收纳 板卡，禁止硬物触碰感光芯片。</w:t>
            </w:r>
          </w:p>
          <w:p w14:paraId="1610EDD5">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清洗工序：</w:t>
            </w:r>
          </w:p>
          <w:p w14:paraId="23E3D0BB">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1、主板、云台电路板超声波清洗除垢漂洗。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2、外壳、护罩冲洗消杀。清理抓拍镜头表面泥沙污渍，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3、全程避免硬物刮花镜头镜片。</w:t>
            </w:r>
          </w:p>
          <w:p w14:paraId="2EB10E0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烘干除湿：</w:t>
            </w:r>
          </w:p>
          <w:p w14:paraId="318A3C1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1、采用无尘烘干设备阶梯烘干，烘干时长不少于 4 小时。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2、主板板块缓慢除湿，高温不得超过 55℃，防止精密芯片高温受损。</w:t>
            </w:r>
          </w:p>
          <w:p w14:paraId="172DC63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全功能故障检测：</w:t>
            </w:r>
          </w:p>
          <w:p w14:paraId="0AA027C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1、除常规云台、变焦、夜视、网络功能检测以外，额外专项检测：人脸抓拍、人像识别、抓拍图片上传、算法模组运行、抓拍灵敏度、报警联动功能。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2、排查主板、模组受潮死机、抓拍模糊、识别失效故障。</w:t>
            </w:r>
          </w:p>
          <w:p w14:paraId="2A43BAF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元器件维修更换：</w:t>
            </w:r>
          </w:p>
          <w:p w14:paraId="45E4CA1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1、修复腐蚀线路、氧化焊盘。损坏主板、抓拍镜头、云台电机、防水密封件更换适配配件。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2、老化测试期间反复测试人脸抓拍功能，保障潮湿遗留故障全部排查完毕。</w:t>
            </w:r>
          </w:p>
          <w:p w14:paraId="136DC3F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现场安装与人脸功能调试：</w:t>
            </w:r>
          </w:p>
          <w:p w14:paraId="6304776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1、设备就位固定、室外防水密封。接通网络、供电。调试镜头对焦、抓拍区域、人脸抓拍参数、抓拍图片存储、平台数据上传。</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2、反复核验人脸抓拍、识别、告警联动全部业务功能稳定运行。</w:t>
            </w:r>
          </w:p>
          <w:p w14:paraId="5B230D9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设备拆解：</w:t>
            </w:r>
          </w:p>
          <w:p w14:paraId="73AD428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1、拆卸透明防护罩、人脸抓拍主板、云台机芯、补光灯组件、电源板。</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2、分开收纳 板卡，禁止硬物触碰感光芯片。</w:t>
            </w:r>
          </w:p>
          <w:p w14:paraId="535F2B7A">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清洗工序：</w:t>
            </w:r>
          </w:p>
          <w:p w14:paraId="47B266A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1、主板、云台电路板超声波清洗除垢漂洗。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2、外壳、护罩冲洗消杀。清理抓拍镜头表面泥沙污渍，</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3、全程避免硬物刮花镜头镜片。</w:t>
            </w:r>
          </w:p>
          <w:p w14:paraId="37AB33B1">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烘干除湿：</w:t>
            </w:r>
          </w:p>
          <w:p w14:paraId="0E86780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1、采用无尘烘干设备阶梯烘干，烘干时长不少于 4 小时。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2、主板板块缓慢除湿，高温不得超过 55℃，防止精密芯片高温受损。</w:t>
            </w:r>
          </w:p>
          <w:p w14:paraId="4AE1CD2E">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全功能故障检测：</w:t>
            </w:r>
          </w:p>
          <w:p w14:paraId="3DF37388">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1、除常规云台、变焦、夜视、网络功能检测以外，额外专项检测：人脸抓拍、人像识别、抓拍图片上传、算法模组运行、抓拍灵敏度、报警联动功能。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2、排查主板、模组受潮死机、抓拍模糊、识别失效故障。</w:t>
            </w:r>
          </w:p>
          <w:p w14:paraId="1AD4C924">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元器件维修更换：</w:t>
            </w:r>
          </w:p>
          <w:p w14:paraId="7E1D831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1、修复腐蚀线路、氧化焊盘。损坏主板、抓拍镜头、云台电机、防水密封件更换适配配件。</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2、老化测试期间反复测试人脸抓拍功能，保障潮湿遗留故障全部排查完毕。</w:t>
            </w:r>
          </w:p>
          <w:p w14:paraId="2858442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现场安装与人脸功能调试：</w:t>
            </w:r>
          </w:p>
          <w:p w14:paraId="563BD12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1、设备就位固定、室外防水密封。接通网络、供电。调试镜头对焦、抓拍区域、人脸抓拍参数、抓拍图片存储、平台数据上传。</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2、反复核验人脸抓拍、识别、告警联动全部业务功能稳定运行。</w:t>
            </w:r>
          </w:p>
        </w:tc>
        <w:tc>
          <w:tcPr>
            <w:tcW w:w="1536" w:type="dxa"/>
            <w:noWrap w:val="0"/>
            <w:vAlign w:val="center"/>
          </w:tcPr>
          <w:p w14:paraId="0DF041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视频监控设备修复服务范围包含：东大门出入口、太行楼、鹏山楼，独秀楼、北区食堂、兰园居、桂圆居、梧桐居、南山楼、宜贵楼、1#-4#实训楼、后勤服务中心、南区食堂、南门出入口、木棉居、紫荆居、榕园居、桢楠居、紫檀居、黄檀居、莲德广场、礼仪广场等公共监控区域。</w:t>
            </w:r>
          </w:p>
        </w:tc>
        <w:tc>
          <w:tcPr>
            <w:tcW w:w="751" w:type="dxa"/>
            <w:noWrap/>
            <w:vAlign w:val="center"/>
          </w:tcPr>
          <w:p w14:paraId="1DCA54DE">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49</w:t>
            </w:r>
          </w:p>
        </w:tc>
        <w:tc>
          <w:tcPr>
            <w:tcW w:w="589" w:type="dxa"/>
            <w:noWrap/>
            <w:vAlign w:val="center"/>
          </w:tcPr>
          <w:p w14:paraId="6D06CC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r>
      <w:tr w14:paraId="36C7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50" w:type="dxa"/>
            <w:noWrap/>
            <w:vAlign w:val="center"/>
          </w:tcPr>
          <w:p w14:paraId="46602E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4</w:t>
            </w:r>
          </w:p>
        </w:tc>
        <w:tc>
          <w:tcPr>
            <w:tcW w:w="1476" w:type="dxa"/>
            <w:vMerge w:val="continue"/>
            <w:noWrap w:val="0"/>
            <w:vAlign w:val="center"/>
          </w:tcPr>
          <w:p w14:paraId="44FA9893">
            <w:pPr>
              <w:jc w:val="center"/>
              <w:rPr>
                <w:rFonts w:hint="eastAsia" w:ascii="宋体" w:hAnsi="宋体" w:eastAsia="宋体" w:cs="宋体"/>
                <w:i w:val="0"/>
                <w:iCs w:val="0"/>
                <w:color w:val="auto"/>
                <w:sz w:val="22"/>
                <w:szCs w:val="22"/>
                <w:highlight w:val="none"/>
                <w:u w:val="none"/>
              </w:rPr>
            </w:pPr>
          </w:p>
        </w:tc>
        <w:tc>
          <w:tcPr>
            <w:tcW w:w="706" w:type="dxa"/>
            <w:noWrap w:val="0"/>
            <w:vAlign w:val="center"/>
          </w:tcPr>
          <w:p w14:paraId="335B36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其他</w:t>
            </w:r>
          </w:p>
          <w:p w14:paraId="06A108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774" w:type="dxa"/>
            <w:noWrap w:val="0"/>
            <w:vAlign w:val="center"/>
          </w:tcPr>
          <w:p w14:paraId="76A119B0">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质量及质保优化要求、施工技术标准：</w:t>
            </w:r>
          </w:p>
          <w:p w14:paraId="31DC325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1、所有摄像设备上电检测之前电路板表层湿度必须低于 60%。</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2、室外摄像机装配时必须更换老化防水胶圈，做好尾线接头防水缠绕处理，杜绝后期进水。</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3、检修施工人员具备安防弱电作业资质，带电作业人员持有低压电工操作证。</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4、所有经过维修的筒机、普通球机、人脸识别球机，项目完工之后提供6 个月免费维保服务。质保周期内因洪水受潮腐蚀衍生故障，服务商免费上门返修、配件更换。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5、全部施工垃圾、报废损坏配件由中标服务商统一清运出场。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6、竣工交付全套台账资料：摄像机点位清单、设备维修记录表、故障类型台账、更换配件明细、监控点位分布图。</w:t>
            </w:r>
          </w:p>
        </w:tc>
        <w:tc>
          <w:tcPr>
            <w:tcW w:w="1536" w:type="dxa"/>
            <w:noWrap w:val="0"/>
            <w:vAlign w:val="center"/>
          </w:tcPr>
          <w:p w14:paraId="22EECF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视频监控设备修复服务范围包含：东大门出入口、太行楼、鹏山楼，独秀楼、北区食堂、兰园居、桂圆居、梧桐居、南山楼、宜贵楼、1#-4#实训楼、后勤服务中心、南区食堂、南门出入口、木棉居、紫荆居、榕园居、桢楠居、紫檀居、黄檀居、莲德广场、礼仪广场等公共监控区域。</w:t>
            </w:r>
          </w:p>
        </w:tc>
        <w:tc>
          <w:tcPr>
            <w:tcW w:w="751" w:type="dxa"/>
            <w:noWrap/>
            <w:vAlign w:val="center"/>
          </w:tcPr>
          <w:p w14:paraId="77E108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9" w:type="dxa"/>
            <w:noWrap/>
            <w:vAlign w:val="center"/>
          </w:tcPr>
          <w:p w14:paraId="5F05A1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w:t>
            </w:r>
          </w:p>
        </w:tc>
      </w:tr>
      <w:tr w14:paraId="6483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282" w:type="dxa"/>
            <w:gridSpan w:val="7"/>
            <w:noWrap/>
            <w:vAlign w:val="center"/>
          </w:tcPr>
          <w:p w14:paraId="6A15AF2E">
            <w:pPr>
              <w:jc w:val="center"/>
              <w:rPr>
                <w:rFonts w:hint="eastAsia" w:ascii="宋体" w:hAnsi="宋体" w:eastAsia="宋体" w:cs="宋体"/>
                <w:i w:val="0"/>
                <w:iCs w:val="0"/>
                <w:color w:val="auto"/>
                <w:sz w:val="22"/>
                <w:szCs w:val="22"/>
                <w:highlight w:val="none"/>
                <w:u w:val="none"/>
                <w:lang w:eastAsia="zh-CN"/>
              </w:rPr>
            </w:pPr>
            <w:r>
              <w:rPr>
                <w:rFonts w:hint="eastAsia" w:ascii="宋体" w:hAnsi="宋体" w:eastAsia="宋体" w:cs="宋体"/>
                <w:b/>
                <w:bCs/>
                <w:i w:val="0"/>
                <w:iCs w:val="0"/>
                <w:color w:val="auto"/>
                <w:sz w:val="22"/>
                <w:szCs w:val="22"/>
                <w:highlight w:val="none"/>
                <w:u w:val="none"/>
              </w:rPr>
              <w:t>二、商务</w:t>
            </w:r>
            <w:r>
              <w:rPr>
                <w:rFonts w:hint="eastAsia" w:ascii="宋体" w:hAnsi="宋体" w:eastAsia="宋体" w:cs="宋体"/>
                <w:b/>
                <w:bCs/>
                <w:i w:val="0"/>
                <w:iCs w:val="0"/>
                <w:color w:val="auto"/>
                <w:sz w:val="22"/>
                <w:szCs w:val="22"/>
                <w:highlight w:val="none"/>
                <w:u w:val="none"/>
                <w:lang w:val="en-US" w:eastAsia="zh-CN"/>
              </w:rPr>
              <w:t>要求</w:t>
            </w:r>
          </w:p>
        </w:tc>
      </w:tr>
      <w:tr w14:paraId="201F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26" w:type="dxa"/>
            <w:gridSpan w:val="2"/>
            <w:noWrap/>
            <w:vAlign w:val="center"/>
          </w:tcPr>
          <w:p w14:paraId="2FB4F113">
            <w:pPr>
              <w:tabs>
                <w:tab w:val="left" w:pos="1090"/>
              </w:tabs>
              <w:adjustRightInd w:val="0"/>
              <w:snapToGrid w:val="0"/>
              <w:spacing w:line="288" w:lineRule="auto"/>
              <w:jc w:val="center"/>
              <w:rPr>
                <w:rFonts w:hint="eastAsia" w:ascii="宋体" w:hAnsi="宋体" w:eastAsia="宋体" w:cs="宋体"/>
                <w:i w:val="0"/>
                <w:iCs w:val="0"/>
                <w:color w:val="auto"/>
                <w:sz w:val="22"/>
                <w:szCs w:val="22"/>
                <w:highlight w:val="none"/>
                <w:u w:val="none"/>
              </w:rPr>
            </w:pPr>
            <w:r>
              <w:rPr>
                <w:rFonts w:hint="eastAsia" w:ascii="宋体" w:hAnsi="宋体" w:cs="宋体"/>
                <w:b w:val="0"/>
                <w:bCs w:val="0"/>
                <w:color w:val="auto"/>
                <w:kern w:val="0"/>
                <w:szCs w:val="21"/>
                <w:highlight w:val="none"/>
              </w:rPr>
              <w:t>合同签订时间</w:t>
            </w:r>
          </w:p>
        </w:tc>
        <w:tc>
          <w:tcPr>
            <w:tcW w:w="7356" w:type="dxa"/>
            <w:gridSpan w:val="5"/>
            <w:noWrap/>
            <w:vAlign w:val="center"/>
          </w:tcPr>
          <w:p w14:paraId="680DF10B">
            <w:pPr>
              <w:keepNext w:val="0"/>
              <w:keepLines w:val="0"/>
              <w:pageBreakBefore w:val="0"/>
              <w:widowControl w:val="0"/>
              <w:tabs>
                <w:tab w:val="left" w:pos="1090"/>
              </w:tabs>
              <w:kinsoku/>
              <w:wordWrap/>
              <w:overflowPunct/>
              <w:topLinePunct w:val="0"/>
              <w:autoSpaceDE/>
              <w:autoSpaceDN/>
              <w:bidi w:val="0"/>
              <w:adjustRightInd w:val="0"/>
              <w:snapToGrid w:val="0"/>
              <w:spacing w:line="288" w:lineRule="auto"/>
              <w:textAlignment w:val="auto"/>
              <w:rPr>
                <w:rFonts w:hint="eastAsia" w:ascii="宋体" w:hAnsi="宋体" w:eastAsia="宋体" w:cs="宋体"/>
                <w:i w:val="0"/>
                <w:iCs w:val="0"/>
                <w:color w:val="auto"/>
                <w:sz w:val="22"/>
                <w:szCs w:val="22"/>
                <w:highlight w:val="none"/>
                <w:u w:val="none"/>
              </w:rPr>
            </w:pPr>
            <w:r>
              <w:rPr>
                <w:rFonts w:hint="eastAsia" w:ascii="宋体" w:hAnsi="宋体" w:cs="宋体"/>
                <w:color w:val="auto"/>
                <w:kern w:val="0"/>
                <w:szCs w:val="21"/>
                <w:highlight w:val="none"/>
                <w:lang w:val="en-US" w:eastAsia="zh-CN"/>
              </w:rPr>
              <w:t>自成交通知书发出之日起10日内。</w:t>
            </w:r>
          </w:p>
        </w:tc>
      </w:tr>
      <w:tr w14:paraId="5C8D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26" w:type="dxa"/>
            <w:gridSpan w:val="2"/>
            <w:noWrap/>
            <w:vAlign w:val="center"/>
          </w:tcPr>
          <w:p w14:paraId="72738A6E">
            <w:pPr>
              <w:widowControl/>
              <w:spacing w:line="440" w:lineRule="exact"/>
              <w:jc w:val="center"/>
              <w:rPr>
                <w:rFonts w:hint="eastAsia" w:ascii="宋体" w:hAnsi="宋体" w:eastAsia="宋体" w:cs="宋体"/>
                <w:i w:val="0"/>
                <w:iCs w:val="0"/>
                <w:color w:val="auto"/>
                <w:sz w:val="22"/>
                <w:szCs w:val="22"/>
                <w:highlight w:val="none"/>
                <w:u w:val="none"/>
              </w:rPr>
            </w:pPr>
            <w:r>
              <w:rPr>
                <w:rFonts w:hint="eastAsia" w:ascii="宋体" w:hAnsi="宋体" w:eastAsia="宋体" w:cs="宋体"/>
                <w:color w:val="auto"/>
                <w:kern w:val="0"/>
                <w:szCs w:val="21"/>
                <w:highlight w:val="none"/>
              </w:rPr>
              <w:t>交付使用时间及地点</w:t>
            </w:r>
          </w:p>
        </w:tc>
        <w:tc>
          <w:tcPr>
            <w:tcW w:w="7356" w:type="dxa"/>
            <w:gridSpan w:val="5"/>
            <w:noWrap/>
            <w:vAlign w:val="top"/>
          </w:tcPr>
          <w:p w14:paraId="77BF2F71">
            <w:pPr>
              <w:widowControl/>
              <w:spacing w:line="440" w:lineRule="exact"/>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1</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交付使用</w:t>
            </w:r>
            <w:r>
              <w:rPr>
                <w:rFonts w:hint="eastAsia" w:ascii="宋体" w:hAnsi="宋体" w:eastAsia="宋体" w:cs="宋体"/>
                <w:color w:val="auto"/>
                <w:kern w:val="0"/>
                <w:szCs w:val="21"/>
                <w:highlight w:val="none"/>
              </w:rPr>
              <w:t>时间：合同签订之日起</w:t>
            </w:r>
            <w:r>
              <w:rPr>
                <w:rFonts w:hint="eastAsia" w:ascii="Times New Roman" w:hAnsi="宋体" w:eastAsia="宋体" w:cs="宋体"/>
                <w:color w:val="auto"/>
                <w:kern w:val="0"/>
                <w:szCs w:val="21"/>
                <w:highlight w:val="none"/>
                <w:lang w:val="en-US" w:eastAsia="zh-CN"/>
              </w:rPr>
              <w:t>15</w:t>
            </w:r>
            <w:r>
              <w:rPr>
                <w:rFonts w:hint="eastAsia" w:ascii="宋体" w:hAnsi="宋体" w:eastAsia="宋体" w:cs="宋体"/>
                <w:color w:val="auto"/>
                <w:kern w:val="0"/>
                <w:szCs w:val="21"/>
                <w:highlight w:val="none"/>
              </w:rPr>
              <w:t>个日历日内</w:t>
            </w:r>
            <w:r>
              <w:rPr>
                <w:rFonts w:hint="eastAsia" w:ascii="宋体" w:hAnsi="宋体" w:eastAsia="宋体" w:cs="宋体"/>
                <w:color w:val="auto"/>
                <w:kern w:val="0"/>
                <w:szCs w:val="21"/>
                <w:highlight w:val="none"/>
                <w:lang w:val="en-US" w:eastAsia="zh-CN"/>
              </w:rPr>
              <w:t>完成</w:t>
            </w:r>
            <w:r>
              <w:rPr>
                <w:rFonts w:hint="eastAsia" w:ascii="宋体" w:hAnsi="宋体" w:eastAsia="宋体" w:cs="宋体"/>
                <w:color w:val="auto"/>
                <w:kern w:val="0"/>
                <w:szCs w:val="21"/>
                <w:highlight w:val="none"/>
              </w:rPr>
              <w:t>全部</w:t>
            </w:r>
            <w:r>
              <w:rPr>
                <w:rFonts w:hint="eastAsia" w:ascii="宋体" w:hAnsi="宋体" w:eastAsia="宋体" w:cs="宋体"/>
                <w:color w:val="auto"/>
                <w:kern w:val="0"/>
                <w:szCs w:val="21"/>
                <w:highlight w:val="none"/>
                <w:lang w:val="en-US" w:eastAsia="zh-CN"/>
              </w:rPr>
              <w:t>招标需求</w:t>
            </w:r>
            <w:r>
              <w:rPr>
                <w:rFonts w:hint="eastAsia" w:ascii="宋体" w:hAnsi="宋体" w:eastAsia="宋体" w:cs="宋体"/>
                <w:color w:val="auto"/>
                <w:kern w:val="0"/>
                <w:szCs w:val="21"/>
                <w:highlight w:val="none"/>
              </w:rPr>
              <w:t>并交付使用</w:t>
            </w:r>
            <w:r>
              <w:rPr>
                <w:rFonts w:hint="eastAsia" w:ascii="宋体" w:hAnsi="宋体" w:eastAsia="宋体" w:cs="宋体"/>
                <w:color w:val="auto"/>
                <w:kern w:val="0"/>
                <w:szCs w:val="21"/>
                <w:highlight w:val="none"/>
                <w:lang w:eastAsia="zh-CN"/>
              </w:rPr>
              <w:t>。</w:t>
            </w:r>
          </w:p>
          <w:p w14:paraId="683144B7">
            <w:pPr>
              <w:widowControl/>
              <w:spacing w:line="440" w:lineRule="exact"/>
              <w:jc w:val="left"/>
              <w:rPr>
                <w:rFonts w:hint="eastAsia" w:ascii="宋体" w:hAnsi="宋体" w:eastAsia="宋体" w:cs="宋体"/>
                <w:i w:val="0"/>
                <w:iCs w:val="0"/>
                <w:color w:val="auto"/>
                <w:sz w:val="22"/>
                <w:szCs w:val="22"/>
                <w:highlight w:val="none"/>
                <w:u w:val="none"/>
              </w:rPr>
            </w:pPr>
            <w:r>
              <w:rPr>
                <w:rFonts w:hint="eastAsia" w:ascii="宋体" w:hAnsi="宋体" w:eastAsia="宋体" w:cs="宋体"/>
                <w:color w:val="auto"/>
                <w:kern w:val="0"/>
                <w:szCs w:val="21"/>
                <w:highlight w:val="none"/>
              </w:rPr>
              <w:t>2</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交付地点：广西物流职业技术学院。</w:t>
            </w:r>
          </w:p>
        </w:tc>
      </w:tr>
      <w:tr w14:paraId="45A6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26" w:type="dxa"/>
            <w:gridSpan w:val="2"/>
            <w:noWrap/>
            <w:vAlign w:val="center"/>
          </w:tcPr>
          <w:p w14:paraId="2D448802">
            <w:pPr>
              <w:tabs>
                <w:tab w:val="left" w:pos="1090"/>
              </w:tabs>
              <w:adjustRightInd w:val="0"/>
              <w:snapToGrid w:val="0"/>
              <w:spacing w:line="288" w:lineRule="auto"/>
              <w:jc w:val="center"/>
              <w:rPr>
                <w:rFonts w:hint="eastAsia" w:ascii="宋体" w:hAnsi="宋体" w:eastAsia="宋体" w:cs="宋体"/>
                <w:i w:val="0"/>
                <w:iCs w:val="0"/>
                <w:color w:val="auto"/>
                <w:sz w:val="22"/>
                <w:szCs w:val="22"/>
                <w:highlight w:val="none"/>
                <w:u w:val="none"/>
              </w:rPr>
            </w:pPr>
            <w:r>
              <w:rPr>
                <w:rFonts w:hint="eastAsia" w:ascii="宋体" w:hAnsi="宋体" w:cs="宋体"/>
                <w:b w:val="0"/>
                <w:bCs w:val="0"/>
                <w:color w:val="auto"/>
                <w:kern w:val="0"/>
                <w:szCs w:val="21"/>
                <w:highlight w:val="none"/>
                <w:lang w:val="en-US" w:eastAsia="zh-CN"/>
              </w:rPr>
              <w:t>售后</w:t>
            </w:r>
            <w:r>
              <w:rPr>
                <w:rFonts w:hint="eastAsia" w:ascii="宋体" w:hAnsi="宋体" w:cs="宋体"/>
                <w:b w:val="0"/>
                <w:bCs w:val="0"/>
                <w:color w:val="auto"/>
                <w:kern w:val="0"/>
                <w:szCs w:val="21"/>
                <w:highlight w:val="none"/>
              </w:rPr>
              <w:t>服务要求</w:t>
            </w:r>
          </w:p>
        </w:tc>
        <w:tc>
          <w:tcPr>
            <w:tcW w:w="7356" w:type="dxa"/>
            <w:gridSpan w:val="5"/>
            <w:noWrap/>
            <w:vAlign w:val="center"/>
          </w:tcPr>
          <w:p w14:paraId="55A81BC9">
            <w:pPr>
              <w:keepNext w:val="0"/>
              <w:keepLines w:val="0"/>
              <w:pageBreakBefore w:val="0"/>
              <w:widowControl w:val="0"/>
              <w:tabs>
                <w:tab w:val="left" w:pos="1090"/>
              </w:tabs>
              <w:kinsoku/>
              <w:wordWrap/>
              <w:overflowPunct/>
              <w:topLinePunct w:val="0"/>
              <w:autoSpaceDE/>
              <w:autoSpaceDN/>
              <w:bidi w:val="0"/>
              <w:adjustRightInd w:val="0"/>
              <w:snapToGrid w:val="0"/>
              <w:spacing w:line="288" w:lineRule="auto"/>
              <w:textAlignment w:val="auto"/>
              <w:rPr>
                <w:rFonts w:hint="default"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w:t>
            </w:r>
            <w:r>
              <w:rPr>
                <w:rFonts w:hint="default" w:ascii="宋体" w:hAnsi="宋体" w:eastAsia="宋体" w:cs="宋体"/>
                <w:b w:val="0"/>
                <w:bCs w:val="0"/>
                <w:color w:val="auto"/>
                <w:kern w:val="0"/>
                <w:sz w:val="21"/>
                <w:szCs w:val="21"/>
                <w:highlight w:val="none"/>
                <w:lang w:val="en-US" w:eastAsia="zh-CN" w:bidi="ar-SA"/>
              </w:rPr>
              <w:t>故障响应时间：成交供应商接到故障通知后在</w:t>
            </w:r>
            <w:r>
              <w:rPr>
                <w:rFonts w:hint="eastAsia" w:ascii="宋体" w:hAnsi="宋体" w:cs="宋体"/>
                <w:b w:val="0"/>
                <w:bCs w:val="0"/>
                <w:color w:val="auto"/>
                <w:kern w:val="0"/>
                <w:sz w:val="21"/>
                <w:szCs w:val="21"/>
                <w:highlight w:val="none"/>
                <w:lang w:val="en-US" w:eastAsia="zh-CN" w:bidi="ar-SA"/>
              </w:rPr>
              <w:t>4</w:t>
            </w:r>
            <w:r>
              <w:rPr>
                <w:rFonts w:hint="default" w:ascii="宋体" w:hAnsi="宋体" w:eastAsia="宋体" w:cs="宋体"/>
                <w:b w:val="0"/>
                <w:bCs w:val="0"/>
                <w:color w:val="auto"/>
                <w:kern w:val="0"/>
                <w:sz w:val="21"/>
                <w:szCs w:val="21"/>
                <w:highlight w:val="none"/>
                <w:lang w:val="en-US" w:eastAsia="zh-CN" w:bidi="ar-SA"/>
              </w:rPr>
              <w:t>小时内到达采购人指定现场，按国家及行业标准对故障进行及时处理。</w:t>
            </w:r>
          </w:p>
          <w:p w14:paraId="2B813D7B">
            <w:pPr>
              <w:keepNext w:val="0"/>
              <w:keepLines w:val="0"/>
              <w:pageBreakBefore w:val="0"/>
              <w:widowControl w:val="0"/>
              <w:tabs>
                <w:tab w:val="left" w:pos="1090"/>
              </w:tabs>
              <w:kinsoku/>
              <w:wordWrap/>
              <w:overflowPunct/>
              <w:topLinePunct w:val="0"/>
              <w:autoSpaceDE/>
              <w:autoSpaceDN/>
              <w:bidi w:val="0"/>
              <w:adjustRightInd w:val="0"/>
              <w:snapToGrid w:val="0"/>
              <w:spacing w:line="288" w:lineRule="auto"/>
              <w:textAlignment w:val="auto"/>
              <w:rPr>
                <w:rFonts w:hint="eastAsia" w:ascii="宋体" w:hAnsi="宋体" w:eastAsia="宋体" w:cs="宋体"/>
                <w:i w:val="0"/>
                <w:iCs w:val="0"/>
                <w:color w:val="auto"/>
                <w:sz w:val="22"/>
                <w:szCs w:val="22"/>
                <w:highlight w:val="none"/>
                <w:u w:val="none"/>
              </w:rPr>
            </w:pPr>
            <w:r>
              <w:rPr>
                <w:rFonts w:hint="eastAsia" w:ascii="宋体" w:hAnsi="宋体" w:eastAsia="宋体" w:cs="宋体"/>
                <w:b w:val="0"/>
                <w:bCs w:val="0"/>
                <w:color w:val="auto"/>
                <w:kern w:val="0"/>
                <w:sz w:val="21"/>
                <w:szCs w:val="21"/>
                <w:highlight w:val="none"/>
                <w:lang w:val="en-US" w:eastAsia="zh-CN" w:bidi="ar-SA"/>
              </w:rPr>
              <w:t>2.维修设备满足至少6个月免费售后维修。</w:t>
            </w:r>
          </w:p>
        </w:tc>
      </w:tr>
      <w:tr w14:paraId="79C4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26" w:type="dxa"/>
            <w:gridSpan w:val="2"/>
            <w:noWrap/>
            <w:vAlign w:val="center"/>
          </w:tcPr>
          <w:p w14:paraId="0F4A0138">
            <w:pPr>
              <w:tabs>
                <w:tab w:val="left" w:pos="1090"/>
              </w:tabs>
              <w:adjustRightInd w:val="0"/>
              <w:snapToGrid w:val="0"/>
              <w:spacing w:line="288" w:lineRule="auto"/>
              <w:jc w:val="center"/>
              <w:rPr>
                <w:rFonts w:hint="eastAsia" w:ascii="宋体" w:hAnsi="宋体" w:eastAsia="宋体" w:cs="宋体"/>
                <w:i w:val="0"/>
                <w:iCs w:val="0"/>
                <w:color w:val="auto"/>
                <w:sz w:val="22"/>
                <w:szCs w:val="22"/>
                <w:highlight w:val="none"/>
                <w:u w:val="none"/>
              </w:rPr>
            </w:pPr>
            <w:r>
              <w:rPr>
                <w:rFonts w:hint="eastAsia" w:ascii="宋体" w:hAnsi="宋体" w:cs="宋体"/>
                <w:b w:val="0"/>
                <w:bCs w:val="0"/>
                <w:color w:val="auto"/>
                <w:kern w:val="0"/>
                <w:szCs w:val="21"/>
                <w:highlight w:val="none"/>
              </w:rPr>
              <w:t>验收标准</w:t>
            </w:r>
          </w:p>
        </w:tc>
        <w:tc>
          <w:tcPr>
            <w:tcW w:w="7356" w:type="dxa"/>
            <w:gridSpan w:val="5"/>
            <w:noWrap/>
            <w:vAlign w:val="center"/>
          </w:tcPr>
          <w:p w14:paraId="1341A9F5">
            <w:pPr>
              <w:keepNext w:val="0"/>
              <w:keepLines w:val="0"/>
              <w:pageBreakBefore w:val="0"/>
              <w:widowControl w:val="0"/>
              <w:tabs>
                <w:tab w:val="left" w:pos="1090"/>
              </w:tabs>
              <w:kinsoku/>
              <w:wordWrap/>
              <w:overflowPunct/>
              <w:topLinePunct w:val="0"/>
              <w:autoSpaceDE/>
              <w:autoSpaceDN/>
              <w:bidi w:val="0"/>
              <w:adjustRightInd w:val="0"/>
              <w:snapToGrid w:val="0"/>
              <w:spacing w:line="288" w:lineRule="auto"/>
              <w:textAlignment w:val="auto"/>
              <w:rPr>
                <w:rFonts w:hint="default" w:ascii="宋体" w:hAnsi="宋体" w:eastAsia="宋体" w:cs="宋体"/>
                <w:b w:val="0"/>
                <w:bCs w:val="0"/>
                <w:color w:val="auto"/>
                <w:kern w:val="0"/>
                <w:sz w:val="21"/>
                <w:szCs w:val="21"/>
                <w:highlight w:val="none"/>
                <w:lang w:val="en-US" w:eastAsia="zh-CN" w:bidi="ar-SA"/>
              </w:rPr>
            </w:pPr>
            <w:r>
              <w:rPr>
                <w:rFonts w:hint="default" w:ascii="宋体" w:hAnsi="宋体" w:eastAsia="宋体" w:cs="宋体"/>
                <w:b w:val="0"/>
                <w:bCs w:val="0"/>
                <w:color w:val="auto"/>
                <w:kern w:val="0"/>
                <w:sz w:val="21"/>
                <w:szCs w:val="21"/>
                <w:highlight w:val="none"/>
                <w:lang w:val="en-US" w:eastAsia="zh-CN" w:bidi="ar-SA"/>
              </w:rPr>
              <w:t>按磋商文件、成交供应商的响应文件承诺及相关行业标准进行验收。</w:t>
            </w:r>
          </w:p>
          <w:p w14:paraId="696E4BB4">
            <w:pPr>
              <w:keepNext w:val="0"/>
              <w:keepLines w:val="0"/>
              <w:pageBreakBefore w:val="0"/>
              <w:widowControl w:val="0"/>
              <w:tabs>
                <w:tab w:val="left" w:pos="1090"/>
              </w:tabs>
              <w:kinsoku/>
              <w:wordWrap/>
              <w:overflowPunct/>
              <w:topLinePunct w:val="0"/>
              <w:autoSpaceDE/>
              <w:autoSpaceDN/>
              <w:bidi w:val="0"/>
              <w:adjustRightInd w:val="0"/>
              <w:snapToGrid w:val="0"/>
              <w:spacing w:line="288" w:lineRule="auto"/>
              <w:textAlignment w:val="auto"/>
              <w:rPr>
                <w:rFonts w:hint="default" w:ascii="宋体" w:hAnsi="宋体" w:eastAsia="宋体" w:cs="宋体"/>
                <w:b w:val="0"/>
                <w:bCs w:val="0"/>
                <w:color w:val="auto"/>
                <w:kern w:val="0"/>
                <w:sz w:val="21"/>
                <w:szCs w:val="21"/>
                <w:highlight w:val="none"/>
                <w:lang w:val="en-US" w:eastAsia="zh-CN" w:bidi="ar-SA"/>
              </w:rPr>
            </w:pPr>
            <w:r>
              <w:rPr>
                <w:rFonts w:hint="default" w:ascii="宋体" w:hAnsi="宋体" w:eastAsia="宋体" w:cs="宋体"/>
                <w:b w:val="0"/>
                <w:bCs w:val="0"/>
                <w:color w:val="auto"/>
                <w:kern w:val="0"/>
                <w:sz w:val="21"/>
                <w:szCs w:val="21"/>
                <w:highlight w:val="none"/>
                <w:lang w:val="en-US" w:eastAsia="zh-CN" w:bidi="ar-SA"/>
              </w:rPr>
              <w:t>1.成交供应商提供不符合采购文件、响应文件承诺的或本合同规定的货物、服务的，采购人有权拒绝接受。</w:t>
            </w:r>
          </w:p>
          <w:p w14:paraId="3AC4B857">
            <w:pPr>
              <w:keepNext w:val="0"/>
              <w:keepLines w:val="0"/>
              <w:pageBreakBefore w:val="0"/>
              <w:widowControl w:val="0"/>
              <w:tabs>
                <w:tab w:val="left" w:pos="1090"/>
              </w:tabs>
              <w:kinsoku/>
              <w:wordWrap/>
              <w:overflowPunct/>
              <w:topLinePunct w:val="0"/>
              <w:autoSpaceDE/>
              <w:autoSpaceDN/>
              <w:bidi w:val="0"/>
              <w:adjustRightInd w:val="0"/>
              <w:snapToGrid w:val="0"/>
              <w:spacing w:line="288" w:lineRule="auto"/>
              <w:textAlignment w:val="auto"/>
              <w:rPr>
                <w:rFonts w:hint="default" w:ascii="宋体" w:hAnsi="宋体" w:eastAsia="宋体" w:cs="宋体"/>
                <w:b w:val="0"/>
                <w:bCs w:val="0"/>
                <w:color w:val="auto"/>
                <w:kern w:val="0"/>
                <w:sz w:val="21"/>
                <w:szCs w:val="21"/>
                <w:highlight w:val="none"/>
                <w:lang w:val="en-US" w:eastAsia="zh-CN" w:bidi="ar-SA"/>
              </w:rPr>
            </w:pPr>
            <w:r>
              <w:rPr>
                <w:rFonts w:hint="default" w:ascii="宋体" w:hAnsi="宋体" w:eastAsia="宋体" w:cs="宋体"/>
                <w:b w:val="0"/>
                <w:bCs w:val="0"/>
                <w:color w:val="auto"/>
                <w:kern w:val="0"/>
                <w:sz w:val="21"/>
                <w:szCs w:val="21"/>
                <w:highlight w:val="none"/>
                <w:lang w:val="en-US" w:eastAsia="zh-CN" w:bidi="ar-SA"/>
              </w:rPr>
              <w:t>2.以双方签定的合同的条件为准，逐项进行最终验收。采购人对验收有异议的，在验收后5个工作日内以书面形式向供应商提出,供应商应自收到采购人书面异议后5个工作日内及时予以解决。采购人有权邀请相关行业专家一起验收，所产生的费用包含在竞标报价中。请各竞标人代表自行考虑竞标成本。</w:t>
            </w:r>
          </w:p>
          <w:p w14:paraId="2E686825">
            <w:pPr>
              <w:keepNext w:val="0"/>
              <w:keepLines w:val="0"/>
              <w:pageBreakBefore w:val="0"/>
              <w:widowControl w:val="0"/>
              <w:tabs>
                <w:tab w:val="left" w:pos="1090"/>
              </w:tabs>
              <w:kinsoku/>
              <w:wordWrap/>
              <w:overflowPunct/>
              <w:topLinePunct w:val="0"/>
              <w:autoSpaceDE/>
              <w:autoSpaceDN/>
              <w:bidi w:val="0"/>
              <w:adjustRightInd w:val="0"/>
              <w:snapToGrid w:val="0"/>
              <w:spacing w:line="288" w:lineRule="auto"/>
              <w:textAlignment w:val="auto"/>
              <w:rPr>
                <w:rFonts w:hint="default" w:ascii="宋体" w:hAnsi="宋体" w:eastAsia="宋体" w:cs="宋体"/>
                <w:b w:val="0"/>
                <w:bCs w:val="0"/>
                <w:color w:val="auto"/>
                <w:kern w:val="0"/>
                <w:sz w:val="21"/>
                <w:szCs w:val="21"/>
                <w:highlight w:val="none"/>
                <w:lang w:val="en-US" w:eastAsia="zh-CN" w:bidi="ar-SA"/>
              </w:rPr>
            </w:pPr>
            <w:r>
              <w:rPr>
                <w:rFonts w:hint="default" w:ascii="宋体" w:hAnsi="宋体" w:eastAsia="宋体" w:cs="宋体"/>
                <w:b w:val="0"/>
                <w:bCs w:val="0"/>
                <w:color w:val="auto"/>
                <w:kern w:val="0"/>
                <w:sz w:val="21"/>
                <w:szCs w:val="21"/>
                <w:highlight w:val="none"/>
                <w:lang w:val="en-US" w:eastAsia="zh-CN" w:bidi="ar-SA"/>
              </w:rPr>
              <w:t>3.成交供应商提供的服务未达到采购文件规定要求或未按响应文件承诺提供的，且对采购人造成损失的，由成交供应商承担一切责任，并赔偿所造成的损失。因成交供应商原因逾期10日未交付合同货物、服务的，采购人有权解除合同，不支付合同款项，按成交供应商违约处理，给采购人造成损失的，采购人依法进行追偿。</w:t>
            </w:r>
          </w:p>
          <w:p w14:paraId="1CA33757">
            <w:pPr>
              <w:keepNext w:val="0"/>
              <w:keepLines w:val="0"/>
              <w:pageBreakBefore w:val="0"/>
              <w:widowControl w:val="0"/>
              <w:tabs>
                <w:tab w:val="left" w:pos="1090"/>
              </w:tabs>
              <w:kinsoku/>
              <w:wordWrap/>
              <w:overflowPunct/>
              <w:topLinePunct w:val="0"/>
              <w:autoSpaceDE/>
              <w:autoSpaceDN/>
              <w:bidi w:val="0"/>
              <w:adjustRightInd w:val="0"/>
              <w:snapToGrid w:val="0"/>
              <w:spacing w:line="288" w:lineRule="auto"/>
              <w:textAlignment w:val="auto"/>
              <w:rPr>
                <w:rFonts w:hint="eastAsia" w:ascii="宋体" w:hAnsi="宋体" w:eastAsia="宋体" w:cs="宋体"/>
                <w:i w:val="0"/>
                <w:iCs w:val="0"/>
                <w:color w:val="auto"/>
                <w:sz w:val="22"/>
                <w:szCs w:val="22"/>
                <w:highlight w:val="none"/>
                <w:u w:val="none"/>
              </w:rPr>
            </w:pPr>
            <w:r>
              <w:rPr>
                <w:rFonts w:hint="default" w:ascii="宋体" w:hAnsi="宋体" w:eastAsia="宋体" w:cs="宋体"/>
                <w:b w:val="0"/>
                <w:bCs w:val="0"/>
                <w:color w:val="auto"/>
                <w:kern w:val="0"/>
                <w:sz w:val="21"/>
                <w:szCs w:val="21"/>
                <w:highlight w:val="none"/>
                <w:lang w:val="en-US" w:eastAsia="zh-CN" w:bidi="ar-SA"/>
              </w:rPr>
              <w:t>4.采购标的需执行国家标准、行业标准、地方标准或者其他标准、规范。多项标准的，按最新标准或较高标准执行。</w:t>
            </w:r>
          </w:p>
        </w:tc>
      </w:tr>
      <w:tr w14:paraId="1632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26" w:type="dxa"/>
            <w:gridSpan w:val="2"/>
            <w:noWrap/>
            <w:vAlign w:val="center"/>
          </w:tcPr>
          <w:p w14:paraId="60616A18">
            <w:pPr>
              <w:tabs>
                <w:tab w:val="left" w:pos="1090"/>
              </w:tabs>
              <w:adjustRightInd w:val="0"/>
              <w:snapToGrid w:val="0"/>
              <w:spacing w:line="288" w:lineRule="auto"/>
              <w:jc w:val="center"/>
              <w:rPr>
                <w:rFonts w:hint="eastAsia" w:ascii="宋体" w:hAnsi="宋体" w:cs="宋体"/>
                <w:b w:val="0"/>
                <w:bCs w:val="0"/>
                <w:color w:val="auto"/>
                <w:kern w:val="0"/>
                <w:szCs w:val="21"/>
                <w:highlight w:val="none"/>
              </w:rPr>
            </w:pPr>
            <w:r>
              <w:rPr>
                <w:rFonts w:hint="eastAsia" w:ascii="宋体" w:hAnsi="宋体" w:cs="宋体"/>
                <w:b w:val="0"/>
                <w:bCs w:val="0"/>
                <w:color w:val="auto"/>
                <w:kern w:val="0"/>
                <w:szCs w:val="21"/>
                <w:highlight w:val="none"/>
              </w:rPr>
              <w:t>付款方式</w:t>
            </w:r>
          </w:p>
        </w:tc>
        <w:tc>
          <w:tcPr>
            <w:tcW w:w="7356" w:type="dxa"/>
            <w:gridSpan w:val="5"/>
            <w:noWrap/>
            <w:vAlign w:val="center"/>
          </w:tcPr>
          <w:p w14:paraId="3CC5FE17">
            <w:pPr>
              <w:pStyle w:val="68"/>
              <w:keepNext w:val="0"/>
              <w:keepLines w:val="0"/>
              <w:pageBreakBefore w:val="0"/>
              <w:widowControl w:val="0"/>
              <w:kinsoku/>
              <w:wordWrap/>
              <w:overflowPunct/>
              <w:topLinePunct w:val="0"/>
              <w:autoSpaceDE/>
              <w:autoSpaceDN/>
              <w:bidi w:val="0"/>
              <w:ind w:left="0" w:leftChars="0" w:firstLine="0" w:firstLineChars="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1.项目验收合格后10个工作日内一次性付清合同款。</w:t>
            </w:r>
          </w:p>
          <w:p w14:paraId="6741842C">
            <w:pPr>
              <w:pStyle w:val="68"/>
              <w:keepNext w:val="0"/>
              <w:keepLines w:val="0"/>
              <w:pageBreakBefore w:val="0"/>
              <w:widowControl w:val="0"/>
              <w:kinsoku/>
              <w:wordWrap/>
              <w:overflowPunct/>
              <w:topLinePunct w:val="0"/>
              <w:autoSpaceDE/>
              <w:autoSpaceDN/>
              <w:bidi w:val="0"/>
              <w:ind w:left="0" w:leftChars="0" w:firstLine="0" w:firstLineChars="0"/>
              <w:textAlignment w:val="auto"/>
              <w:rPr>
                <w:rFonts w:hint="default"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2.采购人付款前，成交供应商应向采购人开具等额有效的增值税发票，采购人未收到合格有效发票的，有权不予支付相应款项直至成交供应商提供合格发票，并不承担延迟付款责任。</w:t>
            </w:r>
          </w:p>
        </w:tc>
      </w:tr>
      <w:tr w14:paraId="6DBE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26" w:type="dxa"/>
            <w:gridSpan w:val="2"/>
            <w:noWrap/>
            <w:vAlign w:val="center"/>
          </w:tcPr>
          <w:p w14:paraId="54246868">
            <w:pPr>
              <w:tabs>
                <w:tab w:val="left" w:pos="1090"/>
              </w:tabs>
              <w:adjustRightInd w:val="0"/>
              <w:snapToGrid w:val="0"/>
              <w:spacing w:line="288" w:lineRule="auto"/>
              <w:jc w:val="center"/>
              <w:rPr>
                <w:rFonts w:hint="eastAsia" w:ascii="宋体" w:hAnsi="宋体" w:cs="宋体"/>
                <w:b w:val="0"/>
                <w:bCs w:val="0"/>
                <w:color w:val="auto"/>
                <w:kern w:val="0"/>
                <w:szCs w:val="21"/>
                <w:highlight w:val="none"/>
              </w:rPr>
            </w:pPr>
            <w:r>
              <w:rPr>
                <w:rFonts w:hint="eastAsia" w:ascii="宋体" w:hAnsi="宋体" w:cs="宋体"/>
                <w:b w:val="0"/>
                <w:bCs w:val="0"/>
                <w:color w:val="auto"/>
                <w:kern w:val="0"/>
                <w:szCs w:val="21"/>
                <w:highlight w:val="none"/>
                <w:lang w:val="en-US" w:eastAsia="zh-CN"/>
              </w:rPr>
              <w:t>报价要求</w:t>
            </w:r>
          </w:p>
        </w:tc>
        <w:tc>
          <w:tcPr>
            <w:tcW w:w="7356" w:type="dxa"/>
            <w:gridSpan w:val="5"/>
            <w:noWrap/>
            <w:vAlign w:val="center"/>
          </w:tcPr>
          <w:p w14:paraId="60297385">
            <w:pPr>
              <w:pStyle w:val="68"/>
              <w:keepNext w:val="0"/>
              <w:keepLines w:val="0"/>
              <w:pageBreakBefore w:val="0"/>
              <w:widowControl w:val="0"/>
              <w:kinsoku/>
              <w:wordWrap/>
              <w:overflowPunct/>
              <w:topLinePunct w:val="0"/>
              <w:autoSpaceDE/>
              <w:autoSpaceDN/>
              <w:bidi w:val="0"/>
              <w:ind w:left="0" w:leftChars="0" w:firstLine="0" w:firstLineChars="0"/>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供应商</w:t>
            </w:r>
            <w:r>
              <w:rPr>
                <w:rFonts w:hint="default" w:ascii="宋体" w:hAnsi="宋体" w:eastAsia="宋体" w:cs="宋体"/>
                <w:b w:val="0"/>
                <w:bCs w:val="0"/>
                <w:color w:val="auto"/>
                <w:kern w:val="0"/>
                <w:sz w:val="21"/>
                <w:szCs w:val="21"/>
                <w:highlight w:val="none"/>
                <w:lang w:val="en-US" w:eastAsia="zh-CN" w:bidi="ar-SA"/>
              </w:rPr>
              <w:t>磋商报价</w:t>
            </w:r>
            <w:r>
              <w:rPr>
                <w:rFonts w:hint="eastAsia" w:ascii="宋体" w:hAnsi="宋体" w:eastAsia="宋体" w:cs="宋体"/>
                <w:b w:val="0"/>
                <w:bCs w:val="0"/>
                <w:color w:val="auto"/>
                <w:kern w:val="0"/>
                <w:sz w:val="21"/>
                <w:szCs w:val="21"/>
                <w:highlight w:val="none"/>
                <w:lang w:val="en-US" w:eastAsia="zh-CN" w:bidi="ar-SA"/>
              </w:rPr>
              <w:t>应</w:t>
            </w:r>
            <w:r>
              <w:rPr>
                <w:rFonts w:hint="default" w:ascii="宋体" w:hAnsi="宋体" w:eastAsia="宋体" w:cs="宋体"/>
                <w:b w:val="0"/>
                <w:bCs w:val="0"/>
                <w:color w:val="auto"/>
                <w:kern w:val="0"/>
                <w:sz w:val="21"/>
                <w:szCs w:val="21"/>
                <w:highlight w:val="none"/>
                <w:lang w:val="en-US" w:eastAsia="zh-CN" w:bidi="ar-SA"/>
              </w:rPr>
              <w:t>包含劳务费、交通费、食宿费、培训费、技术支持、运营维修维护费、必要的保险、税金及其他可能产生的成本和利润的总和。供应商自行考量成本及利润后一次性报价，成交后不得以任何理由增加费用。</w:t>
            </w:r>
          </w:p>
        </w:tc>
      </w:tr>
    </w:tbl>
    <w:p w14:paraId="0CFA7F9C">
      <w:pPr>
        <w:numPr>
          <w:ilvl w:val="0"/>
          <w:numId w:val="0"/>
        </w:numPr>
        <w:spacing w:line="400" w:lineRule="exact"/>
        <w:ind w:firstLine="422" w:firstLineChars="200"/>
        <w:jc w:val="left"/>
        <w:rPr>
          <w:rFonts w:hint="default" w:ascii="宋体" w:hAnsi="宋体" w:eastAsia="宋体" w:cs="宋体"/>
          <w:b/>
          <w:bCs/>
          <w:color w:val="auto"/>
          <w:kern w:val="21"/>
          <w:sz w:val="21"/>
          <w:highlight w:val="none"/>
          <w:lang w:val="en-US" w:eastAsia="zh-CN"/>
        </w:rPr>
      </w:pPr>
      <w:r>
        <w:rPr>
          <w:rFonts w:hint="eastAsia" w:ascii="宋体" w:hAnsi="宋体" w:cs="宋体"/>
          <w:b/>
          <w:bCs/>
          <w:color w:val="auto"/>
          <w:szCs w:val="21"/>
          <w:highlight w:val="none"/>
          <w:lang w:val="en-US" w:eastAsia="zh-CN"/>
        </w:rPr>
        <w:t>注：</w:t>
      </w:r>
      <w:r>
        <w:rPr>
          <w:rFonts w:hint="eastAsia" w:ascii="宋体" w:hAnsi="宋体" w:cs="宋体"/>
          <w:b/>
          <w:bCs/>
          <w:color w:val="auto"/>
          <w:kern w:val="21"/>
          <w:sz w:val="21"/>
          <w:highlight w:val="none"/>
          <w:lang w:val="en-US" w:eastAsia="zh-CN"/>
        </w:rPr>
        <w:t>其他</w:t>
      </w:r>
      <w:r>
        <w:rPr>
          <w:rFonts w:hint="eastAsia" w:ascii="宋体" w:hAnsi="宋体" w:eastAsia="宋体" w:cs="宋体"/>
          <w:b/>
          <w:bCs/>
          <w:color w:val="auto"/>
          <w:kern w:val="21"/>
          <w:sz w:val="21"/>
          <w:highlight w:val="none"/>
          <w:lang w:val="en-US" w:eastAsia="zh-CN"/>
        </w:rPr>
        <w:t>说明</w:t>
      </w:r>
    </w:p>
    <w:p w14:paraId="672E4CC9">
      <w:pPr>
        <w:numPr>
          <w:ilvl w:val="0"/>
          <w:numId w:val="0"/>
        </w:numPr>
        <w:spacing w:line="400" w:lineRule="exact"/>
        <w:ind w:firstLine="420" w:firstLineChars="200"/>
        <w:jc w:val="left"/>
        <w:rPr>
          <w:rFonts w:hint="default"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lang w:val="en-US" w:eastAsia="zh-CN"/>
        </w:rPr>
        <w:t>1.现场勘查：</w:t>
      </w:r>
    </w:p>
    <w:p w14:paraId="4B7DAC32">
      <w:pPr>
        <w:pStyle w:val="14"/>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1.1本项目组织统一现场</w:t>
      </w:r>
      <w:r>
        <w:rPr>
          <w:rFonts w:hint="eastAsia" w:ascii="宋体" w:hAnsi="宋体" w:eastAsia="宋体" w:cs="宋体"/>
          <w:color w:val="auto"/>
          <w:kern w:val="21"/>
          <w:sz w:val="21"/>
          <w:szCs w:val="21"/>
          <w:highlight w:val="none"/>
          <w:lang w:val="en-US" w:eastAsia="zh-CN"/>
        </w:rPr>
        <w:t>勘查</w:t>
      </w:r>
      <w:r>
        <w:rPr>
          <w:rFonts w:hint="eastAsia" w:ascii="宋体" w:hAnsi="宋体" w:cs="宋体"/>
          <w:color w:val="auto"/>
          <w:sz w:val="21"/>
          <w:szCs w:val="21"/>
          <w:highlight w:val="none"/>
        </w:rPr>
        <w:t>，供应商可自主选择是否参加，不作强制</w:t>
      </w:r>
      <w:r>
        <w:rPr>
          <w:rFonts w:hint="eastAsia" w:ascii="宋体" w:hAnsi="宋体" w:cs="宋体"/>
          <w:color w:val="auto"/>
          <w:sz w:val="21"/>
          <w:szCs w:val="21"/>
          <w:highlight w:val="none"/>
          <w:lang w:val="en-US" w:eastAsia="zh-CN"/>
        </w:rPr>
        <w:t>性</w:t>
      </w:r>
      <w:r>
        <w:rPr>
          <w:rFonts w:hint="eastAsia" w:ascii="宋体" w:hAnsi="宋体" w:cs="宋体"/>
          <w:color w:val="auto"/>
          <w:sz w:val="21"/>
          <w:szCs w:val="21"/>
          <w:highlight w:val="none"/>
        </w:rPr>
        <w:t>要求。统一现场踏勘时间：</w:t>
      </w:r>
      <w:r>
        <w:rPr>
          <w:rFonts w:hint="eastAsia" w:ascii="宋体" w:hAnsi="宋体" w:cs="宋体"/>
          <w:color w:val="auto"/>
          <w:sz w:val="21"/>
          <w:szCs w:val="21"/>
          <w:highlight w:val="none"/>
          <w:u w:val="single"/>
        </w:rPr>
        <w:t>2026</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时</w:t>
      </w:r>
      <w:r>
        <w:rPr>
          <w:rFonts w:hint="eastAsia" w:ascii="宋体" w:hAnsi="宋体" w:cs="宋体"/>
          <w:color w:val="auto"/>
          <w:sz w:val="21"/>
          <w:szCs w:val="21"/>
          <w:highlight w:val="none"/>
          <w:lang w:val="en-US" w:eastAsia="zh-CN"/>
        </w:rPr>
        <w:t>00</w:t>
      </w:r>
      <w:r>
        <w:rPr>
          <w:rFonts w:hint="eastAsia" w:ascii="宋体" w:hAnsi="宋体" w:cs="宋体"/>
          <w:color w:val="auto"/>
          <w:sz w:val="21"/>
          <w:szCs w:val="21"/>
          <w:highlight w:val="none"/>
        </w:rPr>
        <w:t>分，</w:t>
      </w:r>
      <w:r>
        <w:rPr>
          <w:rFonts w:hint="eastAsia" w:ascii="宋体" w:hAnsi="宋体" w:eastAsia="宋体" w:cs="宋体"/>
          <w:color w:val="auto"/>
          <w:kern w:val="21"/>
          <w:sz w:val="21"/>
          <w:szCs w:val="21"/>
          <w:highlight w:val="none"/>
          <w:lang w:val="en-US" w:eastAsia="zh-CN"/>
        </w:rPr>
        <w:t>勘查</w:t>
      </w:r>
      <w:r>
        <w:rPr>
          <w:rFonts w:hint="eastAsia" w:ascii="宋体" w:hAnsi="宋体" w:cs="宋体"/>
          <w:color w:val="auto"/>
          <w:sz w:val="21"/>
          <w:szCs w:val="21"/>
          <w:highlight w:val="none"/>
        </w:rPr>
        <w:t>地点</w:t>
      </w:r>
      <w:r>
        <w:rPr>
          <w:rFonts w:hint="eastAsia" w:ascii="宋体" w:hAnsi="宋体" w:cs="宋体"/>
          <w:color w:val="auto"/>
          <w:sz w:val="21"/>
          <w:szCs w:val="21"/>
          <w:highlight w:val="none"/>
          <w:u w:val="single"/>
        </w:rPr>
        <w:t>：贵港市港北区聚贤路8号广西物流职业技术学院</w:t>
      </w:r>
      <w:r>
        <w:rPr>
          <w:rFonts w:hint="eastAsia" w:ascii="宋体" w:hAnsi="宋体" w:cs="宋体"/>
          <w:color w:val="auto"/>
          <w:sz w:val="21"/>
          <w:szCs w:val="21"/>
          <w:highlight w:val="none"/>
        </w:rPr>
        <w:t>；联系人：张老师，联系电话：18078002102。采购人不单独、分别组织各供应商开展现场</w:t>
      </w:r>
      <w:r>
        <w:rPr>
          <w:rFonts w:hint="eastAsia" w:ascii="宋体" w:hAnsi="宋体" w:eastAsia="宋体" w:cs="宋体"/>
          <w:color w:val="auto"/>
          <w:kern w:val="21"/>
          <w:sz w:val="21"/>
          <w:szCs w:val="21"/>
          <w:highlight w:val="none"/>
          <w:lang w:val="en-US" w:eastAsia="zh-CN"/>
        </w:rPr>
        <w:t>勘查</w:t>
      </w:r>
      <w:r>
        <w:rPr>
          <w:rFonts w:hint="eastAsia" w:ascii="宋体" w:hAnsi="宋体" w:cs="宋体"/>
          <w:color w:val="auto"/>
          <w:sz w:val="21"/>
          <w:szCs w:val="21"/>
          <w:highlight w:val="none"/>
        </w:rPr>
        <w:t>。有意参加现场</w:t>
      </w:r>
      <w:r>
        <w:rPr>
          <w:rFonts w:hint="eastAsia" w:ascii="宋体" w:hAnsi="宋体" w:eastAsia="宋体" w:cs="宋体"/>
          <w:color w:val="auto"/>
          <w:kern w:val="21"/>
          <w:sz w:val="21"/>
          <w:szCs w:val="21"/>
          <w:highlight w:val="none"/>
          <w:lang w:val="en-US" w:eastAsia="zh-CN"/>
        </w:rPr>
        <w:t>勘查</w:t>
      </w:r>
      <w:r>
        <w:rPr>
          <w:rFonts w:hint="eastAsia" w:ascii="宋体" w:hAnsi="宋体" w:cs="宋体"/>
          <w:color w:val="auto"/>
          <w:sz w:val="21"/>
          <w:szCs w:val="21"/>
          <w:highlight w:val="none"/>
        </w:rPr>
        <w:t>的供应商须携带授权委托书，由采购人联系人现场核验。</w:t>
      </w:r>
    </w:p>
    <w:p w14:paraId="69F8F3B9">
      <w:pPr>
        <w:pStyle w:val="14"/>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1.2供应商参与现场</w:t>
      </w:r>
      <w:r>
        <w:rPr>
          <w:rFonts w:hint="eastAsia" w:ascii="宋体" w:hAnsi="宋体" w:eastAsia="宋体" w:cs="宋体"/>
          <w:color w:val="auto"/>
          <w:kern w:val="21"/>
          <w:sz w:val="21"/>
          <w:szCs w:val="21"/>
          <w:highlight w:val="none"/>
          <w:lang w:val="en-US" w:eastAsia="zh-CN"/>
        </w:rPr>
        <w:t>勘查</w:t>
      </w:r>
      <w:r>
        <w:rPr>
          <w:rFonts w:hint="eastAsia" w:ascii="宋体" w:hAnsi="宋体" w:cs="宋体"/>
          <w:color w:val="auto"/>
          <w:sz w:val="21"/>
          <w:szCs w:val="21"/>
          <w:highlight w:val="none"/>
        </w:rPr>
        <w:t>产生的一切费用自行承担。</w:t>
      </w:r>
    </w:p>
    <w:p w14:paraId="5FE7C010">
      <w:pPr>
        <w:pStyle w:val="14"/>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1.3供应商应对</w:t>
      </w:r>
      <w:r>
        <w:rPr>
          <w:rFonts w:hint="eastAsia" w:ascii="宋体" w:hAnsi="宋体" w:eastAsia="宋体" w:cs="宋体"/>
          <w:color w:val="auto"/>
          <w:kern w:val="21"/>
          <w:sz w:val="21"/>
          <w:szCs w:val="21"/>
          <w:highlight w:val="none"/>
          <w:lang w:val="en-US" w:eastAsia="zh-CN"/>
        </w:rPr>
        <w:t>勘查</w:t>
      </w:r>
      <w:r>
        <w:rPr>
          <w:rFonts w:hint="eastAsia" w:ascii="宋体" w:hAnsi="宋体" w:cs="宋体"/>
          <w:color w:val="auto"/>
          <w:sz w:val="21"/>
          <w:szCs w:val="21"/>
          <w:highlight w:val="none"/>
        </w:rPr>
        <w:t>现场期间自身人员伤亡、财产损失承担全部责任。</w:t>
      </w:r>
    </w:p>
    <w:p w14:paraId="686D544A">
      <w:pPr>
        <w:widowControl/>
        <w:jc w:val="left"/>
        <w:rPr>
          <w:rFonts w:ascii="黑体" w:hAnsi="黑体" w:eastAsia="黑体" w:cs="黑体"/>
          <w:color w:val="auto"/>
          <w:sz w:val="32"/>
          <w:szCs w:val="32"/>
          <w:highlight w:val="none"/>
        </w:rPr>
      </w:pPr>
      <w:r>
        <w:rPr>
          <w:rFonts w:ascii="宋体" w:hAnsi="宋体" w:cs="宋体"/>
          <w:b/>
          <w:bCs/>
          <w:color w:val="auto"/>
          <w:szCs w:val="21"/>
          <w:highlight w:val="none"/>
        </w:rPr>
        <w:br w:type="page"/>
      </w:r>
      <w:r>
        <w:rPr>
          <w:rFonts w:hint="eastAsia" w:ascii="黑体" w:hAnsi="黑体" w:eastAsia="黑体" w:cs="黑体"/>
          <w:color w:val="auto"/>
          <w:sz w:val="32"/>
          <w:szCs w:val="32"/>
          <w:highlight w:val="none"/>
        </w:rPr>
        <w:t>附件1：</w:t>
      </w:r>
    </w:p>
    <w:p w14:paraId="5C472B66">
      <w:pPr>
        <w:pStyle w:val="11"/>
        <w:jc w:val="center"/>
        <w:rPr>
          <w:rFonts w:hint="eastAsia"/>
          <w:b/>
          <w:color w:val="auto"/>
          <w:sz w:val="28"/>
          <w:szCs w:val="28"/>
          <w:highlight w:val="none"/>
        </w:rPr>
      </w:pPr>
      <w:r>
        <w:rPr>
          <w:rFonts w:hint="eastAsia"/>
          <w:b/>
          <w:color w:val="auto"/>
          <w:sz w:val="28"/>
          <w:szCs w:val="28"/>
          <w:highlight w:val="none"/>
        </w:rPr>
        <w:t>中小企业划型标准规定</w:t>
      </w:r>
    </w:p>
    <w:p w14:paraId="786F2D3F">
      <w:pPr>
        <w:pStyle w:val="11"/>
        <w:jc w:val="center"/>
        <w:rPr>
          <w:rFonts w:ascii="宋体" w:hAnsi="宋体"/>
          <w:color w:val="auto"/>
          <w:szCs w:val="21"/>
          <w:highlight w:val="none"/>
        </w:rPr>
      </w:pPr>
      <w:r>
        <w:rPr>
          <w:rFonts w:hint="eastAsia" w:ascii="宋体" w:hAnsi="宋体"/>
          <w:color w:val="auto"/>
          <w:szCs w:val="21"/>
          <w:highlight w:val="none"/>
        </w:rPr>
        <w:t>工信部联企业〔2011〕300号</w:t>
      </w:r>
    </w:p>
    <w:p w14:paraId="23CB4AC9">
      <w:pPr>
        <w:pStyle w:val="11"/>
        <w:rPr>
          <w:rFonts w:hint="eastAsia"/>
          <w:color w:val="auto"/>
          <w:sz w:val="24"/>
          <w:szCs w:val="21"/>
          <w:highlight w:val="none"/>
        </w:rPr>
      </w:pPr>
    </w:p>
    <w:p w14:paraId="3CE6D901">
      <w:pPr>
        <w:pStyle w:val="11"/>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w:t>
      </w:r>
      <w:r>
        <w:rPr>
          <w:rFonts w:hint="eastAsia" w:ascii="宋体" w:hAnsi="宋体"/>
          <w:color w:val="auto"/>
          <w:szCs w:val="21"/>
          <w:highlight w:val="none"/>
        </w:rPr>
        <w:t>〔2009〕36号</w:t>
      </w:r>
      <w:r>
        <w:rPr>
          <w:color w:val="auto"/>
          <w:szCs w:val="21"/>
          <w:highlight w:val="none"/>
        </w:rPr>
        <w:t>)</w:t>
      </w:r>
      <w:r>
        <w:rPr>
          <w:rFonts w:hint="eastAsia"/>
          <w:color w:val="auto"/>
          <w:szCs w:val="21"/>
          <w:highlight w:val="none"/>
        </w:rPr>
        <w:t>，制定本规定。</w:t>
      </w:r>
    </w:p>
    <w:p w14:paraId="2FDC0B39">
      <w:pPr>
        <w:pStyle w:val="11"/>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4B5357B6">
      <w:pPr>
        <w:pStyle w:val="11"/>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50C14B8">
      <w:pPr>
        <w:pStyle w:val="11"/>
        <w:rPr>
          <w:color w:val="auto"/>
          <w:szCs w:val="21"/>
          <w:highlight w:val="none"/>
        </w:rPr>
      </w:pPr>
      <w:r>
        <w:rPr>
          <w:rFonts w:hint="eastAsia"/>
          <w:color w:val="auto"/>
          <w:szCs w:val="21"/>
          <w:highlight w:val="none"/>
        </w:rPr>
        <w:t>　　四、各行业划型标准为：</w:t>
      </w:r>
    </w:p>
    <w:p w14:paraId="496087C5">
      <w:pPr>
        <w:pStyle w:val="11"/>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3E164E65">
      <w:pPr>
        <w:pStyle w:val="11"/>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4FF0D990">
      <w:pPr>
        <w:pStyle w:val="11"/>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11311A1E">
      <w:pPr>
        <w:pStyle w:val="11"/>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1800B89F">
      <w:pPr>
        <w:pStyle w:val="11"/>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1AAD689">
      <w:pPr>
        <w:pStyle w:val="11"/>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49273F2C">
      <w:pPr>
        <w:pStyle w:val="11"/>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7C16066">
      <w:pPr>
        <w:pStyle w:val="11"/>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7FFA976A">
      <w:pPr>
        <w:pStyle w:val="11"/>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D008558">
      <w:pPr>
        <w:pStyle w:val="11"/>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4D80DB8">
      <w:pPr>
        <w:pStyle w:val="11"/>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580D12">
      <w:pPr>
        <w:pStyle w:val="11"/>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3EAA2B2D">
      <w:pPr>
        <w:pStyle w:val="11"/>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92EDD31">
      <w:pPr>
        <w:pStyle w:val="11"/>
        <w:rPr>
          <w:color w:val="auto"/>
          <w:szCs w:val="21"/>
          <w:highlight w:val="none"/>
        </w:rPr>
      </w:pPr>
      <w:r>
        <w:rPr>
          <w:rFonts w:hint="eastAsia"/>
          <w:color w:val="auto"/>
          <w:szCs w:val="21"/>
          <w:highlight w:val="none"/>
        </w:rPr>
        <w:t>　　（十四）物业管理。从业人员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714B9128">
      <w:pPr>
        <w:pStyle w:val="11"/>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CF660FB">
      <w:pPr>
        <w:pStyle w:val="11"/>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0FA02ABA">
      <w:pPr>
        <w:pStyle w:val="11"/>
        <w:rPr>
          <w:color w:val="auto"/>
          <w:szCs w:val="21"/>
          <w:highlight w:val="none"/>
        </w:rPr>
      </w:pPr>
      <w:r>
        <w:rPr>
          <w:rFonts w:hint="eastAsia"/>
          <w:color w:val="auto"/>
          <w:szCs w:val="21"/>
          <w:highlight w:val="none"/>
        </w:rPr>
        <w:t>　　五、企业类型的划分以统计部门的统计数据为依据。</w:t>
      </w:r>
    </w:p>
    <w:p w14:paraId="2FA8DBDC">
      <w:pPr>
        <w:pStyle w:val="11"/>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6FCE8E54">
      <w:pPr>
        <w:pStyle w:val="11"/>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64B538BB">
      <w:pPr>
        <w:pStyle w:val="11"/>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009B3752">
      <w:pPr>
        <w:pStyle w:val="11"/>
        <w:rPr>
          <w:color w:val="auto"/>
          <w:szCs w:val="21"/>
          <w:highlight w:val="none"/>
        </w:rPr>
      </w:pPr>
      <w:r>
        <w:rPr>
          <w:rFonts w:hint="eastAsia"/>
          <w:color w:val="auto"/>
          <w:szCs w:val="21"/>
          <w:highlight w:val="none"/>
        </w:rPr>
        <w:t>　　九、本规定由工业和信息化部、国家统计局会同有关部门负责解释。</w:t>
      </w:r>
    </w:p>
    <w:p w14:paraId="7F3FD348">
      <w:pPr>
        <w:pStyle w:val="11"/>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68FA974C">
      <w:pPr>
        <w:spacing w:line="360" w:lineRule="auto"/>
        <w:ind w:firstLine="0" w:firstLineChars="0"/>
        <w:jc w:val="left"/>
        <w:rPr>
          <w:rFonts w:hint="eastAsia" w:ascii="宋体" w:hAnsi="宋体" w:cs="宋体"/>
          <w:color w:val="auto"/>
          <w:highlight w:val="none"/>
        </w:rPr>
      </w:pPr>
    </w:p>
    <w:p w14:paraId="03D1314A">
      <w:pPr>
        <w:pStyle w:val="11"/>
        <w:ind w:firstLine="420"/>
        <w:rPr>
          <w:rFonts w:hint="eastAsia" w:ascii="宋体" w:hAnsi="宋体" w:cs="宋体"/>
          <w:b/>
          <w:bCs/>
          <w:color w:val="auto"/>
          <w:szCs w:val="21"/>
          <w:highlight w:val="none"/>
        </w:rPr>
      </w:pPr>
      <w:r>
        <w:rPr>
          <w:rFonts w:ascii="宋体" w:hAnsi="宋体" w:cs="宋体"/>
          <w:b/>
          <w:bCs/>
          <w:color w:val="auto"/>
          <w:szCs w:val="21"/>
          <w:highlight w:val="none"/>
        </w:rPr>
        <w:br w:type="page"/>
      </w:r>
    </w:p>
    <w:p w14:paraId="2D0B6D85">
      <w:pPr>
        <w:pStyle w:val="2"/>
        <w:spacing w:line="240" w:lineRule="auto"/>
        <w:contextualSpacing/>
        <w:jc w:val="center"/>
        <w:rPr>
          <w:rFonts w:hint="eastAsia"/>
          <w:color w:val="auto"/>
          <w:highlight w:val="none"/>
        </w:rPr>
      </w:pPr>
      <w:bookmarkStart w:id="69" w:name="_Toc74323459"/>
      <w:r>
        <w:rPr>
          <w:rFonts w:hint="eastAsia"/>
          <w:color w:val="auto"/>
          <w:highlight w:val="none"/>
        </w:rPr>
        <w:t>第四章  评审程序、评审方法和评审标准</w:t>
      </w:r>
      <w:bookmarkEnd w:id="69"/>
    </w:p>
    <w:p w14:paraId="3CE4CA87">
      <w:pPr>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16ADBF16">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2CC44C73">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1E0F6FF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2A2DEA4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3C27520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782BEAD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1E14F89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62D8118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3A67727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.3供应商有下列情形之一的，资格审查不通过，其响应文件按无效响应处理：</w:t>
      </w:r>
    </w:p>
    <w:p w14:paraId="616A39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1123A8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0FACCB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53EC12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320FFD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322D4E6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4C6544C1">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51AF4E1A">
      <w:pPr>
        <w:spacing w:line="360" w:lineRule="auto"/>
        <w:ind w:firstLine="420" w:firstLineChars="200"/>
        <w:rPr>
          <w:rFonts w:hint="eastAsia" w:ascii="宋体" w:hAnsi="宋体" w:cs="宋体"/>
          <w:color w:val="auto"/>
          <w:szCs w:val="21"/>
          <w:highlight w:val="none"/>
        </w:rPr>
      </w:pPr>
      <w:bookmarkStart w:id="70"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p>
    <w:bookmarkEnd w:id="70"/>
    <w:p w14:paraId="19224EFC">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C879926">
      <w:pPr>
        <w:spacing w:line="360" w:lineRule="auto"/>
        <w:ind w:firstLine="420" w:firstLineChars="20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2FF3012C">
      <w:pPr>
        <w:spacing w:line="360" w:lineRule="auto"/>
        <w:ind w:firstLine="420" w:firstLineChars="20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E67C660">
      <w:pPr>
        <w:spacing w:line="360" w:lineRule="auto"/>
        <w:ind w:firstLine="396" w:firstLineChars="200"/>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582698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7A6BCD7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9EDDE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4ADEC7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58445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1BE8FD3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16A498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753DD2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113F9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912D5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3DC72F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61A2826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94D362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B310D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05954B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6AA2D3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0C5245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47BA64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FB2784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7B1465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bookmarkStart w:id="71"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71"/>
    </w:p>
    <w:p w14:paraId="5F4A154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641D57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2948BDD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43A17D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77ED90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612A9D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28C6D0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04E19F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34C810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72" w:name="_Hlk42596405"/>
      <w:r>
        <w:rPr>
          <w:rFonts w:hint="eastAsia" w:ascii="宋体" w:hAnsi="宋体" w:cs="宋体"/>
          <w:color w:val="auto"/>
          <w:szCs w:val="21"/>
          <w:highlight w:val="none"/>
        </w:rPr>
        <w:t>分项竞标报价（包含首次报价、最后报价）</w:t>
      </w:r>
      <w:bookmarkEnd w:id="72"/>
      <w:bookmarkStart w:id="73" w:name="_Hlk42596276"/>
      <w:r>
        <w:rPr>
          <w:rFonts w:hint="eastAsia" w:ascii="宋体" w:hAnsi="宋体" w:cs="宋体"/>
          <w:color w:val="auto"/>
          <w:szCs w:val="21"/>
          <w:highlight w:val="none"/>
        </w:rPr>
        <w:t>超过磋商文件分项采购预算金额或者最高限价的</w:t>
      </w:r>
      <w:bookmarkEnd w:id="73"/>
      <w:r>
        <w:rPr>
          <w:rFonts w:hint="eastAsia" w:ascii="宋体" w:hAnsi="宋体" w:cs="宋体"/>
          <w:color w:val="auto"/>
          <w:szCs w:val="21"/>
          <w:highlight w:val="none"/>
        </w:rPr>
        <w:t>（如本项目公布了最高限价）；</w:t>
      </w:r>
    </w:p>
    <w:p w14:paraId="579F54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32919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08D093B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EB4FB6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2DE31EE0">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6383C21F">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，未在规定时间内参加磋商的视同放弃参加磋商权利，其响应文件按无效响应处理。</w:t>
      </w:r>
    </w:p>
    <w:p w14:paraId="3A1D255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64BF1B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75E832C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16904CA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4E57CF54">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6403417B">
      <w:pPr>
        <w:tabs>
          <w:tab w:val="left" w:pos="2835"/>
        </w:tabs>
        <w:spacing w:line="360" w:lineRule="auto"/>
        <w:ind w:firstLine="420" w:firstLineChars="20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2CAE21E">
      <w:pPr>
        <w:tabs>
          <w:tab w:val="left" w:pos="2835"/>
        </w:tabs>
        <w:spacing w:line="360" w:lineRule="auto"/>
        <w:ind w:firstLine="420" w:firstLineChars="20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1843F6A1">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5D1F27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2938CD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4D4A2F56">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1ABFB21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40F4FA5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4EC2AB8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3E87A04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4FD98604">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36E402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30A0ED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2E5C7F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786DB16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699970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01F2F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437356F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2CF237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585079D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6D42342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15A319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069CC4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7D7A85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（3）根据财政部《关于推动解决政府采购异常低价问题的通知》（财库〔2026〕2号），政府采购评审中出现下列情形之一的，评审委员会应当启动异常低价投标审查程序：</w:t>
      </w:r>
    </w:p>
    <w:p w14:paraId="272716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①投标报价低于全部通过符合性审查供应商投标报价平均值50%的，即投标报价&lt;全部通过符合性审查供应商投标报价平均值×50%；</w:t>
      </w:r>
    </w:p>
    <w:p w14:paraId="4E43B6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②投标报价低于通过符合性审查的次低报价供应商投标报价50%的，即投标报价&lt;通过符合性审查的次低报价供应商投标报价×50%；</w:t>
      </w:r>
    </w:p>
    <w:p w14:paraId="5AE423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③投标报价低于采购项目最高限价50%的，即投标报价&lt;采购项目最高限价×50%；</w:t>
      </w:r>
    </w:p>
    <w:p w14:paraId="5B84E96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④评审委员会基于专业判断，认为供应商报价过低，有可能影响产品质量或者不能诚信履约的其他情形。</w:t>
      </w:r>
    </w:p>
    <w:p w14:paraId="1209EA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相关法律法规对供应商报价有规定的，从其规定。</w:t>
      </w:r>
    </w:p>
    <w:p w14:paraId="2EBE2D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审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在评审现场可不再重复提交。</w:t>
      </w:r>
    </w:p>
    <w:p w14:paraId="5177CB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0A96FE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E69AC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7F325F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（4）评标委员会按照招标文件中规定的评标方法和标准计算各投标人的报价得分。在计算过程中，不得去掉最高报价或者最低报价。</w:t>
      </w:r>
    </w:p>
    <w:p w14:paraId="018532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（5）各投标人的得分为所有评委的有效评分的算术平均数。</w:t>
      </w:r>
    </w:p>
    <w:p w14:paraId="274B3A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（6）评标委员会按照招标文件中的规定推荐中标候选人。</w:t>
      </w:r>
    </w:p>
    <w:p w14:paraId="5918CF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E1AC8F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653A9A0B">
      <w:pPr>
        <w:spacing w:line="360" w:lineRule="auto"/>
        <w:ind w:firstLine="420" w:firstLineChars="200"/>
        <w:rPr>
          <w:rFonts w:hint="eastAsia"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ascii="宋体" w:hAnsi="宋体"/>
          <w:color w:val="auto"/>
          <w:kern w:val="0"/>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0E5FE6AF">
      <w:pPr>
        <w:spacing w:line="360" w:lineRule="auto"/>
        <w:ind w:firstLine="420" w:firstLineChars="200"/>
        <w:rPr>
          <w:rFonts w:hint="eastAsia" w:ascii="宋体" w:hAnsi="宋体" w:cs="宋体"/>
          <w:color w:val="auto"/>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45CC749">
      <w:pPr>
        <w:spacing w:line="360" w:lineRule="auto"/>
        <w:jc w:val="center"/>
        <w:outlineLvl w:val="1"/>
        <w:rPr>
          <w:rFonts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32"/>
          <w:szCs w:val="32"/>
          <w:highlight w:val="none"/>
        </w:rPr>
        <w:t>二、评审标准</w:t>
      </w:r>
    </w:p>
    <w:p w14:paraId="4AC1903E">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tbl>
      <w:tblPr>
        <w:tblStyle w:val="24"/>
        <w:tblW w:w="9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7088"/>
        <w:gridCol w:w="804"/>
      </w:tblGrid>
      <w:tr w14:paraId="4ABE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212A07FC">
            <w:pPr>
              <w:widowControl/>
              <w:spacing w:line="360" w:lineRule="auto"/>
              <w:jc w:val="center"/>
              <w:rPr>
                <w:rFonts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序号</w:t>
            </w:r>
          </w:p>
        </w:tc>
        <w:tc>
          <w:tcPr>
            <w:tcW w:w="1418" w:type="dxa"/>
            <w:noWrap w:val="0"/>
            <w:vAlign w:val="center"/>
          </w:tcPr>
          <w:p w14:paraId="66CFD9BC">
            <w:pPr>
              <w:widowControl/>
              <w:spacing w:line="360" w:lineRule="auto"/>
              <w:jc w:val="center"/>
              <w:rPr>
                <w:rFonts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评审因素</w:t>
            </w:r>
          </w:p>
        </w:tc>
        <w:tc>
          <w:tcPr>
            <w:tcW w:w="7088" w:type="dxa"/>
            <w:noWrap w:val="0"/>
            <w:vAlign w:val="center"/>
          </w:tcPr>
          <w:p w14:paraId="5BD17FA2">
            <w:pPr>
              <w:widowControl/>
              <w:spacing w:line="360" w:lineRule="auto"/>
              <w:jc w:val="center"/>
              <w:rPr>
                <w:rFonts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评审因素具体内容</w:t>
            </w:r>
          </w:p>
        </w:tc>
        <w:tc>
          <w:tcPr>
            <w:tcW w:w="804" w:type="dxa"/>
            <w:noWrap w:val="0"/>
            <w:vAlign w:val="center"/>
          </w:tcPr>
          <w:p w14:paraId="5E31E403">
            <w:pPr>
              <w:widowControl/>
              <w:spacing w:line="360" w:lineRule="auto"/>
              <w:jc w:val="center"/>
              <w:rPr>
                <w:rFonts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分值</w:t>
            </w:r>
          </w:p>
        </w:tc>
      </w:tr>
      <w:tr w14:paraId="061A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0C388B73">
            <w:pPr>
              <w:widowControl/>
              <w:spacing w:line="360" w:lineRule="auto"/>
              <w:jc w:val="center"/>
              <w:rPr>
                <w:rFonts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w:t>
            </w:r>
          </w:p>
        </w:tc>
        <w:tc>
          <w:tcPr>
            <w:tcW w:w="1418" w:type="dxa"/>
            <w:noWrap w:val="0"/>
            <w:vAlign w:val="center"/>
          </w:tcPr>
          <w:p w14:paraId="44847ADE">
            <w:pPr>
              <w:widowControl/>
              <w:spacing w:line="360" w:lineRule="auto"/>
              <w:jc w:val="center"/>
              <w:rPr>
                <w:rFonts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价格</w:t>
            </w:r>
          </w:p>
        </w:tc>
        <w:tc>
          <w:tcPr>
            <w:tcW w:w="7088" w:type="dxa"/>
            <w:noWrap w:val="0"/>
            <w:vAlign w:val="top"/>
          </w:tcPr>
          <w:p w14:paraId="1B1730BE">
            <w:pPr>
              <w:snapToGrid w:val="0"/>
              <w:spacing w:line="400" w:lineRule="exact"/>
              <w:ind w:firstLine="244" w:firstLineChars="111"/>
              <w:contextualSpacing/>
              <w:rPr>
                <w:rFonts w:ascii="宋体" w:hAnsi="宋体"/>
                <w:bCs/>
                <w:color w:val="auto"/>
                <w:sz w:val="22"/>
                <w:szCs w:val="22"/>
                <w:highlight w:val="none"/>
              </w:rPr>
            </w:pPr>
            <w:r>
              <w:rPr>
                <w:rFonts w:hint="eastAsia" w:ascii="宋体" w:hAnsi="宋体"/>
                <w:bCs/>
                <w:color w:val="auto"/>
                <w:sz w:val="22"/>
                <w:szCs w:val="22"/>
                <w:highlight w:val="none"/>
              </w:rPr>
              <w:t>（1）</w:t>
            </w:r>
            <w:r>
              <w:rPr>
                <w:rFonts w:hint="eastAsia" w:ascii="宋体" w:hAnsi="宋体" w:cs="宋体"/>
                <w:color w:val="auto"/>
                <w:sz w:val="22"/>
                <w:szCs w:val="22"/>
                <w:highlight w:val="none"/>
              </w:rPr>
              <w:t>评审价</w:t>
            </w:r>
            <w:r>
              <w:rPr>
                <w:rFonts w:hint="eastAsia" w:ascii="宋体" w:hAnsi="宋体"/>
                <w:bCs/>
                <w:color w:val="auto"/>
                <w:sz w:val="22"/>
                <w:szCs w:val="22"/>
                <w:highlight w:val="none"/>
              </w:rPr>
              <w:t>为供应商的最后报价进行政策性扣除后的价格，</w:t>
            </w:r>
            <w:r>
              <w:rPr>
                <w:rFonts w:hint="eastAsia" w:ascii="宋体" w:hAnsi="宋体" w:cs="宋体"/>
                <w:color w:val="auto"/>
                <w:sz w:val="22"/>
                <w:szCs w:val="22"/>
                <w:highlight w:val="none"/>
              </w:rPr>
              <w:t>评审价</w:t>
            </w:r>
            <w:r>
              <w:rPr>
                <w:rFonts w:hint="eastAsia" w:ascii="宋体" w:hAnsi="宋体"/>
                <w:bCs/>
                <w:color w:val="auto"/>
                <w:sz w:val="22"/>
                <w:szCs w:val="22"/>
                <w:highlight w:val="none"/>
              </w:rPr>
              <w:t>只是作为</w:t>
            </w:r>
            <w:r>
              <w:rPr>
                <w:rFonts w:hint="eastAsia" w:ascii="宋体" w:hAnsi="宋体"/>
                <w:bCs/>
                <w:color w:val="auto"/>
                <w:sz w:val="22"/>
                <w:szCs w:val="22"/>
                <w:highlight w:val="none"/>
                <w:lang w:val="en-US" w:eastAsia="zh-CN"/>
              </w:rPr>
              <w:t>评审</w:t>
            </w:r>
            <w:r>
              <w:rPr>
                <w:rFonts w:hint="eastAsia" w:ascii="宋体" w:hAnsi="宋体"/>
                <w:bCs/>
                <w:color w:val="auto"/>
                <w:sz w:val="22"/>
                <w:szCs w:val="22"/>
                <w:highlight w:val="none"/>
              </w:rPr>
              <w:t>时使用。最终成交供应商的成交金额等于最后报价。</w:t>
            </w:r>
          </w:p>
          <w:p w14:paraId="326855A1">
            <w:pPr>
              <w:snapToGrid w:val="0"/>
              <w:spacing w:line="400" w:lineRule="exact"/>
              <w:ind w:firstLine="244" w:firstLineChars="111"/>
              <w:contextualSpacing/>
              <w:rPr>
                <w:rFonts w:hint="eastAsia" w:ascii="宋体" w:hAnsi="宋体"/>
                <w:bCs/>
                <w:color w:val="auto"/>
                <w:sz w:val="22"/>
                <w:szCs w:val="22"/>
                <w:highlight w:val="none"/>
              </w:rPr>
            </w:pPr>
            <w:r>
              <w:rPr>
                <w:rFonts w:hint="eastAsia" w:ascii="宋体" w:hAnsi="宋体"/>
                <w:bCs/>
                <w:color w:val="auto"/>
                <w:sz w:val="22"/>
                <w:szCs w:val="22"/>
                <w:highlight w:val="none"/>
              </w:rPr>
              <w:t>（2）政策性扣除计算方法。</w:t>
            </w:r>
          </w:p>
          <w:p w14:paraId="5C9142EB">
            <w:pPr>
              <w:snapToGrid w:val="0"/>
              <w:spacing w:line="400" w:lineRule="exact"/>
              <w:ind w:firstLine="464" w:firstLineChars="211"/>
              <w:contextualSpacing/>
              <w:rPr>
                <w:rFonts w:hint="eastAsia" w:ascii="宋体" w:hAnsi="宋体"/>
                <w:color w:val="auto"/>
                <w:sz w:val="22"/>
                <w:szCs w:val="22"/>
                <w:highlight w:val="none"/>
              </w:rPr>
            </w:pPr>
            <w:r>
              <w:rPr>
                <w:rFonts w:hint="eastAsia" w:ascii="宋体" w:hAnsi="宋体"/>
                <w:bCs/>
                <w:color w:val="auto"/>
                <w:sz w:val="22"/>
                <w:szCs w:val="22"/>
                <w:highlight w:val="none"/>
              </w:rPr>
              <w:t>根据《政府采购促进中小企业发展管理办法》（财库〔2020〕46号）及</w:t>
            </w:r>
            <w:r>
              <w:rPr>
                <w:rFonts w:ascii="宋体" w:hAnsi="宋体"/>
                <w:color w:val="auto"/>
                <w:sz w:val="22"/>
                <w:szCs w:val="22"/>
                <w:highlight w:val="none"/>
              </w:rPr>
              <w:t>广西壮族自治区财政厅关于持续优化政府采购营商环境推动高质量发展的通知》</w:t>
            </w:r>
            <w:r>
              <w:rPr>
                <w:rFonts w:hint="eastAsia" w:ascii="宋体" w:hAnsi="宋体"/>
                <w:color w:val="auto"/>
                <w:sz w:val="22"/>
                <w:szCs w:val="22"/>
                <w:highlight w:val="none"/>
              </w:rPr>
              <w:t>（</w:t>
            </w:r>
            <w:r>
              <w:rPr>
                <w:rFonts w:ascii="宋体" w:hAnsi="宋体"/>
                <w:color w:val="auto"/>
                <w:sz w:val="22"/>
                <w:szCs w:val="22"/>
                <w:highlight w:val="none"/>
              </w:rPr>
              <w:t>桂财采〔</w:t>
            </w:r>
            <w:r>
              <w:rPr>
                <w:color w:val="auto"/>
                <w:sz w:val="22"/>
                <w:szCs w:val="22"/>
                <w:highlight w:val="none"/>
              </w:rPr>
              <w:t>2024</w:t>
            </w:r>
            <w:r>
              <w:rPr>
                <w:rFonts w:ascii="宋体" w:hAnsi="宋体"/>
                <w:color w:val="auto"/>
                <w:sz w:val="22"/>
                <w:szCs w:val="22"/>
                <w:highlight w:val="none"/>
              </w:rPr>
              <w:t>〕</w:t>
            </w:r>
            <w:r>
              <w:rPr>
                <w:color w:val="auto"/>
                <w:sz w:val="22"/>
                <w:szCs w:val="22"/>
                <w:highlight w:val="none"/>
              </w:rPr>
              <w:t>55</w:t>
            </w:r>
            <w:r>
              <w:rPr>
                <w:rFonts w:ascii="宋体" w:hAnsi="宋体"/>
                <w:color w:val="auto"/>
                <w:sz w:val="22"/>
                <w:szCs w:val="22"/>
                <w:highlight w:val="none"/>
              </w:rPr>
              <w:t>号</w:t>
            </w:r>
            <w:r>
              <w:rPr>
                <w:rFonts w:hint="eastAsia" w:ascii="宋体" w:hAnsi="宋体"/>
                <w:color w:val="auto"/>
                <w:sz w:val="22"/>
                <w:szCs w:val="22"/>
                <w:highlight w:val="none"/>
              </w:rPr>
              <w:t>）</w:t>
            </w:r>
            <w:r>
              <w:rPr>
                <w:rFonts w:hint="eastAsia" w:ascii="宋体" w:hAnsi="宋体"/>
                <w:bCs/>
                <w:color w:val="auto"/>
                <w:sz w:val="22"/>
                <w:szCs w:val="22"/>
                <w:highlight w:val="none"/>
              </w:rPr>
              <w:t>的规定，供应商在其响应文件中提供《中小企业声明函》，且项目服务全部由小微企业承接对其最后报价给予10%的扣除，扣除后的价格为</w:t>
            </w:r>
            <w:r>
              <w:rPr>
                <w:rFonts w:hint="eastAsia" w:ascii="宋体" w:hAnsi="宋体" w:cs="宋体"/>
                <w:color w:val="auto"/>
                <w:sz w:val="22"/>
                <w:szCs w:val="22"/>
                <w:highlight w:val="none"/>
              </w:rPr>
              <w:t>评审价</w:t>
            </w:r>
            <w:r>
              <w:rPr>
                <w:rFonts w:hint="eastAsia" w:ascii="宋体" w:hAnsi="宋体"/>
                <w:bCs/>
                <w:color w:val="auto"/>
                <w:sz w:val="22"/>
                <w:szCs w:val="22"/>
                <w:highlight w:val="none"/>
              </w:rPr>
              <w:t>，即</w:t>
            </w:r>
            <w:r>
              <w:rPr>
                <w:rFonts w:hint="eastAsia" w:ascii="宋体" w:hAnsi="宋体" w:cs="宋体"/>
                <w:color w:val="auto"/>
                <w:sz w:val="22"/>
                <w:szCs w:val="22"/>
                <w:highlight w:val="none"/>
              </w:rPr>
              <w:t>评审价</w:t>
            </w:r>
            <w:r>
              <w:rPr>
                <w:rFonts w:hint="eastAsia" w:ascii="宋体" w:hAnsi="宋体"/>
                <w:bCs/>
                <w:color w:val="auto"/>
                <w:sz w:val="22"/>
                <w:szCs w:val="22"/>
                <w:highlight w:val="none"/>
              </w:rPr>
              <w:t>=最后报价×（1-</w:t>
            </w:r>
            <w:r>
              <w:rPr>
                <w:rFonts w:hint="eastAsia" w:ascii="宋体" w:hAnsi="宋体"/>
                <w:bCs/>
                <w:color w:val="auto"/>
                <w:sz w:val="22"/>
                <w:szCs w:val="22"/>
                <w:highlight w:val="none"/>
                <w:u w:val="single"/>
              </w:rPr>
              <w:t>10</w:t>
            </w:r>
            <w:r>
              <w:rPr>
                <w:rFonts w:hint="eastAsia" w:ascii="宋体" w:hAnsi="宋体"/>
                <w:bCs/>
                <w:color w:val="auto"/>
                <w:sz w:val="22"/>
                <w:szCs w:val="22"/>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 w:val="22"/>
                <w:szCs w:val="22"/>
                <w:highlight w:val="none"/>
                <w:u w:val="single"/>
              </w:rPr>
              <w:t>4%</w:t>
            </w:r>
            <w:r>
              <w:rPr>
                <w:rFonts w:hint="eastAsia" w:ascii="宋体" w:hAnsi="宋体"/>
                <w:bCs/>
                <w:color w:val="auto"/>
                <w:sz w:val="22"/>
                <w:szCs w:val="22"/>
                <w:highlight w:val="none"/>
              </w:rPr>
              <w:t>（范围为4%-6%）的扣除，用扣除后的价格参加评审，扣除后的价格为</w:t>
            </w:r>
            <w:r>
              <w:rPr>
                <w:rFonts w:hint="eastAsia" w:ascii="宋体" w:hAnsi="宋体" w:cs="宋体"/>
                <w:color w:val="auto"/>
                <w:sz w:val="22"/>
                <w:szCs w:val="22"/>
                <w:highlight w:val="none"/>
              </w:rPr>
              <w:t>评审价</w:t>
            </w:r>
            <w:r>
              <w:rPr>
                <w:rFonts w:hint="eastAsia" w:ascii="宋体" w:hAnsi="宋体"/>
                <w:bCs/>
                <w:color w:val="auto"/>
                <w:sz w:val="22"/>
                <w:szCs w:val="22"/>
                <w:highlight w:val="none"/>
              </w:rPr>
              <w:t>，即</w:t>
            </w:r>
            <w:r>
              <w:rPr>
                <w:rFonts w:hint="eastAsia" w:ascii="宋体" w:hAnsi="宋体" w:cs="宋体"/>
                <w:color w:val="auto"/>
                <w:sz w:val="22"/>
                <w:szCs w:val="22"/>
                <w:highlight w:val="none"/>
              </w:rPr>
              <w:t>评审价</w:t>
            </w:r>
            <w:r>
              <w:rPr>
                <w:rFonts w:hint="eastAsia" w:ascii="宋体" w:hAnsi="宋体"/>
                <w:bCs/>
                <w:color w:val="auto"/>
                <w:sz w:val="22"/>
                <w:szCs w:val="22"/>
                <w:highlight w:val="none"/>
              </w:rPr>
              <w:t>=最后报价×（1-</w:t>
            </w:r>
            <w:r>
              <w:rPr>
                <w:rFonts w:hint="eastAsia" w:ascii="宋体" w:hAnsi="宋体"/>
                <w:bCs/>
                <w:color w:val="auto"/>
                <w:sz w:val="22"/>
                <w:szCs w:val="22"/>
                <w:highlight w:val="none"/>
                <w:u w:val="single"/>
              </w:rPr>
              <w:t>4</w:t>
            </w:r>
            <w:r>
              <w:rPr>
                <w:rFonts w:hint="eastAsia" w:ascii="宋体" w:hAnsi="宋体"/>
                <w:bCs/>
                <w:color w:val="auto"/>
                <w:sz w:val="22"/>
                <w:szCs w:val="22"/>
                <w:highlight w:val="none"/>
              </w:rPr>
              <w:t>%）。除上述情况外，</w:t>
            </w:r>
            <w:r>
              <w:rPr>
                <w:rFonts w:hint="eastAsia" w:ascii="宋体" w:hAnsi="宋体" w:cs="宋体"/>
                <w:color w:val="auto"/>
                <w:sz w:val="22"/>
                <w:szCs w:val="22"/>
                <w:highlight w:val="none"/>
              </w:rPr>
              <w:t>评审价</w:t>
            </w:r>
            <w:r>
              <w:rPr>
                <w:rFonts w:hint="eastAsia" w:ascii="宋体" w:hAnsi="宋体"/>
                <w:bCs/>
                <w:color w:val="auto"/>
                <w:sz w:val="22"/>
                <w:szCs w:val="22"/>
                <w:highlight w:val="none"/>
              </w:rPr>
              <w:t>=最后报价。</w:t>
            </w:r>
          </w:p>
          <w:p w14:paraId="028B9809">
            <w:pPr>
              <w:snapToGrid w:val="0"/>
              <w:spacing w:line="400" w:lineRule="exact"/>
              <w:ind w:firstLine="244" w:firstLineChars="111"/>
              <w:contextualSpacing/>
              <w:rPr>
                <w:rFonts w:hint="eastAsia" w:ascii="宋体" w:hAnsi="宋体"/>
                <w:bCs/>
                <w:color w:val="auto"/>
                <w:sz w:val="22"/>
                <w:szCs w:val="22"/>
                <w:highlight w:val="none"/>
              </w:rPr>
            </w:pPr>
            <w:r>
              <w:rPr>
                <w:rFonts w:hint="eastAsia" w:ascii="宋体" w:hAnsi="宋体"/>
                <w:bCs/>
                <w:color w:val="auto"/>
                <w:sz w:val="22"/>
                <w:szCs w:val="22"/>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 w:val="22"/>
                <w:szCs w:val="22"/>
                <w:highlight w:val="none"/>
              </w:rPr>
              <w:t>监狱企业参加政府采购活动时，应当提供由省级以上监狱管理局、戒毒管理局（含新疆生产建设兵团）出具的属于监狱企业的证明文件。</w:t>
            </w:r>
            <w:r>
              <w:rPr>
                <w:rFonts w:hint="eastAsia" w:ascii="宋体" w:hAnsi="宋体"/>
                <w:bCs/>
                <w:color w:val="auto"/>
                <w:sz w:val="22"/>
                <w:szCs w:val="22"/>
                <w:highlight w:val="none"/>
              </w:rPr>
              <w:t>监狱企业属于小型、微型企业的，不重复享受政策。</w:t>
            </w:r>
          </w:p>
          <w:p w14:paraId="4FF75CF4">
            <w:pPr>
              <w:snapToGrid w:val="0"/>
              <w:spacing w:line="400" w:lineRule="exact"/>
              <w:ind w:firstLine="244" w:firstLineChars="111"/>
              <w:contextualSpacing/>
              <w:rPr>
                <w:rFonts w:hint="eastAsia" w:ascii="宋体" w:hAnsi="宋体"/>
                <w:bCs/>
                <w:color w:val="auto"/>
                <w:sz w:val="22"/>
                <w:szCs w:val="22"/>
                <w:highlight w:val="none"/>
              </w:rPr>
            </w:pPr>
            <w:r>
              <w:rPr>
                <w:rFonts w:hint="eastAsia" w:ascii="宋体" w:hAnsi="宋体"/>
                <w:color w:val="auto"/>
                <w:sz w:val="22"/>
                <w:szCs w:val="22"/>
                <w:highlight w:val="none"/>
              </w:rPr>
              <w:t>（4）按照</w:t>
            </w:r>
            <w:r>
              <w:rPr>
                <w:rFonts w:hint="eastAsia" w:ascii="宋体" w:hAnsi="宋体"/>
                <w:bCs/>
                <w:color w:val="auto"/>
                <w:sz w:val="22"/>
                <w:szCs w:val="22"/>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 w:val="22"/>
                <w:szCs w:val="22"/>
                <w:highlight w:val="none"/>
              </w:rPr>
              <w:t>残疾人福利性单位参加政府采购活动时，应当提供该通知规定的《残疾人福利性单位声明函》，并对声明的真实性负责。</w:t>
            </w:r>
            <w:r>
              <w:rPr>
                <w:rFonts w:hint="eastAsia" w:ascii="宋体" w:hAnsi="宋体"/>
                <w:bCs/>
                <w:color w:val="auto"/>
                <w:sz w:val="22"/>
                <w:szCs w:val="22"/>
                <w:highlight w:val="none"/>
              </w:rPr>
              <w:t>残疾人福利性单位属于小型、微型企业的，不重复享受政策。</w:t>
            </w:r>
          </w:p>
          <w:p w14:paraId="7A0E95DC">
            <w:pPr>
              <w:snapToGrid w:val="0"/>
              <w:spacing w:line="400" w:lineRule="exact"/>
              <w:ind w:firstLine="244" w:firstLineChars="111"/>
              <w:contextualSpacing/>
              <w:rPr>
                <w:rFonts w:hint="eastAsia" w:ascii="宋体" w:hAnsi="宋体"/>
                <w:bCs/>
                <w:color w:val="auto"/>
                <w:sz w:val="22"/>
                <w:szCs w:val="22"/>
                <w:highlight w:val="none"/>
              </w:rPr>
            </w:pPr>
            <w:r>
              <w:rPr>
                <w:rFonts w:hint="eastAsia" w:ascii="宋体" w:hAnsi="宋体"/>
                <w:bCs/>
                <w:color w:val="auto"/>
                <w:sz w:val="22"/>
                <w:szCs w:val="22"/>
                <w:highlight w:val="none"/>
              </w:rPr>
              <w:t>（5）以进入比较与评价环节的最低的评审价为基准价，其价格分为满分。</w:t>
            </w:r>
          </w:p>
          <w:p w14:paraId="11B8DFBC">
            <w:pPr>
              <w:spacing w:line="400" w:lineRule="exact"/>
              <w:ind w:firstLine="244" w:firstLineChars="111"/>
              <w:contextualSpacing/>
              <w:rPr>
                <w:rFonts w:hint="eastAsia" w:ascii="宋体" w:hAnsi="宋体"/>
                <w:bCs/>
                <w:color w:val="auto"/>
                <w:sz w:val="22"/>
                <w:szCs w:val="22"/>
                <w:highlight w:val="none"/>
              </w:rPr>
            </w:pPr>
            <w:r>
              <w:rPr>
                <w:rFonts w:hint="eastAsia" w:ascii="宋体" w:hAnsi="宋体"/>
                <w:bCs/>
                <w:color w:val="auto"/>
                <w:sz w:val="22"/>
                <w:szCs w:val="22"/>
                <w:highlight w:val="none"/>
              </w:rPr>
              <w:t>（6）价格分计算公式：</w:t>
            </w:r>
            <w:r>
              <w:rPr>
                <w:rFonts w:hint="eastAsia" w:ascii="宋体" w:hAnsi="宋体" w:cs="宋体"/>
                <w:color w:val="auto"/>
                <w:highlight w:val="none"/>
              </w:rPr>
              <w:t>价格分=</w:t>
            </w:r>
            <w:r>
              <w:rPr>
                <w:rFonts w:hint="eastAsia" w:ascii="宋体" w:hAnsi="宋体" w:cs="宋体"/>
                <w:color w:val="auto"/>
                <w:highlight w:val="none"/>
                <w:lang w:eastAsia="zh-CN"/>
              </w:rPr>
              <w:t>（</w:t>
            </w:r>
            <w:r>
              <w:rPr>
                <w:rFonts w:hint="eastAsia" w:ascii="宋体" w:hAnsi="宋体"/>
                <w:bCs/>
                <w:color w:val="auto"/>
                <w:sz w:val="22"/>
                <w:szCs w:val="22"/>
                <w:highlight w:val="none"/>
              </w:rPr>
              <w:t>基准价</w:t>
            </w:r>
            <w:r>
              <w:rPr>
                <w:rFonts w:hint="eastAsia" w:ascii="宋体" w:hAnsi="宋体" w:cs="宋体"/>
                <w:color w:val="auto"/>
                <w:highlight w:val="none"/>
              </w:rPr>
              <w:t>／</w:t>
            </w:r>
            <w:r>
              <w:rPr>
                <w:rFonts w:hint="eastAsia" w:ascii="宋体" w:hAnsi="宋体"/>
                <w:color w:val="auto"/>
                <w:szCs w:val="21"/>
                <w:highlight w:val="none"/>
              </w:rPr>
              <w:t>最后报价</w:t>
            </w:r>
            <w:r>
              <w:rPr>
                <w:rFonts w:hint="eastAsia" w:ascii="宋体" w:hAnsi="宋体" w:cs="宋体"/>
                <w:color w:val="auto"/>
                <w:highlight w:val="none"/>
                <w:lang w:eastAsia="zh-CN"/>
              </w:rPr>
              <w:t>）</w:t>
            </w:r>
            <w:r>
              <w:rPr>
                <w:rFonts w:hint="eastAsia" w:ascii="宋体" w:hAnsi="宋体" w:cs="宋体"/>
                <w:color w:val="auto"/>
                <w:highlight w:val="none"/>
              </w:rPr>
              <w:t>×</w:t>
            </w:r>
            <w:r>
              <w:rPr>
                <w:rFonts w:hint="eastAsia" w:ascii="宋体" w:hAnsi="宋体" w:cs="宋体"/>
                <w:color w:val="auto"/>
                <w:highlight w:val="none"/>
                <w:lang w:val="en-US" w:eastAsia="zh-CN"/>
              </w:rPr>
              <w:t>30</w:t>
            </w:r>
            <w:r>
              <w:rPr>
                <w:rFonts w:hint="eastAsia" w:ascii="宋体" w:hAnsi="宋体" w:cs="宋体"/>
                <w:color w:val="auto"/>
                <w:highlight w:val="none"/>
              </w:rPr>
              <w:t>分</w:t>
            </w:r>
            <w:r>
              <w:rPr>
                <w:rFonts w:hint="eastAsia" w:ascii="宋体" w:hAnsi="宋体"/>
                <w:bCs/>
                <w:color w:val="auto"/>
                <w:sz w:val="22"/>
                <w:szCs w:val="22"/>
                <w:highlight w:val="none"/>
              </w:rPr>
              <w:t xml:space="preserve">        </w:t>
            </w:r>
          </w:p>
          <w:p w14:paraId="325A19E8">
            <w:pPr>
              <w:pStyle w:val="14"/>
              <w:spacing w:line="360" w:lineRule="auto"/>
              <w:ind w:firstLine="400" w:firstLineChars="200"/>
              <w:rPr>
                <w:color w:val="auto"/>
                <w:highlight w:val="none"/>
                <w:lang w:val="en-US" w:eastAsia="zh-CN"/>
              </w:rPr>
            </w:pPr>
          </w:p>
        </w:tc>
        <w:tc>
          <w:tcPr>
            <w:tcW w:w="804" w:type="dxa"/>
            <w:noWrap w:val="0"/>
            <w:vAlign w:val="center"/>
          </w:tcPr>
          <w:p w14:paraId="4E1CEF9F">
            <w:pPr>
              <w:widowControl/>
              <w:spacing w:line="360" w:lineRule="auto"/>
              <w:jc w:val="center"/>
              <w:rPr>
                <w:rFonts w:ascii="Times New Roman" w:hAnsi="Times New Roman" w:cs="Times New Roman"/>
                <w:color w:val="auto"/>
                <w:kern w:val="0"/>
                <w:szCs w:val="21"/>
                <w:highlight w:val="none"/>
              </w:rPr>
            </w:pPr>
            <w:r>
              <w:rPr>
                <w:rFonts w:hint="eastAsia" w:ascii="Times New Roman" w:hAnsi="Times New Roman" w:cs="Times New Roman"/>
                <w:color w:val="auto"/>
                <w:kern w:val="0"/>
                <w:szCs w:val="21"/>
                <w:highlight w:val="none"/>
                <w:lang w:val="en-US" w:eastAsia="zh-CN"/>
              </w:rPr>
              <w:t>满分3</w:t>
            </w:r>
            <w:r>
              <w:rPr>
                <w:rFonts w:hint="default" w:ascii="Times New Roman" w:hAnsi="Times New Roman" w:cs="Times New Roman"/>
                <w:color w:val="auto"/>
                <w:kern w:val="0"/>
                <w:szCs w:val="21"/>
                <w:highlight w:val="none"/>
                <w:lang w:val="en-US" w:eastAsia="zh-CN"/>
              </w:rPr>
              <w:t>0</w:t>
            </w:r>
            <w:r>
              <w:rPr>
                <w:rFonts w:hint="default" w:ascii="Times New Roman" w:hAnsi="Times New Roman" w:cs="Times New Roman"/>
                <w:color w:val="auto"/>
                <w:kern w:val="0"/>
                <w:szCs w:val="21"/>
                <w:highlight w:val="none"/>
              </w:rPr>
              <w:t>分</w:t>
            </w:r>
          </w:p>
        </w:tc>
      </w:tr>
      <w:tr w14:paraId="4CC3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3" w:type="dxa"/>
            <w:noWrap w:val="0"/>
            <w:vAlign w:val="center"/>
          </w:tcPr>
          <w:p w14:paraId="5DDCDA21">
            <w:pPr>
              <w:widowControl/>
              <w:spacing w:line="360" w:lineRule="auto"/>
              <w:jc w:val="center"/>
              <w:rPr>
                <w:rFonts w:hint="default" w:ascii="Times New Roman" w:hAnsi="Times New Roman" w:cs="Times New Roman"/>
                <w:b/>
                <w:bCs w:val="0"/>
                <w:color w:val="auto"/>
                <w:kern w:val="0"/>
                <w:szCs w:val="21"/>
                <w:highlight w:val="none"/>
              </w:rPr>
            </w:pPr>
            <w:r>
              <w:rPr>
                <w:rFonts w:hint="default" w:ascii="Times New Roman" w:hAnsi="Times New Roman" w:cs="Times New Roman"/>
                <w:b/>
                <w:bCs w:val="0"/>
                <w:color w:val="auto"/>
                <w:kern w:val="0"/>
                <w:szCs w:val="21"/>
                <w:highlight w:val="none"/>
              </w:rPr>
              <w:t>2</w:t>
            </w:r>
          </w:p>
        </w:tc>
        <w:tc>
          <w:tcPr>
            <w:tcW w:w="1418" w:type="dxa"/>
            <w:noWrap w:val="0"/>
            <w:vAlign w:val="center"/>
          </w:tcPr>
          <w:p w14:paraId="6BC038ED">
            <w:pPr>
              <w:adjustRightInd w:val="0"/>
              <w:spacing w:line="360" w:lineRule="auto"/>
              <w:jc w:val="center"/>
              <w:textAlignment w:val="baseline"/>
              <w:rPr>
                <w:rFonts w:hint="default" w:ascii="Times New Roman" w:hAnsi="Times New Roman" w:eastAsia="宋体" w:cs="Times New Roman"/>
                <w:b/>
                <w:bCs w:val="0"/>
                <w:color w:val="auto"/>
                <w:kern w:val="0"/>
                <w:szCs w:val="21"/>
                <w:highlight w:val="none"/>
              </w:rPr>
            </w:pPr>
            <w:r>
              <w:rPr>
                <w:rFonts w:hint="default" w:ascii="Times New Roman" w:hAnsi="Times New Roman" w:eastAsia="宋体" w:cs="Times New Roman"/>
                <w:b/>
                <w:bCs w:val="0"/>
                <w:color w:val="auto"/>
                <w:kern w:val="0"/>
                <w:szCs w:val="21"/>
                <w:highlight w:val="none"/>
              </w:rPr>
              <w:t>技术分</w:t>
            </w:r>
          </w:p>
        </w:tc>
        <w:tc>
          <w:tcPr>
            <w:tcW w:w="7088" w:type="dxa"/>
            <w:noWrap w:val="0"/>
            <w:vAlign w:val="center"/>
          </w:tcPr>
          <w:p w14:paraId="3C9005DD">
            <w:pPr>
              <w:adjustRightInd w:val="0"/>
              <w:spacing w:line="360" w:lineRule="auto"/>
              <w:jc w:val="center"/>
              <w:textAlignment w:val="baseline"/>
              <w:rPr>
                <w:rFonts w:hint="default" w:ascii="Times New Roman" w:hAnsi="Times New Roman" w:eastAsia="宋体" w:cs="Times New Roman"/>
                <w:b/>
                <w:bCs w:val="0"/>
                <w:color w:val="auto"/>
                <w:kern w:val="0"/>
                <w:szCs w:val="21"/>
                <w:highlight w:val="none"/>
              </w:rPr>
            </w:pPr>
            <w:r>
              <w:rPr>
                <w:rFonts w:hint="default" w:ascii="Times New Roman" w:hAnsi="Times New Roman" w:eastAsia="宋体" w:cs="Times New Roman"/>
                <w:b/>
                <w:bCs w:val="0"/>
                <w:color w:val="auto"/>
                <w:kern w:val="0"/>
                <w:szCs w:val="21"/>
                <w:highlight w:val="none"/>
              </w:rPr>
              <w:t>评审因素</w:t>
            </w:r>
          </w:p>
        </w:tc>
        <w:tc>
          <w:tcPr>
            <w:tcW w:w="804" w:type="dxa"/>
            <w:noWrap w:val="0"/>
            <w:vAlign w:val="center"/>
          </w:tcPr>
          <w:p w14:paraId="3FE45E96">
            <w:pPr>
              <w:adjustRightInd w:val="0"/>
              <w:spacing w:line="360" w:lineRule="auto"/>
              <w:jc w:val="center"/>
              <w:textAlignment w:val="baseline"/>
              <w:rPr>
                <w:rFonts w:hint="default" w:ascii="Times New Roman" w:hAnsi="Times New Roman" w:eastAsia="宋体" w:cs="Times New Roman"/>
                <w:b/>
                <w:bCs w:val="0"/>
                <w:color w:val="auto"/>
                <w:kern w:val="0"/>
                <w:szCs w:val="21"/>
                <w:highlight w:val="none"/>
                <w:lang w:val="en-US" w:eastAsia="zh-CN"/>
              </w:rPr>
            </w:pPr>
            <w:r>
              <w:rPr>
                <w:rFonts w:hint="default" w:ascii="Times New Roman" w:hAnsi="Times New Roman" w:eastAsia="宋体" w:cs="Times New Roman"/>
                <w:b/>
                <w:bCs w:val="0"/>
                <w:color w:val="auto"/>
                <w:kern w:val="0"/>
                <w:szCs w:val="21"/>
                <w:highlight w:val="none"/>
                <w:lang w:val="en-US" w:eastAsia="zh-CN"/>
              </w:rPr>
              <w:t>满分</w:t>
            </w:r>
            <w:r>
              <w:rPr>
                <w:rFonts w:hint="eastAsia" w:cs="Times New Roman"/>
                <w:b/>
                <w:bCs w:val="0"/>
                <w:color w:val="auto"/>
                <w:kern w:val="0"/>
                <w:szCs w:val="21"/>
                <w:highlight w:val="none"/>
                <w:lang w:val="en-US" w:eastAsia="zh-CN"/>
              </w:rPr>
              <w:t>61</w:t>
            </w:r>
            <w:r>
              <w:rPr>
                <w:rFonts w:hint="default" w:ascii="Times New Roman" w:hAnsi="Times New Roman" w:eastAsia="宋体" w:cs="Times New Roman"/>
                <w:b/>
                <w:bCs w:val="0"/>
                <w:color w:val="auto"/>
                <w:kern w:val="0"/>
                <w:szCs w:val="21"/>
                <w:highlight w:val="none"/>
                <w:lang w:val="en-US" w:eastAsia="zh-CN"/>
              </w:rPr>
              <w:t>分</w:t>
            </w:r>
          </w:p>
        </w:tc>
      </w:tr>
      <w:tr w14:paraId="245D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8" w:hRule="atLeast"/>
          <w:jc w:val="center"/>
        </w:trPr>
        <w:tc>
          <w:tcPr>
            <w:tcW w:w="533" w:type="dxa"/>
            <w:noWrap w:val="0"/>
            <w:vAlign w:val="center"/>
          </w:tcPr>
          <w:p w14:paraId="1606D783">
            <w:pPr>
              <w:adjustRightInd w:val="0"/>
              <w:spacing w:line="360" w:lineRule="auto"/>
              <w:ind w:left="-105" w:leftChars="-50" w:right="-105" w:rightChars="-50"/>
              <w:jc w:val="center"/>
              <w:textAlignment w:val="baseline"/>
              <w:rPr>
                <w:rFonts w:hint="eastAsia"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cs="Times New Roman"/>
                <w:bCs/>
                <w:color w:val="auto"/>
                <w:kern w:val="0"/>
                <w:szCs w:val="21"/>
                <w:highlight w:val="none"/>
                <w:lang w:val="en-US" w:eastAsia="zh-CN"/>
              </w:rPr>
              <w:t>2.</w:t>
            </w:r>
            <w:r>
              <w:rPr>
                <w:rFonts w:hint="eastAsia" w:cs="Times New Roman"/>
                <w:bCs/>
                <w:color w:val="auto"/>
                <w:kern w:val="0"/>
                <w:szCs w:val="21"/>
                <w:highlight w:val="none"/>
                <w:lang w:val="en-US" w:eastAsia="zh-CN"/>
              </w:rPr>
              <w:t>1</w:t>
            </w:r>
          </w:p>
        </w:tc>
        <w:tc>
          <w:tcPr>
            <w:tcW w:w="1418" w:type="dxa"/>
            <w:noWrap w:val="0"/>
            <w:vAlign w:val="center"/>
          </w:tcPr>
          <w:p w14:paraId="24A41A36">
            <w:pPr>
              <w:spacing w:line="360" w:lineRule="auto"/>
              <w:jc w:val="center"/>
              <w:rPr>
                <w:rFonts w:hint="default" w:ascii="Times New Roman" w:hAnsi="Times New Roman" w:cs="Times New Roman"/>
                <w:bCs/>
                <w:color w:val="auto"/>
                <w:kern w:val="2"/>
                <w:sz w:val="21"/>
                <w:szCs w:val="21"/>
                <w:highlight w:val="none"/>
                <w:lang w:val="en-US" w:eastAsia="zh-CN" w:bidi="ar-SA"/>
              </w:rPr>
            </w:pPr>
            <w:r>
              <w:rPr>
                <w:rFonts w:hint="eastAsia" w:ascii="宋体" w:hAnsi="宋体" w:cs="宋体"/>
                <w:color w:val="auto"/>
                <w:highlight w:val="none"/>
                <w:lang w:val="en-US" w:eastAsia="zh-CN"/>
              </w:rPr>
              <w:t>项目实施服务方案</w:t>
            </w:r>
          </w:p>
        </w:tc>
        <w:tc>
          <w:tcPr>
            <w:tcW w:w="7088" w:type="dxa"/>
            <w:noWrap w:val="0"/>
            <w:vAlign w:val="center"/>
          </w:tcPr>
          <w:p w14:paraId="1F66FD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r>
              <w:rPr>
                <w:rFonts w:hint="eastAsia"/>
                <w:color w:val="auto"/>
                <w:highlight w:val="none"/>
                <w:lang w:val="en-US" w:eastAsia="zh-CN"/>
              </w:rPr>
              <w:t>根据现场勘查情况</w:t>
            </w:r>
            <w:r>
              <w:rPr>
                <w:rFonts w:hint="eastAsia"/>
                <w:color w:val="auto"/>
                <w:highlight w:val="none"/>
              </w:rPr>
              <w:t>能够阐述项目概况和基本建设需求</w:t>
            </w:r>
            <w:r>
              <w:rPr>
                <w:rFonts w:hint="eastAsia"/>
                <w:color w:val="auto"/>
                <w:highlight w:val="none"/>
                <w:lang w:eastAsia="zh-CN"/>
              </w:rPr>
              <w:t>，</w:t>
            </w:r>
            <w:r>
              <w:rPr>
                <w:rFonts w:hint="eastAsia"/>
                <w:color w:val="auto"/>
                <w:highlight w:val="none"/>
                <w:lang w:val="en-US" w:eastAsia="zh-CN"/>
              </w:rPr>
              <w:t>能够</w:t>
            </w:r>
            <w:r>
              <w:rPr>
                <w:rFonts w:hint="eastAsia"/>
                <w:color w:val="auto"/>
                <w:highlight w:val="none"/>
              </w:rPr>
              <w:t>列举基础性</w:t>
            </w:r>
            <w:r>
              <w:rPr>
                <w:rFonts w:hint="eastAsia"/>
                <w:color w:val="auto"/>
                <w:highlight w:val="none"/>
                <w:lang w:val="en-US" w:eastAsia="zh-CN"/>
              </w:rPr>
              <w:t>修复</w:t>
            </w:r>
            <w:r>
              <w:rPr>
                <w:rFonts w:hint="eastAsia"/>
                <w:color w:val="auto"/>
                <w:highlight w:val="none"/>
              </w:rPr>
              <w:t>问题</w:t>
            </w:r>
            <w:r>
              <w:rPr>
                <w:rFonts w:hint="eastAsia"/>
                <w:color w:val="auto"/>
                <w:highlight w:val="none"/>
                <w:lang w:eastAsia="zh-CN"/>
              </w:rPr>
              <w:t>，</w:t>
            </w:r>
            <w:r>
              <w:rPr>
                <w:rFonts w:hint="eastAsia"/>
                <w:color w:val="auto"/>
                <w:highlight w:val="none"/>
              </w:rPr>
              <w:t>有基本</w:t>
            </w:r>
            <w:r>
              <w:rPr>
                <w:rFonts w:hint="eastAsia"/>
                <w:color w:val="auto"/>
                <w:highlight w:val="none"/>
                <w:lang w:val="en-US" w:eastAsia="zh-CN"/>
              </w:rPr>
              <w:t>服务</w:t>
            </w:r>
            <w:r>
              <w:rPr>
                <w:rFonts w:hint="eastAsia"/>
                <w:color w:val="auto"/>
                <w:highlight w:val="none"/>
              </w:rPr>
              <w:t>方案，基本满足建设需要</w:t>
            </w:r>
            <w:r>
              <w:rPr>
                <w:rFonts w:hint="eastAsia"/>
                <w:color w:val="auto"/>
                <w:highlight w:val="none"/>
                <w:lang w:eastAsia="zh-CN"/>
              </w:rPr>
              <w:t>。</w:t>
            </w:r>
            <w:r>
              <w:rPr>
                <w:rFonts w:hint="eastAsia" w:ascii="宋体" w:hAnsi="宋体" w:cs="宋体"/>
                <w:color w:val="auto"/>
                <w:szCs w:val="21"/>
                <w:highlight w:val="none"/>
              </w:rPr>
              <w:t>方案内容无明显缺项，能确保按时完成</w:t>
            </w:r>
            <w:r>
              <w:rPr>
                <w:rFonts w:hint="eastAsia" w:ascii="宋体" w:hAnsi="宋体" w:cs="宋体"/>
                <w:color w:val="auto"/>
                <w:szCs w:val="21"/>
                <w:highlight w:val="none"/>
                <w:lang w:val="en-US" w:eastAsia="zh-CN"/>
              </w:rPr>
              <w:t>修复</w:t>
            </w:r>
            <w:r>
              <w:rPr>
                <w:rFonts w:hint="eastAsia" w:ascii="宋体" w:hAnsi="宋体" w:cs="宋体"/>
                <w:color w:val="auto"/>
                <w:szCs w:val="21"/>
                <w:highlight w:val="none"/>
              </w:rPr>
              <w:t>。</w:t>
            </w:r>
          </w:p>
          <w:p w14:paraId="2A99B9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hAnsi="宋体" w:cs="宋体"/>
                <w:color w:val="auto"/>
                <w:szCs w:val="21"/>
                <w:highlight w:val="none"/>
                <w:lang w:val="en-US" w:eastAsia="zh-CN"/>
              </w:rPr>
              <w:t>22</w:t>
            </w:r>
            <w:r>
              <w:rPr>
                <w:rFonts w:hint="eastAsia" w:ascii="宋体" w:hAnsi="宋体" w:cs="宋体"/>
                <w:color w:val="auto"/>
                <w:szCs w:val="21"/>
                <w:highlight w:val="none"/>
              </w:rPr>
              <w:t>分）：</w:t>
            </w:r>
            <w:r>
              <w:rPr>
                <w:rFonts w:hint="eastAsia"/>
                <w:color w:val="auto"/>
                <w:highlight w:val="none"/>
              </w:rPr>
              <w:t>在满足一档的基础上，能够对项目背景及</w:t>
            </w:r>
            <w:r>
              <w:rPr>
                <w:rFonts w:hint="eastAsia"/>
                <w:color w:val="auto"/>
                <w:highlight w:val="none"/>
                <w:lang w:val="en-US" w:eastAsia="zh-CN"/>
              </w:rPr>
              <w:t>服务</w:t>
            </w:r>
            <w:r>
              <w:rPr>
                <w:rFonts w:hint="eastAsia"/>
                <w:color w:val="auto"/>
                <w:highlight w:val="none"/>
              </w:rPr>
              <w:t>需求有清晰认识。</w:t>
            </w:r>
            <w:r>
              <w:rPr>
                <w:rFonts w:hint="eastAsia"/>
                <w:color w:val="auto"/>
                <w:highlight w:val="none"/>
                <w:lang w:eastAsia="zh-CN"/>
              </w:rPr>
              <w:t>提供</w:t>
            </w:r>
            <w:r>
              <w:rPr>
                <w:rFonts w:hint="eastAsia" w:ascii="宋体" w:hAnsi="宋体" w:cs="宋体"/>
                <w:color w:val="auto"/>
                <w:szCs w:val="21"/>
                <w:highlight w:val="none"/>
              </w:rPr>
              <w:t>详尽充分的</w:t>
            </w:r>
            <w:r>
              <w:rPr>
                <w:rFonts w:hint="eastAsia" w:ascii="宋体" w:hAnsi="宋体" w:cs="宋体"/>
                <w:color w:val="auto"/>
                <w:szCs w:val="21"/>
                <w:highlight w:val="none"/>
                <w:lang w:val="en-US" w:eastAsia="zh-CN"/>
              </w:rPr>
              <w:t>修复</w:t>
            </w:r>
            <w:r>
              <w:rPr>
                <w:rFonts w:hint="eastAsia" w:ascii="宋体" w:hAnsi="宋体" w:cs="宋体"/>
                <w:color w:val="auto"/>
                <w:szCs w:val="21"/>
                <w:highlight w:val="none"/>
              </w:rPr>
              <w:t>方案，方案内容包括但不</w:t>
            </w:r>
            <w:r>
              <w:rPr>
                <w:rFonts w:hint="eastAsia" w:ascii="宋体" w:hAnsi="宋体" w:cs="宋体"/>
                <w:color w:val="auto"/>
                <w:szCs w:val="21"/>
                <w:highlight w:val="none"/>
                <w:lang w:eastAsia="zh-CN"/>
              </w:rPr>
              <w:t>限于</w:t>
            </w:r>
            <w:r>
              <w:rPr>
                <w:rFonts w:hint="eastAsia" w:ascii="宋体" w:hAnsi="宋体" w:cs="宋体"/>
                <w:color w:val="auto"/>
                <w:szCs w:val="21"/>
                <w:highlight w:val="none"/>
                <w:lang w:val="en-US" w:eastAsia="zh-CN"/>
              </w:rPr>
              <w:t>所有进水设备的拆卸、清洗（超声波）、烘干、检测、维修、换损、安装、调试</w:t>
            </w:r>
            <w:r>
              <w:rPr>
                <w:rFonts w:hint="eastAsia" w:ascii="宋体" w:hAnsi="宋体" w:cs="宋体"/>
                <w:color w:val="auto"/>
                <w:szCs w:val="21"/>
                <w:highlight w:val="none"/>
              </w:rPr>
              <w:t>等措施，</w:t>
            </w:r>
            <w:r>
              <w:rPr>
                <w:rFonts w:hint="eastAsia"/>
                <w:color w:val="auto"/>
                <w:highlight w:val="none"/>
              </w:rPr>
              <w:t>可保障项目顺利完成。</w:t>
            </w:r>
            <w:r>
              <w:rPr>
                <w:rFonts w:hint="eastAsia" w:ascii="宋体" w:hAnsi="宋体" w:cs="宋体"/>
                <w:color w:val="auto"/>
                <w:szCs w:val="21"/>
                <w:highlight w:val="none"/>
              </w:rPr>
              <w:t>附带承诺提前</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天</w:t>
            </w:r>
            <w:r>
              <w:rPr>
                <w:rFonts w:hint="eastAsia" w:ascii="宋体" w:hAnsi="宋体" w:cs="宋体"/>
                <w:color w:val="auto"/>
                <w:szCs w:val="21"/>
                <w:highlight w:val="none"/>
                <w:lang w:val="en-US" w:eastAsia="zh-CN"/>
              </w:rPr>
              <w:t>完成</w:t>
            </w:r>
            <w:r>
              <w:rPr>
                <w:rFonts w:hint="eastAsia" w:ascii="宋体" w:hAnsi="宋体" w:cs="宋体"/>
                <w:color w:val="auto"/>
                <w:szCs w:val="21"/>
                <w:highlight w:val="none"/>
              </w:rPr>
              <w:t>（书面承诺函），能确保提前完成</w:t>
            </w:r>
            <w:r>
              <w:rPr>
                <w:rFonts w:hint="eastAsia" w:ascii="宋体" w:hAnsi="宋体" w:cs="宋体"/>
                <w:color w:val="auto"/>
                <w:szCs w:val="21"/>
                <w:highlight w:val="none"/>
                <w:lang w:val="en-US" w:eastAsia="zh-CN"/>
              </w:rPr>
              <w:t>修复</w:t>
            </w:r>
            <w:r>
              <w:rPr>
                <w:rFonts w:hint="eastAsia" w:ascii="宋体" w:hAnsi="宋体" w:cs="宋体"/>
                <w:color w:val="auto"/>
                <w:szCs w:val="21"/>
                <w:highlight w:val="none"/>
              </w:rPr>
              <w:t>。</w:t>
            </w:r>
          </w:p>
          <w:p w14:paraId="50F0E952">
            <w:pPr>
              <w:spacing w:line="360" w:lineRule="auto"/>
              <w:ind w:firstLine="420" w:firstLineChars="200"/>
              <w:rPr>
                <w:rFonts w:hint="eastAsia" w:ascii="宋体" w:hAnsi="宋体"/>
                <w:color w:val="auto"/>
                <w:highlight w:val="none"/>
                <w:lang w:val="en-US" w:eastAsia="zh-CN"/>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r>
              <w:rPr>
                <w:rFonts w:hint="eastAsia"/>
                <w:color w:val="auto"/>
                <w:highlight w:val="none"/>
              </w:rPr>
              <w:t>在满足二档的基础上，能够对项目</w:t>
            </w:r>
            <w:r>
              <w:rPr>
                <w:rFonts w:hint="eastAsia"/>
                <w:color w:val="auto"/>
                <w:highlight w:val="none"/>
                <w:lang w:val="en-US" w:eastAsia="zh-CN"/>
              </w:rPr>
              <w:t>服务</w:t>
            </w:r>
            <w:r>
              <w:rPr>
                <w:rFonts w:hint="eastAsia"/>
                <w:color w:val="auto"/>
                <w:highlight w:val="none"/>
              </w:rPr>
              <w:t>需求进行深入分析</w:t>
            </w:r>
            <w:r>
              <w:rPr>
                <w:rFonts w:hint="eastAsia"/>
                <w:color w:val="auto"/>
                <w:highlight w:val="none"/>
                <w:lang w:eastAsia="zh-CN"/>
              </w:rPr>
              <w:t>，</w:t>
            </w:r>
            <w:r>
              <w:rPr>
                <w:rFonts w:hint="eastAsia"/>
                <w:color w:val="auto"/>
                <w:highlight w:val="none"/>
                <w:lang w:val="en-US" w:eastAsia="zh-CN"/>
              </w:rPr>
              <w:t>列举各类设备修复或者更换明细数据，并给出对应的</w:t>
            </w:r>
            <w:r>
              <w:rPr>
                <w:rFonts w:hint="eastAsia"/>
                <w:color w:val="auto"/>
                <w:highlight w:val="none"/>
              </w:rPr>
              <w:t>解决措施</w:t>
            </w:r>
            <w:r>
              <w:rPr>
                <w:rFonts w:hint="eastAsia"/>
                <w:color w:val="auto"/>
                <w:highlight w:val="none"/>
                <w:lang w:val="en-US" w:eastAsia="zh-CN"/>
              </w:rPr>
              <w:t>及标准操作流程</w:t>
            </w:r>
            <w:r>
              <w:rPr>
                <w:rFonts w:hint="eastAsia"/>
                <w:color w:val="auto"/>
                <w:highlight w:val="none"/>
                <w:lang w:eastAsia="zh-CN"/>
              </w:rPr>
              <w:t>，</w:t>
            </w:r>
            <w:r>
              <w:rPr>
                <w:rFonts w:hint="eastAsia"/>
                <w:color w:val="auto"/>
                <w:highlight w:val="none"/>
              </w:rPr>
              <w:t>具备落地可行性，提供完整且针对</w:t>
            </w:r>
            <w:r>
              <w:rPr>
                <w:rFonts w:hint="eastAsia"/>
                <w:color w:val="auto"/>
                <w:highlight w:val="none"/>
                <w:lang w:val="en-US" w:eastAsia="zh-CN"/>
              </w:rPr>
              <w:t>学院现场情况的服务</w:t>
            </w:r>
            <w:r>
              <w:rPr>
                <w:rFonts w:hint="eastAsia"/>
                <w:color w:val="auto"/>
                <w:highlight w:val="none"/>
              </w:rPr>
              <w:t>方案，可保障项目高效完成。</w:t>
            </w:r>
            <w:r>
              <w:rPr>
                <w:rFonts w:hint="eastAsia" w:ascii="宋体" w:hAnsi="宋体" w:cs="宋体"/>
                <w:color w:val="auto"/>
                <w:szCs w:val="21"/>
                <w:highlight w:val="none"/>
              </w:rPr>
              <w:t>提供</w:t>
            </w:r>
            <w:r>
              <w:rPr>
                <w:rFonts w:hint="eastAsia" w:ascii="宋体" w:hAnsi="宋体" w:cs="宋体"/>
                <w:color w:val="auto"/>
                <w:szCs w:val="21"/>
                <w:highlight w:val="none"/>
                <w:lang w:val="en-US" w:eastAsia="zh-CN"/>
              </w:rPr>
              <w:t>详细修复</w:t>
            </w:r>
            <w:r>
              <w:rPr>
                <w:rFonts w:hint="eastAsia" w:ascii="宋体" w:hAnsi="宋体" w:cs="宋体"/>
                <w:color w:val="auto"/>
                <w:szCs w:val="21"/>
                <w:highlight w:val="none"/>
              </w:rPr>
              <w:t>计划表，承诺</w:t>
            </w:r>
            <w:r>
              <w:rPr>
                <w:rFonts w:hint="eastAsia" w:ascii="宋体" w:hAnsi="宋体" w:cs="宋体"/>
                <w:color w:val="auto"/>
                <w:szCs w:val="21"/>
                <w:highlight w:val="none"/>
                <w:lang w:val="en-US" w:eastAsia="zh-CN"/>
              </w:rPr>
              <w:t>各设备修复</w:t>
            </w:r>
            <w:r>
              <w:rPr>
                <w:rFonts w:hint="eastAsia" w:ascii="宋体" w:hAnsi="宋体" w:cs="宋体"/>
                <w:color w:val="auto"/>
                <w:szCs w:val="21"/>
                <w:highlight w:val="none"/>
              </w:rPr>
              <w:t>时限。附带承诺提前</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天完成</w:t>
            </w:r>
            <w:r>
              <w:rPr>
                <w:rFonts w:hint="eastAsia" w:ascii="宋体" w:hAnsi="宋体" w:cs="宋体"/>
                <w:color w:val="auto"/>
                <w:szCs w:val="21"/>
                <w:highlight w:val="none"/>
                <w:lang w:eastAsia="zh-CN"/>
              </w:rPr>
              <w:t>（书面承诺函）</w:t>
            </w:r>
            <w:r>
              <w:rPr>
                <w:rFonts w:hint="eastAsia" w:ascii="宋体" w:hAnsi="宋体" w:cs="宋体"/>
                <w:color w:val="auto"/>
                <w:szCs w:val="21"/>
                <w:highlight w:val="none"/>
              </w:rPr>
              <w:t>，确保顺利完成</w:t>
            </w:r>
            <w:r>
              <w:rPr>
                <w:rFonts w:hint="eastAsia" w:ascii="宋体" w:hAnsi="宋体" w:cs="宋体"/>
                <w:color w:val="auto"/>
                <w:szCs w:val="21"/>
                <w:highlight w:val="none"/>
                <w:lang w:val="en-US" w:eastAsia="zh-CN"/>
              </w:rPr>
              <w:t>修复</w:t>
            </w:r>
            <w:r>
              <w:rPr>
                <w:rFonts w:hint="eastAsia" w:ascii="宋体" w:hAnsi="宋体" w:cs="宋体"/>
                <w:color w:val="auto"/>
                <w:szCs w:val="21"/>
                <w:highlight w:val="none"/>
              </w:rPr>
              <w:t>。</w:t>
            </w:r>
          </w:p>
        </w:tc>
        <w:tc>
          <w:tcPr>
            <w:tcW w:w="804" w:type="dxa"/>
            <w:noWrap w:val="0"/>
            <w:vAlign w:val="center"/>
          </w:tcPr>
          <w:p w14:paraId="4193065B">
            <w:pPr>
              <w:spacing w:line="360" w:lineRule="auto"/>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Cs w:val="21"/>
                <w:highlight w:val="none"/>
                <w:lang w:val="en-US" w:eastAsia="zh-CN"/>
              </w:rPr>
              <w:t>满分</w:t>
            </w:r>
            <w:r>
              <w:rPr>
                <w:rFonts w:hint="eastAsia" w:cs="Times New Roman"/>
                <w:color w:val="auto"/>
                <w:kern w:val="0"/>
                <w:szCs w:val="21"/>
                <w:highlight w:val="none"/>
                <w:lang w:val="en-US" w:eastAsia="zh-CN"/>
              </w:rPr>
              <w:t>30</w:t>
            </w:r>
            <w:r>
              <w:rPr>
                <w:rFonts w:hint="default" w:ascii="Times New Roman" w:hAnsi="Times New Roman" w:cs="Times New Roman"/>
                <w:color w:val="auto"/>
                <w:kern w:val="0"/>
                <w:szCs w:val="21"/>
                <w:highlight w:val="none"/>
              </w:rPr>
              <w:t>分</w:t>
            </w:r>
          </w:p>
        </w:tc>
      </w:tr>
      <w:tr w14:paraId="4D59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noWrap w:val="0"/>
            <w:vAlign w:val="center"/>
          </w:tcPr>
          <w:p w14:paraId="7B351642">
            <w:pPr>
              <w:adjustRightInd w:val="0"/>
              <w:spacing w:line="360" w:lineRule="auto"/>
              <w:ind w:left="-105" w:leftChars="-50" w:right="-105" w:rightChars="-50"/>
              <w:jc w:val="center"/>
              <w:textAlignment w:val="baseline"/>
              <w:rPr>
                <w:rFonts w:hint="eastAsia" w:ascii="Times New Roman" w:hAnsi="Times New Roman" w:eastAsia="宋体" w:cs="Times New Roman"/>
                <w:bCs/>
                <w:color w:val="auto"/>
                <w:kern w:val="0"/>
                <w:szCs w:val="21"/>
                <w:highlight w:val="none"/>
                <w:lang w:val="en-US" w:eastAsia="zh-CN"/>
              </w:rPr>
            </w:pPr>
            <w:r>
              <w:rPr>
                <w:rFonts w:ascii="Times New Roman" w:hAnsi="Times New Roman" w:cs="Times New Roman"/>
                <w:bCs/>
                <w:color w:val="auto"/>
                <w:kern w:val="0"/>
                <w:szCs w:val="21"/>
                <w:highlight w:val="none"/>
              </w:rPr>
              <w:t>2.</w:t>
            </w:r>
            <w:r>
              <w:rPr>
                <w:rFonts w:hint="eastAsia" w:cs="Times New Roman"/>
                <w:bCs/>
                <w:color w:val="auto"/>
                <w:kern w:val="0"/>
                <w:szCs w:val="21"/>
                <w:highlight w:val="none"/>
                <w:lang w:val="en-US" w:eastAsia="zh-CN"/>
              </w:rPr>
              <w:t>2</w:t>
            </w:r>
          </w:p>
        </w:tc>
        <w:tc>
          <w:tcPr>
            <w:tcW w:w="1418" w:type="dxa"/>
            <w:noWrap w:val="0"/>
            <w:vAlign w:val="center"/>
          </w:tcPr>
          <w:p w14:paraId="5600FB05">
            <w:pPr>
              <w:spacing w:line="360" w:lineRule="auto"/>
              <w:jc w:val="center"/>
              <w:rPr>
                <w:rFonts w:hint="default" w:ascii="宋体" w:hAnsi="宋体" w:cs="宋体"/>
                <w:color w:val="auto"/>
                <w:highlight w:val="none"/>
                <w:lang w:val="en-US" w:eastAsia="zh-CN"/>
              </w:rPr>
            </w:pPr>
            <w:r>
              <w:rPr>
                <w:rFonts w:hint="eastAsia" w:ascii="宋体" w:hAnsi="宋体" w:cs="宋体"/>
                <w:color w:val="auto"/>
                <w:szCs w:val="21"/>
                <w:highlight w:val="none"/>
                <w:lang w:val="en-US" w:eastAsia="zh-CN"/>
              </w:rPr>
              <w:t>项目团队服务</w:t>
            </w:r>
          </w:p>
        </w:tc>
        <w:tc>
          <w:tcPr>
            <w:tcW w:w="7088" w:type="dxa"/>
            <w:noWrap w:val="0"/>
            <w:vAlign w:val="center"/>
          </w:tcPr>
          <w:p w14:paraId="35F8A887">
            <w:pPr>
              <w:spacing w:line="440" w:lineRule="exact"/>
              <w:ind w:firstLine="420" w:firstLineChars="200"/>
              <w:rPr>
                <w:rFonts w:hint="default" w:eastAsia="宋体"/>
                <w:color w:val="auto"/>
                <w:highlight w:val="none"/>
                <w:lang w:val="en-US" w:eastAsia="zh-CN"/>
              </w:rPr>
            </w:pPr>
            <w:r>
              <w:rPr>
                <w:rFonts w:hint="eastAsia"/>
                <w:color w:val="auto"/>
                <w:highlight w:val="none"/>
              </w:rPr>
              <w:t>一档（</w:t>
            </w:r>
            <w:r>
              <w:rPr>
                <w:rFonts w:hint="eastAsia"/>
                <w:color w:val="auto"/>
                <w:highlight w:val="none"/>
                <w:lang w:val="en-US" w:eastAsia="zh-CN"/>
              </w:rPr>
              <w:t>10</w:t>
            </w:r>
            <w:r>
              <w:rPr>
                <w:rFonts w:hint="eastAsia"/>
                <w:color w:val="auto"/>
                <w:highlight w:val="none"/>
              </w:rPr>
              <w:t>分）：</w:t>
            </w:r>
            <w:r>
              <w:rPr>
                <w:rFonts w:hint="eastAsia"/>
                <w:color w:val="auto"/>
                <w:highlight w:val="none"/>
                <w:lang w:val="en-US" w:eastAsia="zh-CN"/>
              </w:rPr>
              <w:t>提供</w:t>
            </w:r>
            <w:r>
              <w:rPr>
                <w:rFonts w:hint="eastAsia" w:ascii="宋体" w:hAnsi="宋体" w:cs="宋体"/>
                <w:color w:val="auto"/>
                <w:highlight w:val="none"/>
                <w:lang w:val="en-US" w:eastAsia="zh-CN"/>
              </w:rPr>
              <w:t>实施团队组织方案，方案中对团队管理、人员投入、实施</w:t>
            </w:r>
            <w:r>
              <w:rPr>
                <w:rFonts w:hint="eastAsia" w:ascii="宋体" w:hAnsi="宋体"/>
                <w:color w:val="auto"/>
                <w:highlight w:val="none"/>
              </w:rPr>
              <w:t>安全保障、</w:t>
            </w:r>
            <w:r>
              <w:rPr>
                <w:rFonts w:hint="eastAsia" w:ascii="宋体" w:hAnsi="宋体" w:cs="宋体"/>
                <w:color w:val="auto"/>
                <w:highlight w:val="none"/>
                <w:lang w:val="en-US" w:eastAsia="zh-CN"/>
              </w:rPr>
              <w:t>实施</w:t>
            </w:r>
            <w:r>
              <w:rPr>
                <w:rFonts w:hint="eastAsia" w:ascii="宋体" w:hAnsi="宋体"/>
                <w:color w:val="auto"/>
                <w:highlight w:val="none"/>
              </w:rPr>
              <w:t>文明保障、</w:t>
            </w:r>
            <w:r>
              <w:rPr>
                <w:rFonts w:hint="eastAsia" w:ascii="宋体" w:hAnsi="宋体" w:cs="宋体"/>
                <w:color w:val="auto"/>
                <w:highlight w:val="none"/>
                <w:lang w:val="en-US" w:eastAsia="zh-CN"/>
              </w:rPr>
              <w:t>实施</w:t>
            </w:r>
            <w:r>
              <w:rPr>
                <w:rFonts w:hint="eastAsia" w:ascii="宋体" w:hAnsi="宋体"/>
                <w:color w:val="auto"/>
                <w:highlight w:val="none"/>
              </w:rPr>
              <w:t>质量保障</w:t>
            </w:r>
            <w:r>
              <w:rPr>
                <w:rFonts w:hint="eastAsia" w:ascii="宋体" w:hAnsi="宋体"/>
                <w:color w:val="auto"/>
                <w:highlight w:val="none"/>
                <w:lang w:eastAsia="zh-CN"/>
              </w:rPr>
              <w:t>，以及</w:t>
            </w:r>
            <w:r>
              <w:rPr>
                <w:rFonts w:hint="eastAsia" w:ascii="宋体" w:hAnsi="宋体"/>
                <w:color w:val="auto"/>
                <w:highlight w:val="none"/>
              </w:rPr>
              <w:t>项目验收方面均有涉及，但描述不详细，勉强符合采购文件要求。</w:t>
            </w:r>
            <w:r>
              <w:rPr>
                <w:rFonts w:hint="eastAsia" w:ascii="宋体" w:hAnsi="宋体"/>
                <w:color w:val="auto"/>
                <w:highlight w:val="none"/>
                <w:lang w:val="en-US" w:eastAsia="zh-CN"/>
              </w:rPr>
              <w:t>实施过程中安排的实施团队人员至少3名。</w:t>
            </w:r>
          </w:p>
          <w:p w14:paraId="6F72F149">
            <w:pPr>
              <w:spacing w:line="440" w:lineRule="exact"/>
              <w:ind w:firstLine="420" w:firstLineChars="200"/>
              <w:rPr>
                <w:color w:val="auto"/>
                <w:highlight w:val="none"/>
              </w:rPr>
            </w:pPr>
            <w:r>
              <w:rPr>
                <w:rFonts w:hint="eastAsia"/>
                <w:color w:val="auto"/>
                <w:highlight w:val="none"/>
              </w:rPr>
              <w:t>二档（</w:t>
            </w:r>
            <w:r>
              <w:rPr>
                <w:rFonts w:hint="eastAsia"/>
                <w:color w:val="auto"/>
                <w:highlight w:val="none"/>
                <w:lang w:val="en-US" w:eastAsia="zh-CN"/>
              </w:rPr>
              <w:t>15</w:t>
            </w:r>
            <w:r>
              <w:rPr>
                <w:rFonts w:hint="eastAsia"/>
                <w:color w:val="auto"/>
                <w:highlight w:val="none"/>
              </w:rPr>
              <w:t>分）：</w:t>
            </w:r>
            <w:r>
              <w:rPr>
                <w:rFonts w:hint="eastAsia"/>
                <w:color w:val="auto"/>
                <w:highlight w:val="none"/>
                <w:lang w:val="en-US" w:eastAsia="zh-CN"/>
              </w:rPr>
              <w:t>提供</w:t>
            </w:r>
            <w:r>
              <w:rPr>
                <w:rFonts w:hint="eastAsia" w:ascii="宋体" w:hAnsi="宋体" w:cs="宋体"/>
                <w:color w:val="auto"/>
                <w:highlight w:val="none"/>
                <w:lang w:val="en-US" w:eastAsia="zh-CN"/>
              </w:rPr>
              <w:t>实施团队组织方案，方案中对团队管理、人员投入、实施</w:t>
            </w:r>
            <w:r>
              <w:rPr>
                <w:rFonts w:hint="eastAsia" w:ascii="宋体" w:hAnsi="宋体"/>
                <w:color w:val="auto"/>
                <w:highlight w:val="none"/>
              </w:rPr>
              <w:t>安全保障、</w:t>
            </w:r>
            <w:r>
              <w:rPr>
                <w:rFonts w:hint="eastAsia" w:ascii="宋体" w:hAnsi="宋体" w:cs="宋体"/>
                <w:color w:val="auto"/>
                <w:highlight w:val="none"/>
                <w:lang w:val="en-US" w:eastAsia="zh-CN"/>
              </w:rPr>
              <w:t>实施</w:t>
            </w:r>
            <w:r>
              <w:rPr>
                <w:rFonts w:hint="eastAsia" w:ascii="宋体" w:hAnsi="宋体"/>
                <w:color w:val="auto"/>
                <w:highlight w:val="none"/>
              </w:rPr>
              <w:t>文明保障、</w:t>
            </w:r>
            <w:r>
              <w:rPr>
                <w:rFonts w:hint="eastAsia" w:ascii="宋体" w:hAnsi="宋体" w:cs="宋体"/>
                <w:color w:val="auto"/>
                <w:highlight w:val="none"/>
                <w:lang w:val="en-US" w:eastAsia="zh-CN"/>
              </w:rPr>
              <w:t>实施</w:t>
            </w:r>
            <w:r>
              <w:rPr>
                <w:rFonts w:hint="eastAsia" w:ascii="宋体" w:hAnsi="宋体"/>
                <w:color w:val="auto"/>
                <w:highlight w:val="none"/>
              </w:rPr>
              <w:t>质量保障</w:t>
            </w:r>
            <w:r>
              <w:rPr>
                <w:rFonts w:hint="eastAsia" w:ascii="宋体" w:hAnsi="宋体"/>
                <w:color w:val="auto"/>
                <w:highlight w:val="none"/>
                <w:lang w:eastAsia="zh-CN"/>
              </w:rPr>
              <w:t>，以及</w:t>
            </w:r>
            <w:r>
              <w:rPr>
                <w:rFonts w:hint="eastAsia" w:ascii="宋体" w:hAnsi="宋体"/>
                <w:color w:val="auto"/>
                <w:highlight w:val="none"/>
              </w:rPr>
              <w:t>项目验收方面</w:t>
            </w:r>
            <w:r>
              <w:rPr>
                <w:rFonts w:hint="eastAsia" w:ascii="宋体" w:hAnsi="宋体"/>
                <w:color w:val="auto"/>
                <w:highlight w:val="none"/>
                <w:lang w:val="en-US" w:eastAsia="zh-CN"/>
              </w:rPr>
              <w:t>有较为合理、细致的描述</w:t>
            </w:r>
            <w:r>
              <w:rPr>
                <w:rFonts w:hint="eastAsia" w:ascii="宋体" w:hAnsi="宋体"/>
                <w:color w:val="auto"/>
                <w:highlight w:val="none"/>
              </w:rPr>
              <w:t>，</w:t>
            </w:r>
            <w:r>
              <w:rPr>
                <w:rFonts w:hint="eastAsia" w:ascii="宋体" w:hAnsi="宋体"/>
                <w:color w:val="auto"/>
                <w:highlight w:val="none"/>
                <w:lang w:val="en-US" w:eastAsia="zh-CN"/>
              </w:rPr>
              <w:t>基本满足</w:t>
            </w:r>
            <w:r>
              <w:rPr>
                <w:rFonts w:hint="eastAsia" w:ascii="宋体" w:hAnsi="宋体"/>
                <w:color w:val="auto"/>
                <w:highlight w:val="none"/>
              </w:rPr>
              <w:t>采购文件要求。</w:t>
            </w:r>
            <w:r>
              <w:rPr>
                <w:rFonts w:hint="eastAsia" w:ascii="宋体" w:hAnsi="宋体"/>
                <w:color w:val="auto"/>
                <w:highlight w:val="none"/>
                <w:lang w:val="en-US" w:eastAsia="zh-CN"/>
              </w:rPr>
              <w:t>实施过程中安排的实施团队人员至少8名。</w:t>
            </w:r>
          </w:p>
          <w:p w14:paraId="18608B67">
            <w:pPr>
              <w:spacing w:line="440" w:lineRule="exact"/>
              <w:ind w:firstLine="420" w:firstLineChars="200"/>
              <w:rPr>
                <w:rFonts w:hint="eastAsia" w:ascii="宋体" w:hAnsi="宋体"/>
                <w:color w:val="auto"/>
                <w:highlight w:val="none"/>
                <w:lang w:eastAsia="zh-CN"/>
              </w:rPr>
            </w:pPr>
            <w:r>
              <w:rPr>
                <w:rFonts w:hint="eastAsia"/>
                <w:color w:val="auto"/>
                <w:highlight w:val="none"/>
              </w:rPr>
              <w:t>三档（</w:t>
            </w:r>
            <w:r>
              <w:rPr>
                <w:rFonts w:hint="eastAsia"/>
                <w:color w:val="auto"/>
                <w:highlight w:val="none"/>
                <w:lang w:val="en-US" w:eastAsia="zh-CN"/>
              </w:rPr>
              <w:t>20</w:t>
            </w:r>
            <w:r>
              <w:rPr>
                <w:rFonts w:hint="eastAsia"/>
                <w:color w:val="auto"/>
                <w:highlight w:val="none"/>
              </w:rPr>
              <w:t>分）：</w:t>
            </w:r>
            <w:r>
              <w:rPr>
                <w:rFonts w:hint="eastAsia" w:ascii="Times New Roman" w:hAnsi="Times New Roman" w:eastAsia="宋体" w:cs="Times New Roman"/>
                <w:color w:val="auto"/>
                <w:highlight w:val="none"/>
                <w:lang w:val="en-US" w:eastAsia="zh-CN"/>
              </w:rPr>
              <w:t>实施计划合理，分阶段明确（现场勘察、</w:t>
            </w:r>
            <w:r>
              <w:rPr>
                <w:rFonts w:hint="eastAsia" w:ascii="Times New Roman" w:hAnsi="Times New Roman" w:eastAsia="宋体" w:cs="Times New Roman"/>
                <w:color w:val="auto"/>
                <w:sz w:val="21"/>
                <w:szCs w:val="24"/>
                <w:highlight w:val="none"/>
              </w:rPr>
              <w:t>维修施工</w:t>
            </w:r>
            <w:r>
              <w:rPr>
                <w:rFonts w:hint="eastAsia" w:ascii="Times New Roman" w:hAnsi="Times New Roman" w:eastAsia="宋体" w:cs="Times New Roman"/>
                <w:color w:val="auto"/>
                <w:highlight w:val="none"/>
                <w:lang w:val="en-US" w:eastAsia="zh-CN"/>
              </w:rPr>
              <w:t>、调试验收），符合</w:t>
            </w:r>
            <w:r>
              <w:rPr>
                <w:rFonts w:hint="eastAsia" w:cs="Times New Roman"/>
                <w:color w:val="auto"/>
                <w:highlight w:val="none"/>
                <w:lang w:val="en-US" w:eastAsia="zh-CN"/>
              </w:rPr>
              <w:t>项目</w:t>
            </w:r>
            <w:r>
              <w:rPr>
                <w:rFonts w:hint="eastAsia" w:ascii="Times New Roman" w:hAnsi="Times New Roman" w:eastAsia="宋体" w:cs="Times New Roman"/>
                <w:color w:val="auto"/>
                <w:highlight w:val="none"/>
                <w:lang w:val="en-US" w:eastAsia="zh-CN"/>
              </w:rPr>
              <w:t>周期要求，并</w:t>
            </w:r>
            <w:r>
              <w:rPr>
                <w:rFonts w:hint="eastAsia"/>
                <w:color w:val="auto"/>
                <w:highlight w:val="none"/>
                <w:lang w:val="en-US" w:eastAsia="zh-CN"/>
              </w:rPr>
              <w:t>提供</w:t>
            </w:r>
            <w:r>
              <w:rPr>
                <w:rFonts w:hint="eastAsia" w:ascii="宋体" w:hAnsi="宋体" w:cs="宋体"/>
                <w:color w:val="auto"/>
                <w:highlight w:val="none"/>
                <w:lang w:val="en-US" w:eastAsia="zh-CN"/>
              </w:rPr>
              <w:t>实施团队组织方案，方案中对团队管理、人员投入、实施</w:t>
            </w:r>
            <w:r>
              <w:rPr>
                <w:rFonts w:hint="eastAsia" w:ascii="宋体" w:hAnsi="宋体"/>
                <w:color w:val="auto"/>
                <w:highlight w:val="none"/>
              </w:rPr>
              <w:t>安全保障、</w:t>
            </w:r>
            <w:r>
              <w:rPr>
                <w:rFonts w:hint="eastAsia" w:ascii="宋体" w:hAnsi="宋体" w:cs="宋体"/>
                <w:color w:val="auto"/>
                <w:highlight w:val="none"/>
                <w:lang w:val="en-US" w:eastAsia="zh-CN"/>
              </w:rPr>
              <w:t>实施</w:t>
            </w:r>
            <w:r>
              <w:rPr>
                <w:rFonts w:hint="eastAsia" w:ascii="宋体" w:hAnsi="宋体"/>
                <w:color w:val="auto"/>
                <w:highlight w:val="none"/>
              </w:rPr>
              <w:t>文明保障、</w:t>
            </w:r>
            <w:r>
              <w:rPr>
                <w:rFonts w:hint="eastAsia" w:ascii="宋体" w:hAnsi="宋体" w:cs="宋体"/>
                <w:color w:val="auto"/>
                <w:highlight w:val="none"/>
                <w:lang w:val="en-US" w:eastAsia="zh-CN"/>
              </w:rPr>
              <w:t>实施</w:t>
            </w:r>
            <w:r>
              <w:rPr>
                <w:rFonts w:hint="eastAsia" w:ascii="宋体" w:hAnsi="宋体"/>
                <w:color w:val="auto"/>
                <w:highlight w:val="none"/>
              </w:rPr>
              <w:t>质量保障</w:t>
            </w:r>
            <w:r>
              <w:rPr>
                <w:rFonts w:hint="eastAsia" w:ascii="宋体" w:hAnsi="宋体"/>
                <w:color w:val="auto"/>
                <w:highlight w:val="none"/>
                <w:lang w:eastAsia="zh-CN"/>
              </w:rPr>
              <w:t>，以及</w:t>
            </w:r>
            <w:r>
              <w:rPr>
                <w:rFonts w:hint="eastAsia" w:ascii="宋体" w:hAnsi="宋体"/>
                <w:color w:val="auto"/>
                <w:highlight w:val="none"/>
              </w:rPr>
              <w:t>项目验收方面</w:t>
            </w:r>
            <w:r>
              <w:rPr>
                <w:rFonts w:hint="eastAsia" w:ascii="宋体" w:hAnsi="宋体"/>
                <w:color w:val="auto"/>
                <w:highlight w:val="none"/>
                <w:lang w:val="en-US" w:eastAsia="zh-CN"/>
              </w:rPr>
              <w:t>有合理、细致的描述</w:t>
            </w:r>
            <w:r>
              <w:rPr>
                <w:rFonts w:hint="eastAsia" w:ascii="宋体" w:hAnsi="宋体"/>
                <w:color w:val="auto"/>
                <w:highlight w:val="none"/>
              </w:rPr>
              <w:t>，</w:t>
            </w:r>
            <w:r>
              <w:rPr>
                <w:rFonts w:hint="eastAsia" w:ascii="宋体" w:hAnsi="宋体"/>
                <w:color w:val="auto"/>
                <w:highlight w:val="none"/>
                <w:lang w:val="en-US" w:eastAsia="zh-CN"/>
              </w:rPr>
              <w:t>完全满足</w:t>
            </w:r>
            <w:r>
              <w:rPr>
                <w:rFonts w:hint="eastAsia" w:ascii="宋体" w:hAnsi="宋体"/>
                <w:color w:val="auto"/>
                <w:highlight w:val="none"/>
              </w:rPr>
              <w:t>采购文件要求</w:t>
            </w:r>
            <w:r>
              <w:rPr>
                <w:rFonts w:hint="eastAsia" w:ascii="宋体" w:hAnsi="宋体"/>
                <w:color w:val="auto"/>
                <w:highlight w:val="none"/>
                <w:lang w:eastAsia="zh-CN"/>
              </w:rPr>
              <w:t>。</w:t>
            </w:r>
            <w:r>
              <w:rPr>
                <w:rFonts w:hint="eastAsia" w:ascii="宋体" w:hAnsi="宋体"/>
                <w:color w:val="auto"/>
                <w:highlight w:val="none"/>
                <w:lang w:val="en-US" w:eastAsia="zh-CN"/>
              </w:rPr>
              <w:t>实施过程中安排的实施团队人员至少12名。</w:t>
            </w:r>
          </w:p>
          <w:p w14:paraId="606B4C2B">
            <w:pPr>
              <w:spacing w:line="360" w:lineRule="auto"/>
              <w:ind w:firstLine="422" w:firstLineChars="200"/>
              <w:rPr>
                <w:rFonts w:hint="eastAsia" w:ascii="Times New Roman" w:hAnsi="Times New Roman" w:eastAsia="宋体" w:cs="Times New Roman"/>
                <w:color w:val="auto"/>
                <w:highlight w:val="none"/>
                <w:lang w:val="en-US" w:eastAsia="zh-CN"/>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color w:val="auto"/>
                <w:highlight w:val="none"/>
                <w:lang w:val="en-US" w:eastAsia="zh-CN"/>
              </w:rPr>
              <w:t>在响应文件中提供实施团队人员资质证书复印件，以及供应商为实施团队人员缴纳竞标截止之日前半年内连续三个月的社保证明材料</w:t>
            </w:r>
            <w:r>
              <w:rPr>
                <w:rFonts w:hint="eastAsia" w:ascii="宋体" w:hAnsi="宋体" w:eastAsia="宋体" w:cs="宋体"/>
                <w:color w:val="auto"/>
                <w:kern w:val="2"/>
                <w:sz w:val="21"/>
                <w:szCs w:val="20"/>
                <w:highlight w:val="none"/>
                <w:lang w:val="en-US" w:eastAsia="zh-CN" w:bidi="ar-SA"/>
              </w:rPr>
              <w:t>或劳动合同证明</w:t>
            </w:r>
            <w:r>
              <w:rPr>
                <w:rFonts w:hint="eastAsia" w:ascii="宋体" w:hAnsi="宋体" w:eastAsia="宋体" w:cs="宋体"/>
                <w:color w:val="auto"/>
                <w:highlight w:val="none"/>
                <w:lang w:val="en-US" w:eastAsia="zh-CN"/>
              </w:rPr>
              <w:t>。</w:t>
            </w:r>
          </w:p>
        </w:tc>
        <w:tc>
          <w:tcPr>
            <w:tcW w:w="804" w:type="dxa"/>
            <w:noWrap w:val="0"/>
            <w:vAlign w:val="center"/>
          </w:tcPr>
          <w:p w14:paraId="4417FB9A">
            <w:pPr>
              <w:spacing w:line="360" w:lineRule="auto"/>
              <w:jc w:val="center"/>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满分</w:t>
            </w:r>
            <w:r>
              <w:rPr>
                <w:rFonts w:hint="eastAsia" w:cs="Times New Roman"/>
                <w:color w:val="auto"/>
                <w:kern w:val="0"/>
                <w:szCs w:val="21"/>
                <w:highlight w:val="none"/>
                <w:lang w:val="en-US" w:eastAsia="zh-CN"/>
              </w:rPr>
              <w:t>20</w:t>
            </w:r>
            <w:r>
              <w:rPr>
                <w:rFonts w:hint="default" w:ascii="Times New Roman" w:hAnsi="Times New Roman" w:cs="Times New Roman"/>
                <w:color w:val="auto"/>
                <w:kern w:val="0"/>
                <w:szCs w:val="21"/>
                <w:highlight w:val="none"/>
                <w:lang w:val="en-US" w:eastAsia="zh-CN"/>
              </w:rPr>
              <w:t>分</w:t>
            </w:r>
          </w:p>
        </w:tc>
      </w:tr>
      <w:tr w14:paraId="1FE6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533" w:type="dxa"/>
            <w:noWrap w:val="0"/>
            <w:vAlign w:val="center"/>
          </w:tcPr>
          <w:p w14:paraId="091741C4">
            <w:pPr>
              <w:adjustRightInd w:val="0"/>
              <w:spacing w:line="360" w:lineRule="auto"/>
              <w:ind w:left="-105" w:leftChars="-50" w:right="-105" w:rightChars="-50"/>
              <w:jc w:val="center"/>
              <w:textAlignment w:val="baseline"/>
              <w:rPr>
                <w:rFonts w:hint="eastAsia" w:ascii="Times New Roman" w:hAnsi="Times New Roman" w:eastAsia="宋体" w:cs="Times New Roman"/>
                <w:bCs/>
                <w:color w:val="auto"/>
                <w:kern w:val="0"/>
                <w:szCs w:val="21"/>
                <w:highlight w:val="none"/>
                <w:lang w:val="en-US" w:eastAsia="zh-CN"/>
              </w:rPr>
            </w:pPr>
            <w:r>
              <w:rPr>
                <w:rFonts w:ascii="Times New Roman" w:hAnsi="Times New Roman" w:cs="Times New Roman"/>
                <w:bCs/>
                <w:color w:val="auto"/>
                <w:kern w:val="0"/>
                <w:szCs w:val="21"/>
                <w:highlight w:val="none"/>
              </w:rPr>
              <w:t>2.</w:t>
            </w:r>
            <w:r>
              <w:rPr>
                <w:rFonts w:hint="eastAsia" w:cs="Times New Roman"/>
                <w:bCs/>
                <w:color w:val="auto"/>
                <w:kern w:val="0"/>
                <w:szCs w:val="21"/>
                <w:highlight w:val="none"/>
                <w:lang w:val="en-US" w:eastAsia="zh-CN"/>
              </w:rPr>
              <w:t>3</w:t>
            </w:r>
          </w:p>
        </w:tc>
        <w:tc>
          <w:tcPr>
            <w:tcW w:w="1418" w:type="dxa"/>
            <w:noWrap w:val="0"/>
            <w:vAlign w:val="center"/>
          </w:tcPr>
          <w:p w14:paraId="6BFAB22A">
            <w:pPr>
              <w:adjustRightInd w:val="0"/>
              <w:snapToGrid w:val="0"/>
              <w:spacing w:line="4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cs="宋体"/>
                <w:color w:val="auto"/>
                <w:highlight w:val="none"/>
                <w:lang w:val="en-US" w:eastAsia="zh-CN"/>
              </w:rPr>
              <w:t>售后服务方案</w:t>
            </w:r>
          </w:p>
        </w:tc>
        <w:tc>
          <w:tcPr>
            <w:tcW w:w="7088" w:type="dxa"/>
            <w:noWrap w:val="0"/>
            <w:vAlign w:val="center"/>
          </w:tcPr>
          <w:p w14:paraId="578786E0">
            <w:pPr>
              <w:spacing w:line="440" w:lineRule="exact"/>
              <w:ind w:firstLine="420" w:firstLineChars="200"/>
              <w:rPr>
                <w:color w:val="auto"/>
                <w:highlight w:val="none"/>
              </w:rPr>
            </w:pPr>
            <w:r>
              <w:rPr>
                <w:rFonts w:hint="eastAsia"/>
                <w:color w:val="auto"/>
                <w:highlight w:val="none"/>
              </w:rPr>
              <w:t>一档（</w:t>
            </w:r>
            <w:r>
              <w:rPr>
                <w:rFonts w:hint="eastAsia"/>
                <w:color w:val="auto"/>
                <w:highlight w:val="none"/>
                <w:lang w:val="en-US" w:eastAsia="zh-CN"/>
              </w:rPr>
              <w:t>3</w:t>
            </w:r>
            <w:r>
              <w:rPr>
                <w:rFonts w:hint="eastAsia"/>
                <w:color w:val="auto"/>
                <w:highlight w:val="none"/>
              </w:rPr>
              <w:t>分）：满足采购文件4小时到场基础售后要求</w:t>
            </w:r>
            <w:r>
              <w:rPr>
                <w:rFonts w:hint="eastAsia"/>
                <w:color w:val="auto"/>
                <w:highlight w:val="none"/>
                <w:lang w:eastAsia="zh-CN"/>
              </w:rPr>
              <w:t>，</w:t>
            </w:r>
            <w:r>
              <w:rPr>
                <w:rFonts w:hint="eastAsia" w:hAnsi="宋体" w:cs="Courier New"/>
                <w:color w:val="auto"/>
                <w:highlight w:val="none"/>
              </w:rPr>
              <w:t>售后保障措施完整，</w:t>
            </w:r>
            <w:r>
              <w:rPr>
                <w:rFonts w:hint="eastAsia" w:hAnsi="宋体" w:cs="Courier New"/>
                <w:color w:val="auto"/>
                <w:highlight w:val="none"/>
                <w:lang w:val="en-US" w:eastAsia="zh-CN"/>
              </w:rPr>
              <w:t>对设备</w:t>
            </w:r>
            <w:r>
              <w:rPr>
                <w:rFonts w:hint="eastAsia" w:hAnsi="宋体" w:cs="Courier New"/>
                <w:color w:val="auto"/>
                <w:highlight w:val="none"/>
              </w:rPr>
              <w:t>的维护提供整体维护解决方案</w:t>
            </w:r>
            <w:r>
              <w:rPr>
                <w:rFonts w:hint="eastAsia" w:hAnsi="宋体" w:cs="Courier New"/>
                <w:color w:val="auto"/>
                <w:highlight w:val="none"/>
                <w:lang w:eastAsia="zh-CN"/>
              </w:rPr>
              <w:t>，具</w:t>
            </w:r>
            <w:r>
              <w:rPr>
                <w:rFonts w:hint="eastAsia" w:hAnsi="宋体" w:cs="Courier New"/>
                <w:color w:val="auto"/>
                <w:highlight w:val="none"/>
              </w:rPr>
              <w:t>有免费的培训计划和定期回访计划；提供7×24小时售后服务电话。</w:t>
            </w:r>
          </w:p>
          <w:p w14:paraId="0FD4605C">
            <w:pPr>
              <w:spacing w:line="440" w:lineRule="exact"/>
              <w:ind w:firstLine="420" w:firstLineChars="200"/>
              <w:rPr>
                <w:rFonts w:hint="eastAsia" w:ascii="Times New Roman" w:hAnsi="宋体" w:eastAsia="宋体" w:cs="Courier New"/>
                <w:color w:val="auto"/>
                <w:highlight w:val="none"/>
                <w:lang w:val="en-US" w:eastAsia="zh-CN"/>
              </w:rPr>
            </w:pPr>
            <w:r>
              <w:rPr>
                <w:rFonts w:hint="eastAsia"/>
                <w:color w:val="auto"/>
                <w:highlight w:val="none"/>
              </w:rPr>
              <w:t>二档（</w:t>
            </w:r>
            <w:r>
              <w:rPr>
                <w:rFonts w:hint="eastAsia"/>
                <w:color w:val="auto"/>
                <w:highlight w:val="none"/>
                <w:lang w:val="en-US" w:eastAsia="zh-CN"/>
              </w:rPr>
              <w:t>6</w:t>
            </w:r>
            <w:r>
              <w:rPr>
                <w:rFonts w:hint="eastAsia"/>
                <w:color w:val="auto"/>
                <w:highlight w:val="none"/>
              </w:rPr>
              <w:t>分）：</w:t>
            </w:r>
            <w:r>
              <w:rPr>
                <w:rFonts w:hint="eastAsia" w:hAnsi="宋体" w:cs="Courier New"/>
                <w:color w:val="auto"/>
                <w:highlight w:val="none"/>
              </w:rPr>
              <w:t>在满足一档的基础上，</w:t>
            </w:r>
            <w:r>
              <w:rPr>
                <w:rFonts w:hint="eastAsia" w:hAnsi="宋体" w:cs="Courier New"/>
                <w:color w:val="auto"/>
                <w:highlight w:val="none"/>
                <w:lang w:eastAsia="zh-CN"/>
              </w:rPr>
              <w:t>方案</w:t>
            </w:r>
            <w:r>
              <w:rPr>
                <w:rFonts w:hint="eastAsia" w:hAnsi="宋体" w:cs="Courier New"/>
                <w:color w:val="auto"/>
                <w:highlight w:val="none"/>
              </w:rPr>
              <w:t>承诺</w:t>
            </w:r>
            <w:r>
              <w:rPr>
                <w:rFonts w:hint="eastAsia" w:hAnsi="宋体" w:cs="Courier New"/>
                <w:color w:val="auto"/>
                <w:highlight w:val="none"/>
                <w:lang w:eastAsia="zh-CN"/>
              </w:rPr>
              <w:t>提供</w:t>
            </w:r>
            <w:r>
              <w:rPr>
                <w:rFonts w:hint="eastAsia" w:hAnsi="宋体" w:cs="Courier New"/>
                <w:color w:val="auto"/>
                <w:highlight w:val="none"/>
              </w:rPr>
              <w:t>应急替换设备</w:t>
            </w:r>
            <w:r>
              <w:rPr>
                <w:rFonts w:hint="eastAsia" w:hAnsi="宋体" w:cs="Courier New"/>
                <w:color w:val="auto"/>
                <w:highlight w:val="none"/>
                <w:lang w:eastAsia="zh-CN"/>
              </w:rPr>
              <w:t>、</w:t>
            </w:r>
            <w:r>
              <w:rPr>
                <w:rFonts w:hint="eastAsia" w:hAnsi="宋体" w:cs="Courier New"/>
                <w:color w:val="auto"/>
                <w:highlight w:val="none"/>
                <w:lang w:val="en-US" w:eastAsia="zh-CN"/>
              </w:rPr>
              <w:t>运维培训、7×12小时电话/在线技术支持以及解答疑问</w:t>
            </w:r>
            <w:r>
              <w:rPr>
                <w:rFonts w:hint="eastAsia" w:hAnsi="宋体" w:cs="Courier New"/>
                <w:color w:val="auto"/>
                <w:highlight w:val="none"/>
              </w:rPr>
              <w:t>等</w:t>
            </w:r>
            <w:r>
              <w:rPr>
                <w:rFonts w:hint="eastAsia" w:hAnsi="宋体" w:cs="Courier New"/>
                <w:color w:val="auto"/>
                <w:highlight w:val="none"/>
                <w:lang w:eastAsia="zh-CN"/>
              </w:rPr>
              <w:t>，为</w:t>
            </w:r>
            <w:r>
              <w:rPr>
                <w:rFonts w:hint="eastAsia" w:hAnsi="宋体" w:cs="Courier New"/>
                <w:color w:val="auto"/>
                <w:highlight w:val="none"/>
              </w:rPr>
              <w:t>本次项目交付软硬件设备的维护提供整体维护解决方案和运行维护应急预案</w:t>
            </w:r>
            <w:r>
              <w:rPr>
                <w:rFonts w:hint="eastAsia" w:hAnsi="宋体" w:cs="Courier New"/>
                <w:color w:val="auto"/>
                <w:highlight w:val="none"/>
                <w:lang w:eastAsia="zh-CN"/>
              </w:rPr>
              <w:t>。</w:t>
            </w:r>
            <w:r>
              <w:rPr>
                <w:rFonts w:hint="eastAsia" w:hAnsi="宋体" w:cs="宋体"/>
                <w:color w:val="auto"/>
                <w:szCs w:val="21"/>
                <w:highlight w:val="none"/>
              </w:rPr>
              <w:t>提供本地化服务。</w:t>
            </w:r>
            <w:r>
              <w:rPr>
                <w:rFonts w:hint="eastAsia" w:hAnsi="宋体" w:cs="宋体"/>
                <w:color w:val="auto"/>
                <w:szCs w:val="21"/>
                <w:highlight w:val="none"/>
                <w:lang w:val="en-US" w:eastAsia="zh-CN"/>
              </w:rPr>
              <w:t>必要时，根据业主要求</w:t>
            </w:r>
            <w:r>
              <w:rPr>
                <w:rFonts w:hint="eastAsia" w:hAnsi="宋体" w:cs="宋体"/>
                <w:color w:val="auto"/>
                <w:szCs w:val="21"/>
                <w:highlight w:val="none"/>
              </w:rPr>
              <w:t>提供不少于</w:t>
            </w:r>
            <w:r>
              <w:rPr>
                <w:rFonts w:hint="eastAsia" w:hAnsi="宋体" w:cs="宋体"/>
                <w:color w:val="auto"/>
                <w:szCs w:val="21"/>
                <w:highlight w:val="none"/>
                <w:lang w:val="en-US" w:eastAsia="zh-CN"/>
              </w:rPr>
              <w:t>1</w:t>
            </w:r>
            <w:r>
              <w:rPr>
                <w:rFonts w:hint="eastAsia" w:hAnsi="宋体" w:cs="宋体"/>
                <w:color w:val="auto"/>
                <w:szCs w:val="21"/>
                <w:highlight w:val="none"/>
              </w:rPr>
              <w:t>名</w:t>
            </w:r>
            <w:r>
              <w:rPr>
                <w:rFonts w:hint="eastAsia" w:hAnsi="宋体" w:cs="宋体"/>
                <w:color w:val="auto"/>
                <w:szCs w:val="21"/>
                <w:highlight w:val="none"/>
                <w:lang w:val="en-US" w:eastAsia="zh-CN"/>
              </w:rPr>
              <w:t>售后人员驻场</w:t>
            </w:r>
            <w:r>
              <w:rPr>
                <w:rFonts w:hint="eastAsia" w:hAnsi="宋体" w:cs="宋体"/>
                <w:color w:val="auto"/>
                <w:szCs w:val="21"/>
                <w:highlight w:val="none"/>
              </w:rPr>
              <w:t>负责本项目维护工作。</w:t>
            </w:r>
          </w:p>
          <w:p w14:paraId="297AE3AC">
            <w:pPr>
              <w:spacing w:line="440" w:lineRule="exact"/>
              <w:ind w:firstLine="420" w:firstLineChars="200"/>
              <w:rPr>
                <w:rFonts w:hint="eastAsia" w:ascii="Times New Roman" w:hAnsi="宋体" w:eastAsia="宋体" w:cs="Courier New"/>
                <w:color w:val="auto"/>
                <w:highlight w:val="none"/>
                <w:lang w:eastAsia="zh-CN"/>
              </w:rPr>
            </w:pPr>
            <w:r>
              <w:rPr>
                <w:rFonts w:hint="eastAsia" w:ascii="Times New Roman" w:hAnsi="宋体" w:eastAsia="宋体" w:cs="Courier New"/>
                <w:color w:val="auto"/>
                <w:highlight w:val="none"/>
              </w:rPr>
              <w:t>三档（</w:t>
            </w:r>
            <w:r>
              <w:rPr>
                <w:rFonts w:hint="eastAsia" w:ascii="Times New Roman" w:hAnsi="宋体" w:eastAsia="宋体" w:cs="Courier New"/>
                <w:color w:val="auto"/>
                <w:highlight w:val="none"/>
                <w:lang w:val="en-US" w:eastAsia="zh-CN"/>
              </w:rPr>
              <w:t>11</w:t>
            </w:r>
            <w:r>
              <w:rPr>
                <w:rFonts w:hint="eastAsia" w:ascii="Times New Roman" w:hAnsi="宋体" w:eastAsia="宋体" w:cs="Courier New"/>
                <w:color w:val="auto"/>
                <w:highlight w:val="none"/>
              </w:rPr>
              <w:t>分）：在满足二档的基础上，能承诺接到服务需求后30分钟内响应、2小时内到达现场，12小时内完成故障排查修复，</w:t>
            </w:r>
            <w:r>
              <w:rPr>
                <w:rFonts w:hint="eastAsia" w:ascii="Times New Roman" w:hAnsi="宋体" w:eastAsia="宋体" w:cs="Courier New"/>
                <w:color w:val="auto"/>
                <w:highlight w:val="none"/>
                <w:lang w:val="en-US" w:eastAsia="zh-CN"/>
              </w:rPr>
              <w:t>以及另外的增值服务，</w:t>
            </w:r>
            <w:r>
              <w:rPr>
                <w:rFonts w:hint="eastAsia" w:ascii="Times New Roman" w:hAnsi="宋体" w:eastAsia="宋体" w:cs="Courier New"/>
                <w:color w:val="auto"/>
                <w:highlight w:val="none"/>
              </w:rPr>
              <w:t>能针对性提供响应措施和处理方案</w:t>
            </w:r>
            <w:r>
              <w:rPr>
                <w:rFonts w:hint="eastAsia" w:ascii="Times New Roman" w:hAnsi="宋体" w:eastAsia="宋体" w:cs="Courier New"/>
                <w:color w:val="auto"/>
                <w:highlight w:val="none"/>
                <w:lang w:eastAsia="zh-CN"/>
              </w:rPr>
              <w:t>。</w:t>
            </w:r>
            <w:r>
              <w:rPr>
                <w:rFonts w:hint="eastAsia" w:ascii="Times New Roman" w:hAnsi="宋体" w:eastAsia="宋体" w:cs="Courier New"/>
                <w:color w:val="auto"/>
                <w:szCs w:val="24"/>
                <w:highlight w:val="none"/>
              </w:rPr>
              <w:t>提供本地化服务。</w:t>
            </w:r>
            <w:r>
              <w:rPr>
                <w:rFonts w:hint="eastAsia" w:ascii="Times New Roman" w:hAnsi="宋体" w:eastAsia="宋体" w:cs="Courier New"/>
                <w:color w:val="auto"/>
                <w:szCs w:val="24"/>
                <w:highlight w:val="none"/>
                <w:lang w:val="en-US" w:eastAsia="zh-CN"/>
              </w:rPr>
              <w:t>必要时，根据业主要求</w:t>
            </w:r>
            <w:r>
              <w:rPr>
                <w:rFonts w:hint="eastAsia" w:ascii="Times New Roman" w:hAnsi="宋体" w:eastAsia="宋体" w:cs="Courier New"/>
                <w:color w:val="auto"/>
                <w:szCs w:val="24"/>
                <w:highlight w:val="none"/>
              </w:rPr>
              <w:t>提供不少于</w:t>
            </w:r>
            <w:r>
              <w:rPr>
                <w:rFonts w:hint="eastAsia" w:ascii="Times New Roman" w:hAnsi="宋体" w:eastAsia="宋体" w:cs="Courier New"/>
                <w:color w:val="auto"/>
                <w:szCs w:val="24"/>
                <w:highlight w:val="none"/>
                <w:lang w:val="en-US" w:eastAsia="zh-CN"/>
              </w:rPr>
              <w:t>2</w:t>
            </w:r>
            <w:r>
              <w:rPr>
                <w:rFonts w:hint="eastAsia" w:ascii="Times New Roman" w:hAnsi="宋体" w:eastAsia="宋体" w:cs="Courier New"/>
                <w:color w:val="auto"/>
                <w:szCs w:val="24"/>
                <w:highlight w:val="none"/>
              </w:rPr>
              <w:t>名</w:t>
            </w:r>
            <w:r>
              <w:rPr>
                <w:rFonts w:hint="eastAsia" w:ascii="Times New Roman" w:hAnsi="宋体" w:eastAsia="宋体" w:cs="Courier New"/>
                <w:color w:val="auto"/>
                <w:szCs w:val="24"/>
                <w:highlight w:val="none"/>
                <w:lang w:val="en-US" w:eastAsia="zh-CN"/>
              </w:rPr>
              <w:t>售后人员驻场</w:t>
            </w:r>
            <w:r>
              <w:rPr>
                <w:rFonts w:hint="eastAsia" w:ascii="Times New Roman" w:hAnsi="宋体" w:eastAsia="宋体" w:cs="Courier New"/>
                <w:color w:val="auto"/>
                <w:szCs w:val="24"/>
                <w:highlight w:val="none"/>
              </w:rPr>
              <w:t>负责本项目维护工作。</w:t>
            </w:r>
          </w:p>
          <w:p w14:paraId="1E98CEFF">
            <w:pPr>
              <w:spacing w:line="440" w:lineRule="exact"/>
              <w:ind w:firstLine="422" w:firstLineChars="200"/>
              <w:rPr>
                <w:rFonts w:hint="default" w:hAnsi="宋体" w:cs="Courier New"/>
                <w:color w:val="auto"/>
                <w:highlight w:val="none"/>
                <w:lang w:val="en-US" w:eastAsia="zh-CN"/>
              </w:rPr>
            </w:pPr>
            <w:r>
              <w:rPr>
                <w:rFonts w:hint="eastAsia" w:ascii="Times New Roman" w:hAnsi="宋体" w:eastAsia="宋体" w:cs="Courier New"/>
                <w:b/>
                <w:bCs/>
                <w:color w:val="auto"/>
                <w:sz w:val="21"/>
                <w:szCs w:val="24"/>
                <w:highlight w:val="none"/>
                <w:lang w:val="en-US" w:eastAsia="zh-CN"/>
              </w:rPr>
              <w:t>注</w:t>
            </w:r>
            <w:r>
              <w:rPr>
                <w:rFonts w:hint="eastAsia" w:ascii="Times New Roman" w:hAnsi="宋体" w:eastAsia="宋体" w:cs="Courier New"/>
                <w:b w:val="0"/>
                <w:bCs w:val="0"/>
                <w:color w:val="auto"/>
                <w:sz w:val="21"/>
                <w:szCs w:val="24"/>
                <w:highlight w:val="none"/>
                <w:lang w:val="en-US" w:eastAsia="zh-CN"/>
              </w:rPr>
              <w:t>：</w:t>
            </w:r>
            <w:r>
              <w:rPr>
                <w:rFonts w:hint="eastAsia" w:ascii="Times New Roman" w:hAnsi="宋体" w:eastAsia="宋体" w:cs="Courier New"/>
                <w:color w:val="auto"/>
                <w:highlight w:val="none"/>
                <w:lang w:val="en-US" w:eastAsia="zh-CN"/>
              </w:rPr>
              <w:t>在响应文件中供应商为售后人员缴纳竞标截止之日</w:t>
            </w:r>
            <w:r>
              <w:rPr>
                <w:rFonts w:hint="eastAsia" w:ascii="宋体" w:hAnsi="宋体" w:eastAsia="宋体" w:cs="宋体"/>
                <w:color w:val="auto"/>
                <w:highlight w:val="none"/>
                <w:lang w:val="en-US" w:eastAsia="zh-CN"/>
              </w:rPr>
              <w:t>前半年内连续三个月的社保证明材料</w:t>
            </w:r>
            <w:r>
              <w:rPr>
                <w:rFonts w:hint="eastAsia" w:ascii="宋体" w:hAnsi="宋体" w:eastAsia="宋体" w:cs="宋体"/>
                <w:color w:val="auto"/>
                <w:kern w:val="2"/>
                <w:sz w:val="21"/>
                <w:szCs w:val="20"/>
                <w:highlight w:val="none"/>
                <w:lang w:val="en-US" w:eastAsia="zh-CN" w:bidi="ar-SA"/>
              </w:rPr>
              <w:t>或劳动合同证明</w:t>
            </w:r>
            <w:r>
              <w:rPr>
                <w:rFonts w:hint="eastAsia" w:ascii="宋体" w:hAnsi="宋体" w:eastAsia="宋体" w:cs="宋体"/>
                <w:color w:val="auto"/>
                <w:highlight w:val="none"/>
                <w:lang w:val="en-US" w:eastAsia="zh-CN"/>
              </w:rPr>
              <w:t>。</w:t>
            </w:r>
          </w:p>
        </w:tc>
        <w:tc>
          <w:tcPr>
            <w:tcW w:w="804" w:type="dxa"/>
            <w:noWrap w:val="0"/>
            <w:vAlign w:val="center"/>
          </w:tcPr>
          <w:p w14:paraId="789679B0">
            <w:pPr>
              <w:spacing w:line="36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Cs w:val="21"/>
                <w:highlight w:val="none"/>
                <w:lang w:val="en-US" w:eastAsia="zh-CN"/>
              </w:rPr>
              <w:t>满分</w:t>
            </w:r>
            <w:r>
              <w:rPr>
                <w:rFonts w:hint="eastAsia" w:cs="Times New Roman"/>
                <w:color w:val="auto"/>
                <w:kern w:val="0"/>
                <w:szCs w:val="21"/>
                <w:highlight w:val="none"/>
                <w:lang w:val="en-US" w:eastAsia="zh-CN"/>
              </w:rPr>
              <w:t>11</w:t>
            </w:r>
            <w:r>
              <w:rPr>
                <w:rFonts w:hint="default" w:ascii="Times New Roman" w:hAnsi="Times New Roman" w:cs="Times New Roman"/>
                <w:color w:val="auto"/>
                <w:kern w:val="0"/>
                <w:szCs w:val="21"/>
                <w:highlight w:val="none"/>
                <w:lang w:val="en-US" w:eastAsia="zh-CN"/>
              </w:rPr>
              <w:t>分</w:t>
            </w:r>
          </w:p>
        </w:tc>
      </w:tr>
      <w:tr w14:paraId="4724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noWrap w:val="0"/>
            <w:vAlign w:val="center"/>
          </w:tcPr>
          <w:p w14:paraId="0AA1C651">
            <w:pPr>
              <w:widowControl/>
              <w:spacing w:line="360" w:lineRule="auto"/>
              <w:jc w:val="center"/>
              <w:rPr>
                <w:rFonts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3</w:t>
            </w:r>
          </w:p>
        </w:tc>
        <w:tc>
          <w:tcPr>
            <w:tcW w:w="1418" w:type="dxa"/>
            <w:noWrap w:val="0"/>
            <w:vAlign w:val="center"/>
          </w:tcPr>
          <w:p w14:paraId="5A43BFFC">
            <w:pPr>
              <w:widowControl/>
              <w:spacing w:line="36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商务分</w:t>
            </w:r>
          </w:p>
        </w:tc>
        <w:tc>
          <w:tcPr>
            <w:tcW w:w="7088" w:type="dxa"/>
            <w:noWrap w:val="0"/>
            <w:vAlign w:val="center"/>
          </w:tcPr>
          <w:p w14:paraId="0CCA5C9F">
            <w:pPr>
              <w:widowControl/>
              <w:spacing w:line="360" w:lineRule="auto"/>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评审因素</w:t>
            </w:r>
          </w:p>
        </w:tc>
        <w:tc>
          <w:tcPr>
            <w:tcW w:w="804" w:type="dxa"/>
            <w:noWrap w:val="0"/>
            <w:vAlign w:val="center"/>
          </w:tcPr>
          <w:p w14:paraId="51E495ED">
            <w:pPr>
              <w:widowControl/>
              <w:spacing w:line="360" w:lineRule="auto"/>
              <w:jc w:val="center"/>
              <w:rPr>
                <w:rFonts w:hint="default" w:ascii="Times New Roman" w:hAnsi="Times New Roman" w:eastAsia="宋体" w:cs="Times New Roman"/>
                <w:b/>
                <w:bCs w:val="0"/>
                <w:color w:val="auto"/>
                <w:kern w:val="0"/>
                <w:szCs w:val="21"/>
                <w:highlight w:val="none"/>
                <w:lang w:val="en-US" w:eastAsia="zh-CN"/>
              </w:rPr>
            </w:pPr>
            <w:r>
              <w:rPr>
                <w:rFonts w:hint="default" w:ascii="Times New Roman" w:hAnsi="Times New Roman" w:eastAsia="宋体" w:cs="Times New Roman"/>
                <w:b/>
                <w:bCs w:val="0"/>
                <w:color w:val="auto"/>
                <w:kern w:val="0"/>
                <w:szCs w:val="21"/>
                <w:highlight w:val="none"/>
                <w:lang w:val="en-US" w:eastAsia="zh-CN"/>
              </w:rPr>
              <w:t>满分</w:t>
            </w:r>
          </w:p>
          <w:p w14:paraId="75973B86">
            <w:pPr>
              <w:widowControl/>
              <w:spacing w:line="360" w:lineRule="auto"/>
              <w:jc w:val="center"/>
              <w:rPr>
                <w:rFonts w:hint="default" w:ascii="Times New Roman" w:hAnsi="Times New Roman" w:cs="Times New Roman"/>
                <w:b/>
                <w:bCs/>
                <w:color w:val="auto"/>
                <w:kern w:val="0"/>
                <w:szCs w:val="21"/>
                <w:highlight w:val="none"/>
              </w:rPr>
            </w:pPr>
            <w:r>
              <w:rPr>
                <w:rFonts w:hint="eastAsia" w:ascii="Times New Roman" w:hAnsi="Times New Roman" w:eastAsia="宋体" w:cs="Times New Roman"/>
                <w:b/>
                <w:bCs w:val="0"/>
                <w:color w:val="auto"/>
                <w:kern w:val="0"/>
                <w:szCs w:val="21"/>
                <w:highlight w:val="none"/>
                <w:lang w:val="en-US" w:eastAsia="zh-CN"/>
              </w:rPr>
              <w:t>9</w:t>
            </w:r>
            <w:r>
              <w:rPr>
                <w:rFonts w:hint="default" w:ascii="Times New Roman" w:hAnsi="Times New Roman" w:eastAsia="宋体" w:cs="Times New Roman"/>
                <w:b/>
                <w:bCs w:val="0"/>
                <w:color w:val="auto"/>
                <w:kern w:val="0"/>
                <w:szCs w:val="21"/>
                <w:highlight w:val="none"/>
                <w:lang w:val="en-US" w:eastAsia="zh-CN"/>
              </w:rPr>
              <w:t>分</w:t>
            </w:r>
          </w:p>
        </w:tc>
      </w:tr>
      <w:tr w14:paraId="16DC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533" w:type="dxa"/>
            <w:noWrap w:val="0"/>
            <w:vAlign w:val="center"/>
          </w:tcPr>
          <w:p w14:paraId="7D078302">
            <w:pPr>
              <w:spacing w:line="360" w:lineRule="auto"/>
              <w:jc w:val="center"/>
              <w:rPr>
                <w:rFonts w:hint="eastAsia" w:ascii="Times New Roman" w:hAnsi="Times New Roman" w:eastAsia="宋体" w:cs="Times New Roman"/>
                <w:color w:val="auto"/>
                <w:kern w:val="0"/>
                <w:sz w:val="21"/>
                <w:szCs w:val="21"/>
                <w:highlight w:val="none"/>
                <w:lang w:val="en-US" w:eastAsia="zh-CN" w:bidi="ar-SA"/>
              </w:rPr>
            </w:pPr>
            <w:r>
              <w:rPr>
                <w:rFonts w:ascii="Times New Roman" w:hAnsi="Times New Roman" w:cs="Times New Roman"/>
                <w:color w:val="auto"/>
                <w:kern w:val="0"/>
                <w:szCs w:val="21"/>
                <w:highlight w:val="none"/>
              </w:rPr>
              <w:t>3.</w:t>
            </w:r>
            <w:r>
              <w:rPr>
                <w:rFonts w:hint="eastAsia" w:cs="Times New Roman"/>
                <w:color w:val="auto"/>
                <w:kern w:val="0"/>
                <w:szCs w:val="21"/>
                <w:highlight w:val="none"/>
                <w:lang w:val="en-US" w:eastAsia="zh-CN"/>
              </w:rPr>
              <w:t>1</w:t>
            </w:r>
          </w:p>
        </w:tc>
        <w:tc>
          <w:tcPr>
            <w:tcW w:w="1418" w:type="dxa"/>
            <w:noWrap w:val="0"/>
            <w:vAlign w:val="center"/>
          </w:tcPr>
          <w:p w14:paraId="1CD922E9">
            <w:pPr>
              <w:widowControl/>
              <w:spacing w:line="360" w:lineRule="auto"/>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bCs/>
                <w:color w:val="auto"/>
                <w:szCs w:val="21"/>
                <w:highlight w:val="none"/>
              </w:rPr>
              <w:t>业绩分</w:t>
            </w:r>
          </w:p>
        </w:tc>
        <w:tc>
          <w:tcPr>
            <w:tcW w:w="7088" w:type="dxa"/>
            <w:noWrap w:val="0"/>
            <w:vAlign w:val="top"/>
          </w:tcPr>
          <w:p w14:paraId="50CA1F06">
            <w:pPr>
              <w:spacing w:line="360" w:lineRule="auto"/>
              <w:ind w:firstLine="420" w:firstLineChars="200"/>
              <w:jc w:val="left"/>
              <w:rPr>
                <w:rFonts w:hint="default" w:ascii="Times New Roman" w:hAnsi="Times New Roman" w:eastAsia="宋体" w:cs="Times New Roman"/>
                <w:bCs/>
                <w:color w:val="auto"/>
                <w:kern w:val="2"/>
                <w:sz w:val="21"/>
                <w:szCs w:val="21"/>
                <w:highlight w:val="none"/>
                <w:lang w:val="en-US" w:eastAsia="zh-CN" w:bidi="ar-SA"/>
              </w:rPr>
            </w:pPr>
            <w:r>
              <w:rPr>
                <w:rFonts w:hint="eastAsia" w:ascii="宋体" w:hAnsi="宋体" w:cs="宋体"/>
                <w:color w:val="auto"/>
                <w:szCs w:val="21"/>
                <w:highlight w:val="none"/>
              </w:rPr>
              <w:t>投标人在投标文件中提供202</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年1月1日以来（以合同签订时间为准）至开标日前的类似业绩，类似业绩应包含</w:t>
            </w:r>
            <w:r>
              <w:rPr>
                <w:rFonts w:hint="eastAsia" w:ascii="宋体" w:hAnsi="宋体" w:cs="宋体"/>
                <w:color w:val="auto"/>
                <w:szCs w:val="21"/>
                <w:highlight w:val="none"/>
                <w:lang w:val="en-US" w:eastAsia="zh-CN"/>
              </w:rPr>
              <w:t>道闸或视频监控</w:t>
            </w:r>
            <w:r>
              <w:rPr>
                <w:rFonts w:hint="eastAsia"/>
                <w:color w:val="auto"/>
                <w:highlight w:val="none"/>
              </w:rPr>
              <w:t>。</w:t>
            </w:r>
            <w:r>
              <w:rPr>
                <w:rFonts w:hint="eastAsia" w:ascii="宋体" w:hAnsi="宋体" w:cs="宋体"/>
                <w:color w:val="auto"/>
                <w:szCs w:val="21"/>
                <w:highlight w:val="none"/>
              </w:rPr>
              <w:t>每提供一个业绩得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804" w:type="dxa"/>
            <w:noWrap w:val="0"/>
            <w:vAlign w:val="center"/>
          </w:tcPr>
          <w:p w14:paraId="62702A5F">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满分</w:t>
            </w:r>
          </w:p>
          <w:p w14:paraId="1FDBB36F">
            <w:pPr>
              <w:widowControl/>
              <w:spacing w:line="360" w:lineRule="auto"/>
              <w:jc w:val="center"/>
              <w:rPr>
                <w:rFonts w:hint="default" w:ascii="Times New Roman" w:hAnsi="Times New Roman" w:cs="Times New Roman"/>
                <w:color w:val="auto"/>
                <w:kern w:val="0"/>
                <w:sz w:val="21"/>
                <w:szCs w:val="21"/>
                <w:highlight w:val="none"/>
                <w:lang w:val="en-US" w:eastAsia="zh-CN" w:bidi="ar-SA"/>
              </w:rPr>
            </w:pPr>
            <w:r>
              <w:rPr>
                <w:rFonts w:hint="eastAsia" w:ascii="宋体" w:hAnsi="宋体" w:cs="宋体"/>
                <w:color w:val="auto"/>
                <w:szCs w:val="21"/>
                <w:highlight w:val="none"/>
                <w:lang w:val="en-US" w:eastAsia="zh-CN"/>
              </w:rPr>
              <w:t>9</w:t>
            </w:r>
            <w:r>
              <w:rPr>
                <w:rFonts w:hint="default" w:ascii="Times New Roman" w:hAnsi="Times New Roman" w:cs="Times New Roman"/>
                <w:color w:val="auto"/>
                <w:kern w:val="0"/>
                <w:szCs w:val="21"/>
                <w:highlight w:val="none"/>
              </w:rPr>
              <w:t>分</w:t>
            </w:r>
          </w:p>
        </w:tc>
      </w:tr>
      <w:tr w14:paraId="631E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843" w:type="dxa"/>
            <w:gridSpan w:val="4"/>
            <w:noWrap w:val="0"/>
            <w:vAlign w:val="top"/>
          </w:tcPr>
          <w:p w14:paraId="651E6C77">
            <w:pPr>
              <w:widowControl/>
              <w:spacing w:line="360" w:lineRule="auto"/>
              <w:jc w:val="left"/>
              <w:rPr>
                <w:rFonts w:hint="default" w:ascii="Times New Roman" w:hAnsi="Times New Roman" w:cs="Times New Roman"/>
                <w:color w:val="auto"/>
                <w:kern w:val="0"/>
                <w:szCs w:val="21"/>
                <w:highlight w:val="none"/>
                <w:lang w:val="en-US"/>
              </w:rPr>
            </w:pPr>
            <w:r>
              <w:rPr>
                <w:rFonts w:hint="default" w:ascii="Times New Roman" w:hAnsi="Times New Roman" w:cs="Times New Roman"/>
                <w:bCs/>
                <w:color w:val="auto"/>
                <w:kern w:val="2"/>
                <w:sz w:val="21"/>
                <w:highlight w:val="none"/>
                <w:lang w:val="en-US" w:eastAsia="zh-CN"/>
              </w:rPr>
              <w:t>总得分＝1＋2＋3</w:t>
            </w:r>
          </w:p>
        </w:tc>
      </w:tr>
    </w:tbl>
    <w:p w14:paraId="0D4F2078">
      <w:pPr>
        <w:spacing w:line="360" w:lineRule="auto"/>
        <w:ind w:firstLine="420" w:firstLineChars="200"/>
        <w:rPr>
          <w:rFonts w:hint="eastAsia" w:ascii="宋体" w:hAnsi="宋体"/>
          <w:color w:val="auto"/>
          <w:szCs w:val="21"/>
          <w:highlight w:val="none"/>
        </w:rPr>
      </w:pPr>
      <w:r>
        <w:rPr>
          <w:rFonts w:ascii="宋体" w:hAnsi="宋体"/>
          <w:bCs/>
          <w:color w:val="auto"/>
          <w:szCs w:val="21"/>
          <w:highlight w:val="none"/>
        </w:rPr>
        <w:t>7.</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64D27354">
      <w:pPr>
        <w:spacing w:line="400" w:lineRule="exact"/>
        <w:ind w:firstLine="420" w:firstLineChars="200"/>
        <w:rPr>
          <w:rFonts w:hint="eastAsia" w:ascii="宋体" w:hAnsi="宋体" w:cs="宋体"/>
          <w:color w:val="auto"/>
          <w:highlight w:val="none"/>
        </w:rPr>
      </w:pPr>
    </w:p>
    <w:p w14:paraId="33A05506">
      <w:pPr>
        <w:pStyle w:val="2"/>
        <w:jc w:val="center"/>
        <w:rPr>
          <w:rFonts w:hint="eastAsia"/>
          <w:color w:val="auto"/>
          <w:highlight w:val="none"/>
        </w:rPr>
      </w:pPr>
      <w:bookmarkStart w:id="74" w:name="_Toc74323460"/>
      <w:r>
        <w:rPr>
          <w:rFonts w:hint="eastAsia"/>
          <w:color w:val="auto"/>
          <w:highlight w:val="none"/>
        </w:rPr>
        <w:br w:type="page"/>
      </w:r>
      <w:r>
        <w:rPr>
          <w:rFonts w:hint="eastAsia"/>
          <w:color w:val="auto"/>
          <w:highlight w:val="none"/>
        </w:rPr>
        <w:t>第五章 响应文件格式</w:t>
      </w:r>
      <w:bookmarkEnd w:id="74"/>
    </w:p>
    <w:p w14:paraId="5D7A2698">
      <w:pPr>
        <w:spacing w:line="240" w:lineRule="atLeast"/>
        <w:rPr>
          <w:rFonts w:hint="eastAsia" w:ascii="宋体" w:hAnsi="宋体"/>
          <w:b/>
          <w:color w:val="auto"/>
          <w:sz w:val="32"/>
          <w:szCs w:val="32"/>
          <w:highlight w:val="none"/>
        </w:rPr>
      </w:pPr>
    </w:p>
    <w:p w14:paraId="28232BE5">
      <w:pPr>
        <w:spacing w:line="240" w:lineRule="atLeast"/>
        <w:rPr>
          <w:rFonts w:hint="eastAsia" w:ascii="宋体" w:hAnsi="宋体"/>
          <w:b/>
          <w:color w:val="auto"/>
          <w:sz w:val="32"/>
          <w:szCs w:val="32"/>
          <w:highlight w:val="none"/>
        </w:rPr>
      </w:pPr>
    </w:p>
    <w:p w14:paraId="6D06BD9D">
      <w:pPr>
        <w:spacing w:line="240" w:lineRule="atLeast"/>
        <w:rPr>
          <w:rFonts w:hint="eastAsia" w:ascii="宋体" w:hAnsi="宋体"/>
          <w:b/>
          <w:color w:val="auto"/>
          <w:sz w:val="32"/>
          <w:szCs w:val="32"/>
          <w:highlight w:val="none"/>
        </w:rPr>
      </w:pPr>
    </w:p>
    <w:p w14:paraId="28AD5482">
      <w:pPr>
        <w:spacing w:line="240" w:lineRule="atLeast"/>
        <w:rPr>
          <w:rFonts w:hint="eastAsia" w:ascii="宋体" w:hAnsi="宋体"/>
          <w:b/>
          <w:color w:val="auto"/>
          <w:sz w:val="32"/>
          <w:szCs w:val="32"/>
          <w:highlight w:val="none"/>
        </w:rPr>
      </w:pPr>
    </w:p>
    <w:p w14:paraId="660ED8F0">
      <w:pPr>
        <w:spacing w:line="240" w:lineRule="atLeast"/>
        <w:rPr>
          <w:rFonts w:hint="eastAsia" w:ascii="宋体" w:hAnsi="宋体"/>
          <w:b/>
          <w:color w:val="auto"/>
          <w:sz w:val="32"/>
          <w:szCs w:val="32"/>
          <w:highlight w:val="none"/>
        </w:rPr>
      </w:pPr>
    </w:p>
    <w:p w14:paraId="7DC36609">
      <w:pPr>
        <w:spacing w:line="240" w:lineRule="atLeast"/>
        <w:rPr>
          <w:rFonts w:hint="eastAsia" w:ascii="宋体" w:hAnsi="宋体"/>
          <w:b/>
          <w:color w:val="auto"/>
          <w:sz w:val="32"/>
          <w:szCs w:val="32"/>
          <w:highlight w:val="none"/>
        </w:rPr>
      </w:pPr>
    </w:p>
    <w:p w14:paraId="4361CAE3">
      <w:pPr>
        <w:spacing w:line="240" w:lineRule="atLeast"/>
        <w:rPr>
          <w:rFonts w:hint="eastAsia" w:ascii="宋体" w:hAnsi="宋体"/>
          <w:b/>
          <w:color w:val="auto"/>
          <w:sz w:val="32"/>
          <w:szCs w:val="32"/>
          <w:highlight w:val="none"/>
        </w:rPr>
      </w:pPr>
    </w:p>
    <w:p w14:paraId="5B3585A5">
      <w:pPr>
        <w:spacing w:line="240" w:lineRule="atLeast"/>
        <w:rPr>
          <w:rFonts w:hint="eastAsia" w:ascii="宋体" w:hAnsi="宋体"/>
          <w:b/>
          <w:color w:val="auto"/>
          <w:sz w:val="32"/>
          <w:szCs w:val="32"/>
          <w:highlight w:val="none"/>
        </w:rPr>
      </w:pPr>
    </w:p>
    <w:p w14:paraId="5ADE3E87">
      <w:pPr>
        <w:spacing w:line="240" w:lineRule="atLeast"/>
        <w:rPr>
          <w:rFonts w:hint="eastAsia" w:ascii="宋体" w:hAnsi="宋体"/>
          <w:b/>
          <w:color w:val="auto"/>
          <w:sz w:val="32"/>
          <w:szCs w:val="32"/>
          <w:highlight w:val="none"/>
        </w:rPr>
      </w:pPr>
    </w:p>
    <w:p w14:paraId="41AA8219">
      <w:pPr>
        <w:spacing w:line="240" w:lineRule="atLeast"/>
        <w:rPr>
          <w:rFonts w:hint="eastAsia" w:ascii="宋体" w:hAnsi="宋体"/>
          <w:b/>
          <w:color w:val="auto"/>
          <w:sz w:val="32"/>
          <w:szCs w:val="32"/>
          <w:highlight w:val="none"/>
        </w:rPr>
      </w:pPr>
    </w:p>
    <w:p w14:paraId="28A08FE5">
      <w:pPr>
        <w:spacing w:line="240" w:lineRule="atLeast"/>
        <w:rPr>
          <w:rFonts w:hint="eastAsia" w:ascii="宋体" w:hAnsi="宋体"/>
          <w:b/>
          <w:color w:val="auto"/>
          <w:sz w:val="32"/>
          <w:szCs w:val="32"/>
          <w:highlight w:val="none"/>
        </w:rPr>
      </w:pPr>
    </w:p>
    <w:p w14:paraId="70B99720">
      <w:pPr>
        <w:snapToGrid w:val="0"/>
        <w:spacing w:before="50" w:after="50"/>
        <w:outlineLvl w:val="9"/>
        <w:rPr>
          <w:rFonts w:hint="eastAsia" w:ascii="宋体" w:hAnsi="宋体"/>
          <w:b/>
          <w:bCs/>
          <w:color w:val="auto"/>
          <w:sz w:val="24"/>
          <w:highlight w:val="none"/>
        </w:rPr>
      </w:pPr>
    </w:p>
    <w:p w14:paraId="06B82216">
      <w:pPr>
        <w:rPr>
          <w:rFonts w:hint="eastAsia"/>
          <w:b/>
          <w:color w:val="auto"/>
          <w:sz w:val="32"/>
          <w:szCs w:val="32"/>
          <w:highlight w:val="none"/>
        </w:rPr>
      </w:pPr>
      <w:bookmarkStart w:id="75" w:name="_Toc35611438"/>
      <w:bookmarkStart w:id="76" w:name="_Toc35611516"/>
      <w:bookmarkStart w:id="77" w:name="_Toc31723070"/>
      <w:bookmarkStart w:id="78" w:name="_Toc44229899"/>
      <w:bookmarkStart w:id="79" w:name="_Toc31728084"/>
      <w:bookmarkStart w:id="80" w:name="_Toc71366186"/>
      <w:r>
        <w:rPr>
          <w:b/>
          <w:color w:val="auto"/>
          <w:sz w:val="32"/>
          <w:szCs w:val="32"/>
          <w:highlight w:val="none"/>
        </w:rPr>
        <w:br w:type="page"/>
      </w:r>
      <w:r>
        <w:rPr>
          <w:rFonts w:hint="eastAsia"/>
          <w:b/>
          <w:color w:val="auto"/>
          <w:sz w:val="32"/>
          <w:szCs w:val="32"/>
          <w:highlight w:val="none"/>
        </w:rPr>
        <w:t>一、资格证明文件格式</w:t>
      </w:r>
      <w:bookmarkEnd w:id="75"/>
      <w:bookmarkEnd w:id="76"/>
      <w:bookmarkEnd w:id="77"/>
      <w:bookmarkEnd w:id="78"/>
      <w:bookmarkEnd w:id="79"/>
      <w:bookmarkEnd w:id="80"/>
    </w:p>
    <w:p w14:paraId="286929EB">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1A19B4AE">
      <w:pPr>
        <w:snapToGrid w:val="0"/>
        <w:spacing w:before="120" w:beforeLines="50" w:after="50"/>
        <w:jc w:val="center"/>
        <w:rPr>
          <w:rFonts w:ascii="宋体" w:hAnsi="宋体"/>
          <w:color w:val="auto"/>
          <w:sz w:val="44"/>
          <w:szCs w:val="44"/>
          <w:highlight w:val="none"/>
        </w:rPr>
      </w:pPr>
    </w:p>
    <w:p w14:paraId="56329CC6">
      <w:pPr>
        <w:snapToGrid w:val="0"/>
        <w:spacing w:before="120"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286B24C7">
      <w:pPr>
        <w:snapToGrid w:val="0"/>
        <w:spacing w:before="120" w:beforeLines="50" w:after="50"/>
        <w:rPr>
          <w:rFonts w:hint="eastAsia" w:ascii="宋体" w:hAnsi="宋体"/>
          <w:color w:val="auto"/>
          <w:sz w:val="24"/>
          <w:szCs w:val="20"/>
          <w:highlight w:val="none"/>
        </w:rPr>
      </w:pPr>
    </w:p>
    <w:p w14:paraId="0EDBDFA4">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0B22EB24">
      <w:pPr>
        <w:snapToGrid w:val="0"/>
        <w:spacing w:before="120" w:beforeLines="50" w:after="50"/>
        <w:rPr>
          <w:rFonts w:hint="eastAsia" w:ascii="宋体" w:hAnsi="宋体"/>
          <w:bCs/>
          <w:color w:val="auto"/>
          <w:sz w:val="24"/>
          <w:szCs w:val="20"/>
          <w:highlight w:val="none"/>
        </w:rPr>
      </w:pPr>
    </w:p>
    <w:p w14:paraId="7B9DFB87">
      <w:pPr>
        <w:snapToGrid w:val="0"/>
        <w:spacing w:before="120" w:beforeLines="50" w:after="50"/>
        <w:rPr>
          <w:rFonts w:hint="eastAsia" w:ascii="宋体" w:hAnsi="宋体"/>
          <w:bCs/>
          <w:color w:val="auto"/>
          <w:sz w:val="24"/>
          <w:szCs w:val="20"/>
          <w:highlight w:val="none"/>
        </w:rPr>
      </w:pPr>
    </w:p>
    <w:p w14:paraId="03D87F37">
      <w:pPr>
        <w:snapToGrid w:val="0"/>
        <w:spacing w:before="120" w:beforeLines="50" w:after="50"/>
        <w:rPr>
          <w:rFonts w:hint="eastAsia" w:ascii="宋体" w:hAnsi="宋体"/>
          <w:bCs/>
          <w:color w:val="auto"/>
          <w:sz w:val="24"/>
          <w:szCs w:val="20"/>
          <w:highlight w:val="none"/>
        </w:rPr>
      </w:pPr>
    </w:p>
    <w:p w14:paraId="5735DA20">
      <w:pPr>
        <w:snapToGrid w:val="0"/>
        <w:spacing w:before="120" w:beforeLines="50" w:after="50"/>
        <w:rPr>
          <w:rFonts w:hint="eastAsia" w:ascii="宋体" w:hAnsi="宋体"/>
          <w:bCs/>
          <w:color w:val="auto"/>
          <w:sz w:val="24"/>
          <w:szCs w:val="20"/>
          <w:highlight w:val="none"/>
        </w:rPr>
      </w:pPr>
    </w:p>
    <w:p w14:paraId="1A18CB37">
      <w:pPr>
        <w:snapToGrid w:val="0"/>
        <w:spacing w:before="120" w:beforeLines="50" w:after="50"/>
        <w:rPr>
          <w:rFonts w:hint="eastAsia" w:ascii="宋体" w:hAnsi="宋体"/>
          <w:bCs/>
          <w:color w:val="auto"/>
          <w:sz w:val="24"/>
          <w:szCs w:val="20"/>
          <w:highlight w:val="none"/>
        </w:rPr>
      </w:pPr>
    </w:p>
    <w:p w14:paraId="4A34B4EA">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15A02CD">
      <w:pPr>
        <w:snapToGrid w:val="0"/>
        <w:spacing w:before="120" w:beforeLines="50" w:after="50"/>
        <w:ind w:firstLine="720" w:firstLineChars="225"/>
        <w:rPr>
          <w:rFonts w:hint="eastAsia" w:ascii="宋体" w:hAnsi="宋体" w:cs="仿宋_GB2312"/>
          <w:bCs/>
          <w:color w:val="auto"/>
          <w:sz w:val="32"/>
          <w:szCs w:val="32"/>
          <w:highlight w:val="none"/>
        </w:rPr>
      </w:pPr>
    </w:p>
    <w:p w14:paraId="08D55C18">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AE81F45">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79BC266C">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48AD716">
      <w:pPr>
        <w:snapToGrid w:val="0"/>
        <w:spacing w:before="120" w:beforeLines="50" w:after="50"/>
        <w:ind w:firstLine="720" w:firstLineChars="225"/>
        <w:rPr>
          <w:rFonts w:hint="eastAsia" w:ascii="宋体" w:hAnsi="宋体" w:cs="仿宋_GB2312"/>
          <w:bCs/>
          <w:color w:val="auto"/>
          <w:sz w:val="32"/>
          <w:szCs w:val="32"/>
          <w:highlight w:val="none"/>
        </w:rPr>
      </w:pPr>
    </w:p>
    <w:p w14:paraId="34C214D0">
      <w:pPr>
        <w:pStyle w:val="5"/>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5D303FB">
      <w:pPr>
        <w:snapToGrid w:val="0"/>
        <w:spacing w:before="120" w:beforeLines="50" w:after="50"/>
        <w:ind w:firstLine="640" w:firstLineChars="200"/>
        <w:rPr>
          <w:rFonts w:hint="eastAsia" w:ascii="宋体" w:hAnsi="宋体" w:cs="仿宋_GB2312"/>
          <w:bCs/>
          <w:color w:val="auto"/>
          <w:sz w:val="32"/>
          <w:szCs w:val="32"/>
          <w:highlight w:val="none"/>
        </w:rPr>
      </w:pPr>
    </w:p>
    <w:p w14:paraId="450B39A9">
      <w:pPr>
        <w:pStyle w:val="5"/>
        <w:snapToGrid w:val="0"/>
        <w:spacing w:before="50" w:after="50"/>
        <w:ind w:firstLine="720" w:firstLineChars="225"/>
        <w:rPr>
          <w:rFonts w:hint="eastAsia" w:ascii="宋体" w:hAnsi="宋体" w:cs="仿宋_GB2312"/>
          <w:bCs/>
          <w:color w:val="auto"/>
          <w:sz w:val="32"/>
          <w:szCs w:val="32"/>
          <w:highlight w:val="none"/>
        </w:rPr>
      </w:pPr>
    </w:p>
    <w:p w14:paraId="71B78C53">
      <w:pPr>
        <w:pStyle w:val="5"/>
        <w:snapToGrid w:val="0"/>
        <w:spacing w:before="50" w:after="50"/>
        <w:ind w:firstLine="720" w:firstLineChars="225"/>
        <w:rPr>
          <w:rFonts w:hint="eastAsia" w:ascii="宋体" w:hAnsi="宋体" w:cs="仿宋_GB2312"/>
          <w:bCs/>
          <w:color w:val="auto"/>
          <w:sz w:val="32"/>
          <w:szCs w:val="32"/>
          <w:highlight w:val="none"/>
        </w:rPr>
      </w:pPr>
    </w:p>
    <w:p w14:paraId="351A360E">
      <w:pPr>
        <w:pStyle w:val="5"/>
        <w:snapToGrid w:val="0"/>
        <w:spacing w:before="50" w:after="50"/>
        <w:ind w:firstLine="1280" w:firstLineChars="400"/>
        <w:rPr>
          <w:rFonts w:hint="eastAsia" w:ascii="宋体" w:hAnsi="宋体" w:cs="仿宋_GB2312"/>
          <w:bCs/>
          <w:color w:val="auto"/>
          <w:sz w:val="32"/>
          <w:szCs w:val="32"/>
          <w:highlight w:val="none"/>
        </w:rPr>
      </w:pPr>
    </w:p>
    <w:p w14:paraId="4A2896B2">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B00523E">
      <w:pPr>
        <w:snapToGrid w:val="0"/>
        <w:spacing w:before="120"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0188F52B">
      <w:pPr>
        <w:snapToGrid w:val="0"/>
        <w:spacing w:before="120"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76F656FF">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64307B4E">
      <w:pPr>
        <w:spacing w:line="300" w:lineRule="auto"/>
        <w:rPr>
          <w:rFonts w:hint="eastAsia" w:ascii="宋体" w:hAnsi="宋体"/>
          <w:color w:val="auto"/>
          <w:szCs w:val="21"/>
          <w:highlight w:val="none"/>
        </w:rPr>
      </w:pPr>
    </w:p>
    <w:p w14:paraId="2F72A1A1">
      <w:pPr>
        <w:spacing w:line="300" w:lineRule="auto"/>
        <w:rPr>
          <w:rFonts w:hint="eastAsia" w:ascii="宋体" w:hAnsi="宋体"/>
          <w:color w:val="auto"/>
          <w:szCs w:val="21"/>
          <w:highlight w:val="none"/>
        </w:rPr>
      </w:pPr>
    </w:p>
    <w:p w14:paraId="4103897E">
      <w:pPr>
        <w:spacing w:line="300" w:lineRule="auto"/>
        <w:rPr>
          <w:rFonts w:hint="eastAsia" w:ascii="宋体" w:hAnsi="宋体"/>
          <w:color w:val="auto"/>
          <w:szCs w:val="21"/>
          <w:highlight w:val="none"/>
        </w:rPr>
      </w:pPr>
    </w:p>
    <w:p w14:paraId="443448BB">
      <w:pPr>
        <w:spacing w:line="300" w:lineRule="auto"/>
        <w:rPr>
          <w:rFonts w:hint="eastAsia" w:ascii="宋体" w:hAnsi="宋体"/>
          <w:color w:val="auto"/>
          <w:szCs w:val="21"/>
          <w:highlight w:val="none"/>
        </w:rPr>
      </w:pPr>
    </w:p>
    <w:p w14:paraId="5A5C546A">
      <w:pPr>
        <w:spacing w:line="300" w:lineRule="auto"/>
        <w:rPr>
          <w:rFonts w:hint="eastAsia" w:ascii="宋体" w:hAnsi="宋体"/>
          <w:color w:val="auto"/>
          <w:szCs w:val="21"/>
          <w:highlight w:val="none"/>
        </w:rPr>
      </w:pPr>
    </w:p>
    <w:p w14:paraId="4CD7A16C">
      <w:pPr>
        <w:spacing w:line="300" w:lineRule="auto"/>
        <w:rPr>
          <w:rFonts w:hint="eastAsia" w:ascii="宋体" w:hAnsi="宋体"/>
          <w:color w:val="auto"/>
          <w:szCs w:val="21"/>
          <w:highlight w:val="none"/>
        </w:rPr>
      </w:pPr>
    </w:p>
    <w:p w14:paraId="4354C702">
      <w:pPr>
        <w:spacing w:line="300" w:lineRule="auto"/>
        <w:rPr>
          <w:rFonts w:hint="eastAsia" w:ascii="宋体" w:hAnsi="宋体"/>
          <w:color w:val="auto"/>
          <w:szCs w:val="21"/>
          <w:highlight w:val="none"/>
        </w:rPr>
      </w:pPr>
    </w:p>
    <w:p w14:paraId="51F59487">
      <w:pPr>
        <w:spacing w:line="300" w:lineRule="auto"/>
        <w:rPr>
          <w:rFonts w:hint="eastAsia" w:ascii="宋体" w:hAnsi="宋体"/>
          <w:color w:val="auto"/>
          <w:szCs w:val="21"/>
          <w:highlight w:val="none"/>
        </w:rPr>
      </w:pPr>
    </w:p>
    <w:p w14:paraId="25E62947">
      <w:pPr>
        <w:spacing w:line="300" w:lineRule="auto"/>
        <w:rPr>
          <w:rFonts w:hint="eastAsia" w:ascii="宋体" w:hAnsi="宋体"/>
          <w:color w:val="auto"/>
          <w:szCs w:val="21"/>
          <w:highlight w:val="none"/>
        </w:rPr>
      </w:pPr>
    </w:p>
    <w:p w14:paraId="0D3B065B">
      <w:pPr>
        <w:spacing w:line="300" w:lineRule="auto"/>
        <w:rPr>
          <w:rFonts w:hint="eastAsia" w:ascii="宋体" w:hAnsi="宋体"/>
          <w:color w:val="auto"/>
          <w:szCs w:val="21"/>
          <w:highlight w:val="none"/>
        </w:rPr>
      </w:pPr>
    </w:p>
    <w:p w14:paraId="1C9BF557">
      <w:pPr>
        <w:spacing w:line="300" w:lineRule="auto"/>
        <w:rPr>
          <w:rFonts w:hint="eastAsia" w:ascii="宋体" w:hAnsi="宋体"/>
          <w:color w:val="auto"/>
          <w:szCs w:val="21"/>
          <w:highlight w:val="none"/>
        </w:rPr>
      </w:pPr>
    </w:p>
    <w:p w14:paraId="02F0C58E">
      <w:pPr>
        <w:spacing w:line="300" w:lineRule="auto"/>
        <w:rPr>
          <w:rFonts w:hint="eastAsia" w:ascii="宋体" w:hAnsi="宋体"/>
          <w:color w:val="auto"/>
          <w:szCs w:val="21"/>
          <w:highlight w:val="none"/>
        </w:rPr>
      </w:pPr>
    </w:p>
    <w:p w14:paraId="6B1D14E6">
      <w:pPr>
        <w:spacing w:line="300" w:lineRule="auto"/>
        <w:rPr>
          <w:rFonts w:hint="eastAsia" w:ascii="宋体" w:hAnsi="宋体"/>
          <w:color w:val="auto"/>
          <w:szCs w:val="21"/>
          <w:highlight w:val="none"/>
        </w:rPr>
      </w:pPr>
    </w:p>
    <w:p w14:paraId="6C236209">
      <w:pPr>
        <w:spacing w:line="300" w:lineRule="auto"/>
        <w:rPr>
          <w:rFonts w:hint="eastAsia" w:ascii="宋体" w:hAnsi="宋体"/>
          <w:color w:val="auto"/>
          <w:szCs w:val="21"/>
          <w:highlight w:val="none"/>
        </w:rPr>
      </w:pPr>
    </w:p>
    <w:p w14:paraId="082856E1">
      <w:pPr>
        <w:spacing w:line="300" w:lineRule="auto"/>
        <w:rPr>
          <w:rFonts w:hint="eastAsia" w:ascii="宋体" w:hAnsi="宋体"/>
          <w:color w:val="auto"/>
          <w:szCs w:val="21"/>
          <w:highlight w:val="none"/>
        </w:rPr>
      </w:pPr>
    </w:p>
    <w:p w14:paraId="5E811EF0">
      <w:pPr>
        <w:spacing w:line="320" w:lineRule="exact"/>
        <w:jc w:val="left"/>
        <w:rPr>
          <w:rFonts w:hint="eastAsia" w:ascii="宋体" w:hAnsi="宋体"/>
          <w:color w:val="auto"/>
          <w:szCs w:val="21"/>
          <w:highlight w:val="none"/>
        </w:rPr>
      </w:pPr>
      <w:r>
        <w:rPr>
          <w:rFonts w:ascii="宋体" w:hAnsi="宋体"/>
          <w:color w:val="auto"/>
          <w:szCs w:val="21"/>
          <w:highlight w:val="none"/>
        </w:rPr>
        <w:br w:type="page"/>
      </w:r>
      <w:r>
        <w:rPr>
          <w:rFonts w:hint="eastAsia" w:ascii="宋体" w:hAnsi="宋体"/>
          <w:color w:val="auto"/>
          <w:szCs w:val="21"/>
          <w:highlight w:val="none"/>
        </w:rPr>
        <w:t xml:space="preserve"> </w:t>
      </w:r>
    </w:p>
    <w:p w14:paraId="4106E991">
      <w:pPr>
        <w:snapToGrid w:val="0"/>
        <w:spacing w:before="120" w:beforeLines="50" w:after="50"/>
        <w:jc w:val="left"/>
        <w:rPr>
          <w:rFonts w:ascii="宋体" w:hAnsi="宋体"/>
          <w:b/>
          <w:color w:val="auto"/>
          <w:sz w:val="24"/>
          <w:highlight w:val="none"/>
        </w:rPr>
      </w:pPr>
      <w:r>
        <w:rPr>
          <w:rFonts w:hint="eastAsia" w:ascii="宋体" w:hAnsi="宋体"/>
          <w:b/>
          <w:color w:val="auto"/>
          <w:sz w:val="24"/>
          <w:highlight w:val="none"/>
        </w:rPr>
        <w:t>3.</w:t>
      </w:r>
      <w:r>
        <w:rPr>
          <w:rFonts w:hint="eastAsia" w:ascii="宋体" w:hAnsi="宋体"/>
          <w:b/>
          <w:color w:val="auto"/>
          <w:sz w:val="28"/>
          <w:szCs w:val="28"/>
          <w:highlight w:val="none"/>
        </w:rPr>
        <w:t>供应商直接控股股东信息表</w:t>
      </w:r>
    </w:p>
    <w:p w14:paraId="433105B7">
      <w:pPr>
        <w:snapToGrid w:val="0"/>
        <w:spacing w:before="50" w:after="120" w:afterLines="50"/>
        <w:jc w:val="center"/>
        <w:rPr>
          <w:rFonts w:hint="eastAsia" w:ascii="宋体" w:hAnsi="宋体"/>
          <w:b/>
          <w:color w:val="auto"/>
          <w:sz w:val="28"/>
          <w:szCs w:val="28"/>
          <w:highlight w:val="none"/>
        </w:rPr>
      </w:pPr>
    </w:p>
    <w:p w14:paraId="50A9C9C0">
      <w:pPr>
        <w:snapToGrid w:val="0"/>
        <w:spacing w:before="50" w:after="120" w:afterLines="5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tbl>
      <w:tblPr>
        <w:tblStyle w:val="24"/>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CBA28E6">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70C2DC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9B4FC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50256E7">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C9775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010A9FE">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1D86F3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2CDC3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57B172">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312165">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B9DB04">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AD3520">
            <w:pPr>
              <w:spacing w:line="360" w:lineRule="auto"/>
              <w:jc w:val="center"/>
              <w:rPr>
                <w:rFonts w:ascii="宋体" w:hAnsi="宋体" w:cs="宋体"/>
                <w:color w:val="auto"/>
                <w:kern w:val="0"/>
                <w:sz w:val="24"/>
                <w:highlight w:val="none"/>
              </w:rPr>
            </w:pPr>
          </w:p>
        </w:tc>
      </w:tr>
      <w:tr w14:paraId="2CAEA7F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C237E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140F4B">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87092A">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63A9ED">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E50EF2">
            <w:pPr>
              <w:spacing w:line="360" w:lineRule="auto"/>
              <w:jc w:val="center"/>
              <w:rPr>
                <w:rFonts w:ascii="宋体" w:hAnsi="宋体" w:cs="宋体"/>
                <w:color w:val="auto"/>
                <w:kern w:val="0"/>
                <w:sz w:val="24"/>
                <w:highlight w:val="none"/>
              </w:rPr>
            </w:pPr>
          </w:p>
        </w:tc>
      </w:tr>
      <w:tr w14:paraId="6FE828B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F3CE1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1756CB8">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2AA9E6">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936AA1">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6D0E62">
            <w:pPr>
              <w:spacing w:line="360" w:lineRule="auto"/>
              <w:jc w:val="center"/>
              <w:rPr>
                <w:rFonts w:ascii="宋体" w:hAnsi="宋体" w:cs="宋体"/>
                <w:color w:val="auto"/>
                <w:kern w:val="0"/>
                <w:sz w:val="24"/>
                <w:highlight w:val="none"/>
              </w:rPr>
            </w:pPr>
          </w:p>
        </w:tc>
      </w:tr>
      <w:tr w14:paraId="5C6ACF3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15B983">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4F75B2">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5C032C">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3DA4C0">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5B5590">
            <w:pPr>
              <w:spacing w:line="360" w:lineRule="auto"/>
              <w:jc w:val="center"/>
              <w:rPr>
                <w:rFonts w:ascii="宋体" w:hAnsi="宋体" w:cs="宋体"/>
                <w:color w:val="auto"/>
                <w:kern w:val="0"/>
                <w:sz w:val="24"/>
                <w:highlight w:val="none"/>
              </w:rPr>
            </w:pPr>
          </w:p>
        </w:tc>
      </w:tr>
    </w:tbl>
    <w:p w14:paraId="7AB53DA3">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559734F6">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EA466E1">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1D4AFA45">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120870F7">
      <w:pPr>
        <w:snapToGrid w:val="0"/>
        <w:spacing w:line="360" w:lineRule="auto"/>
        <w:jc w:val="left"/>
        <w:rPr>
          <w:rFonts w:hint="eastAsia" w:ascii="宋体" w:hAnsi="宋体"/>
          <w:color w:val="auto"/>
          <w:sz w:val="24"/>
          <w:highlight w:val="none"/>
        </w:rPr>
      </w:pPr>
    </w:p>
    <w:p w14:paraId="60DBB237">
      <w:pPr>
        <w:snapToGrid w:val="0"/>
        <w:spacing w:line="360" w:lineRule="auto"/>
        <w:jc w:val="left"/>
        <w:rPr>
          <w:rFonts w:hint="eastAsia" w:ascii="宋体" w:hAnsi="宋体"/>
          <w:color w:val="auto"/>
          <w:sz w:val="24"/>
          <w:highlight w:val="none"/>
        </w:rPr>
      </w:pPr>
    </w:p>
    <w:p w14:paraId="7AE17161">
      <w:pPr>
        <w:snapToGrid w:val="0"/>
        <w:spacing w:line="360" w:lineRule="auto"/>
        <w:jc w:val="left"/>
        <w:rPr>
          <w:rFonts w:hint="eastAsia" w:ascii="宋体" w:hAnsi="宋体"/>
          <w:color w:val="auto"/>
          <w:sz w:val="24"/>
          <w:highlight w:val="none"/>
        </w:rPr>
      </w:pPr>
    </w:p>
    <w:p w14:paraId="0DC714CC">
      <w:pPr>
        <w:snapToGrid w:val="0"/>
        <w:spacing w:line="360" w:lineRule="auto"/>
        <w:ind w:left="-2" w:leftChars="-1" w:right="-817" w:rightChars="-389"/>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6C4B5966">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 xml:space="preserve">                                    供应商名称（电子签章）：</w:t>
      </w:r>
    </w:p>
    <w:p w14:paraId="38523777">
      <w:pPr>
        <w:snapToGrid w:val="0"/>
        <w:spacing w:line="360" w:lineRule="auto"/>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41147A3E">
      <w:pPr>
        <w:snapToGrid w:val="0"/>
        <w:jc w:val="center"/>
        <w:rPr>
          <w:rFonts w:hint="eastAsia" w:ascii="宋体" w:hAnsi="宋体"/>
          <w:b/>
          <w:color w:val="auto"/>
          <w:sz w:val="28"/>
          <w:szCs w:val="28"/>
          <w:highlight w:val="none"/>
        </w:rPr>
      </w:pPr>
    </w:p>
    <w:p w14:paraId="23DDFD44">
      <w:pPr>
        <w:snapToGrid w:val="0"/>
        <w:spacing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24"/>
          <w:highlight w:val="none"/>
        </w:rPr>
        <w:t>4.</w:t>
      </w:r>
      <w:r>
        <w:rPr>
          <w:color w:val="auto"/>
          <w:highlight w:val="none"/>
        </w:rPr>
        <w:t xml:space="preserve"> </w:t>
      </w:r>
      <w:r>
        <w:rPr>
          <w:rFonts w:hint="eastAsia" w:ascii="宋体" w:hAnsi="宋体"/>
          <w:b/>
          <w:color w:val="auto"/>
          <w:sz w:val="28"/>
          <w:szCs w:val="28"/>
          <w:highlight w:val="none"/>
        </w:rPr>
        <w:t>供应商直接管理关系信息表</w:t>
      </w:r>
    </w:p>
    <w:p w14:paraId="77F650D7">
      <w:pPr>
        <w:snapToGrid w:val="0"/>
        <w:spacing w:line="360" w:lineRule="auto"/>
        <w:jc w:val="center"/>
        <w:rPr>
          <w:rFonts w:hint="eastAsia" w:ascii="宋体" w:hAnsi="宋体"/>
          <w:color w:val="auto"/>
          <w:sz w:val="32"/>
          <w:szCs w:val="32"/>
          <w:highlight w:val="none"/>
        </w:rPr>
      </w:pPr>
      <w:bookmarkStart w:id="81" w:name="OLE_LINK1"/>
      <w:r>
        <w:rPr>
          <w:rFonts w:hint="eastAsia" w:ascii="宋体" w:hAnsi="宋体"/>
          <w:b/>
          <w:color w:val="auto"/>
          <w:sz w:val="32"/>
          <w:szCs w:val="32"/>
          <w:highlight w:val="none"/>
        </w:rPr>
        <w:t>供应商直接管理关系信息表</w:t>
      </w:r>
      <w:bookmarkEnd w:id="81"/>
    </w:p>
    <w:tbl>
      <w:tblPr>
        <w:tblStyle w:val="24"/>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0D2976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F18A92C">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7B5B3E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9A7419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0C02C9B">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3D06B94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6A029E">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E2FF3E">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50D1ED">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C25A23">
            <w:pPr>
              <w:spacing w:line="360" w:lineRule="auto"/>
              <w:jc w:val="center"/>
              <w:rPr>
                <w:rFonts w:ascii="宋体" w:hAnsi="宋体" w:cs="宋体"/>
                <w:color w:val="auto"/>
                <w:kern w:val="0"/>
                <w:sz w:val="24"/>
                <w:highlight w:val="none"/>
              </w:rPr>
            </w:pPr>
          </w:p>
        </w:tc>
      </w:tr>
      <w:tr w14:paraId="0B81B83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5F545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73C947">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36C732">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DF4C7B">
            <w:pPr>
              <w:spacing w:line="360" w:lineRule="auto"/>
              <w:jc w:val="center"/>
              <w:rPr>
                <w:rFonts w:ascii="宋体" w:hAnsi="宋体" w:cs="宋体"/>
                <w:color w:val="auto"/>
                <w:kern w:val="0"/>
                <w:sz w:val="24"/>
                <w:highlight w:val="none"/>
              </w:rPr>
            </w:pPr>
          </w:p>
        </w:tc>
      </w:tr>
      <w:tr w14:paraId="6426A38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239B7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ECD9A3">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2309CE">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2DAC40">
            <w:pPr>
              <w:spacing w:line="360" w:lineRule="auto"/>
              <w:jc w:val="center"/>
              <w:rPr>
                <w:rFonts w:ascii="宋体" w:hAnsi="宋体" w:cs="宋体"/>
                <w:color w:val="auto"/>
                <w:kern w:val="0"/>
                <w:sz w:val="24"/>
                <w:highlight w:val="none"/>
              </w:rPr>
            </w:pPr>
          </w:p>
        </w:tc>
      </w:tr>
      <w:tr w14:paraId="512AA71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A3619B">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F93F44">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F0B23F">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C917AE">
            <w:pPr>
              <w:spacing w:line="360" w:lineRule="auto"/>
              <w:jc w:val="center"/>
              <w:rPr>
                <w:rFonts w:ascii="宋体" w:hAnsi="宋体" w:cs="宋体"/>
                <w:color w:val="auto"/>
                <w:kern w:val="0"/>
                <w:sz w:val="24"/>
                <w:highlight w:val="none"/>
              </w:rPr>
            </w:pPr>
          </w:p>
        </w:tc>
      </w:tr>
    </w:tbl>
    <w:p w14:paraId="40766722">
      <w:pPr>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062D7039">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48325316">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53E538BC">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5BD3C37B">
      <w:pPr>
        <w:snapToGrid w:val="0"/>
        <w:spacing w:line="360" w:lineRule="auto"/>
        <w:jc w:val="left"/>
        <w:rPr>
          <w:rFonts w:hint="eastAsia" w:ascii="宋体" w:hAnsi="宋体"/>
          <w:color w:val="auto"/>
          <w:sz w:val="24"/>
          <w:highlight w:val="none"/>
        </w:rPr>
      </w:pPr>
    </w:p>
    <w:p w14:paraId="58CEA6BD">
      <w:pPr>
        <w:snapToGrid w:val="0"/>
        <w:spacing w:line="360" w:lineRule="auto"/>
        <w:jc w:val="left"/>
        <w:rPr>
          <w:rFonts w:hint="eastAsia" w:ascii="宋体" w:hAnsi="宋体"/>
          <w:color w:val="auto"/>
          <w:sz w:val="24"/>
          <w:highlight w:val="none"/>
        </w:rPr>
      </w:pPr>
    </w:p>
    <w:p w14:paraId="5E403D2B">
      <w:pPr>
        <w:snapToGrid w:val="0"/>
        <w:spacing w:line="360" w:lineRule="auto"/>
        <w:jc w:val="left"/>
        <w:rPr>
          <w:rFonts w:hint="eastAsia" w:ascii="宋体" w:hAnsi="宋体"/>
          <w:color w:val="auto"/>
          <w:sz w:val="24"/>
          <w:highlight w:val="none"/>
        </w:rPr>
      </w:pPr>
    </w:p>
    <w:p w14:paraId="4CF1014E">
      <w:pPr>
        <w:snapToGrid w:val="0"/>
        <w:spacing w:line="360" w:lineRule="auto"/>
        <w:jc w:val="left"/>
        <w:rPr>
          <w:rFonts w:hint="eastAsia"/>
          <w:color w:val="auto"/>
          <w:sz w:val="24"/>
          <w:highlight w:val="none"/>
        </w:rPr>
      </w:pPr>
    </w:p>
    <w:p w14:paraId="39A53E59">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1CCF0281">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 xml:space="preserve">                                  供应商名称（电子签章）：</w:t>
      </w:r>
    </w:p>
    <w:p w14:paraId="1F117877">
      <w:pPr>
        <w:snapToGrid w:val="0"/>
        <w:spacing w:line="360" w:lineRule="auto"/>
        <w:ind w:right="480" w:firstLine="240" w:firstLineChars="100"/>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2D750D50">
      <w:pPr>
        <w:snapToGrid w:val="0"/>
        <w:spacing w:before="120" w:beforeLines="50" w:after="50"/>
        <w:jc w:val="left"/>
        <w:rPr>
          <w:rFonts w:hint="eastAsia" w:ascii="宋体" w:hAnsi="宋体"/>
          <w:color w:val="auto"/>
          <w:sz w:val="24"/>
          <w:highlight w:val="none"/>
        </w:rPr>
      </w:pPr>
    </w:p>
    <w:p w14:paraId="1791CED1">
      <w:pPr>
        <w:snapToGrid w:val="0"/>
        <w:spacing w:before="50" w:after="120" w:afterLines="50"/>
        <w:jc w:val="left"/>
        <w:rPr>
          <w:rFonts w:hint="eastAsia" w:ascii="宋体" w:hAnsi="宋体"/>
          <w:color w:val="auto"/>
          <w:szCs w:val="21"/>
          <w:highlight w:val="none"/>
        </w:rPr>
      </w:pPr>
    </w:p>
    <w:p w14:paraId="73A59B36">
      <w:pPr>
        <w:snapToGrid w:val="0"/>
        <w:spacing w:before="120" w:beforeLines="50" w:after="50"/>
        <w:jc w:val="left"/>
        <w:rPr>
          <w:rFonts w:hint="eastAsia" w:ascii="宋体" w:hAnsi="宋体"/>
          <w:b/>
          <w:color w:val="auto"/>
          <w:sz w:val="24"/>
          <w:szCs w:val="20"/>
          <w:highlight w:val="none"/>
        </w:rPr>
      </w:pPr>
    </w:p>
    <w:p w14:paraId="4F6DEF46">
      <w:pPr>
        <w:snapToGrid w:val="0"/>
        <w:spacing w:before="120" w:beforeLines="50" w:after="50"/>
        <w:ind w:left="142"/>
        <w:jc w:val="left"/>
        <w:rPr>
          <w:rFonts w:hint="eastAsia" w:ascii="宋体" w:hAnsi="宋体"/>
          <w:b/>
          <w:color w:val="auto"/>
          <w:sz w:val="24"/>
          <w:highlight w:val="none"/>
        </w:rPr>
      </w:pPr>
    </w:p>
    <w:p w14:paraId="56553A50">
      <w:pPr>
        <w:snapToGrid w:val="0"/>
        <w:spacing w:before="120" w:beforeLines="50" w:after="50"/>
        <w:ind w:left="142"/>
        <w:jc w:val="left"/>
        <w:rPr>
          <w:rFonts w:hint="eastAsia" w:ascii="宋体" w:hAnsi="宋体"/>
          <w:b/>
          <w:color w:val="auto"/>
          <w:sz w:val="24"/>
          <w:highlight w:val="none"/>
        </w:rPr>
      </w:pPr>
    </w:p>
    <w:p w14:paraId="4310FFFA">
      <w:pPr>
        <w:snapToGrid w:val="0"/>
        <w:spacing w:before="120" w:beforeLines="50" w:after="50"/>
        <w:ind w:left="142"/>
        <w:jc w:val="left"/>
        <w:rPr>
          <w:rFonts w:hint="eastAsia" w:ascii="宋体" w:hAnsi="宋体"/>
          <w:b/>
          <w:color w:val="auto"/>
          <w:sz w:val="24"/>
          <w:highlight w:val="none"/>
        </w:rPr>
      </w:pPr>
    </w:p>
    <w:p w14:paraId="76470140">
      <w:pPr>
        <w:snapToGrid w:val="0"/>
        <w:spacing w:before="120" w:beforeLines="50" w:after="50"/>
        <w:ind w:left="142"/>
        <w:jc w:val="left"/>
        <w:rPr>
          <w:rFonts w:hint="eastAsia" w:ascii="宋体" w:hAnsi="宋体"/>
          <w:b/>
          <w:color w:val="auto"/>
          <w:sz w:val="24"/>
          <w:highlight w:val="none"/>
        </w:rPr>
      </w:pPr>
    </w:p>
    <w:p w14:paraId="4DC5E9AC">
      <w:pPr>
        <w:snapToGrid w:val="0"/>
        <w:spacing w:before="120" w:beforeLines="50" w:after="50"/>
        <w:ind w:left="142"/>
        <w:jc w:val="left"/>
        <w:rPr>
          <w:rFonts w:hint="eastAsia" w:ascii="宋体" w:hAnsi="宋体"/>
          <w:b/>
          <w:color w:val="auto"/>
          <w:sz w:val="24"/>
          <w:highlight w:val="none"/>
        </w:rPr>
      </w:pPr>
    </w:p>
    <w:p w14:paraId="488A72E5">
      <w:pPr>
        <w:snapToGrid w:val="0"/>
        <w:spacing w:before="120" w:beforeLines="50" w:after="50"/>
        <w:ind w:left="142"/>
        <w:jc w:val="left"/>
        <w:rPr>
          <w:rFonts w:ascii="宋体" w:hAnsi="宋体"/>
          <w:b/>
          <w:color w:val="auto"/>
          <w:sz w:val="24"/>
          <w:szCs w:val="20"/>
          <w:highlight w:val="none"/>
        </w:rPr>
      </w:pPr>
      <w:r>
        <w:rPr>
          <w:rFonts w:hint="eastAsia" w:ascii="宋体" w:hAnsi="宋体"/>
          <w:b/>
          <w:color w:val="auto"/>
          <w:sz w:val="24"/>
          <w:highlight w:val="none"/>
        </w:rPr>
        <w:t>5.竞标声明</w:t>
      </w:r>
    </w:p>
    <w:p w14:paraId="515813D4">
      <w:pPr>
        <w:spacing w:line="320" w:lineRule="exact"/>
        <w:jc w:val="center"/>
        <w:rPr>
          <w:rFonts w:hint="eastAsia" w:ascii="宋体" w:hAnsi="宋体"/>
          <w:color w:val="auto"/>
          <w:sz w:val="28"/>
          <w:szCs w:val="28"/>
          <w:highlight w:val="none"/>
        </w:rPr>
      </w:pPr>
    </w:p>
    <w:p w14:paraId="5A6FA49A">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竞标声明</w:t>
      </w:r>
    </w:p>
    <w:p w14:paraId="65A98CEB">
      <w:pPr>
        <w:spacing w:line="320" w:lineRule="exact"/>
        <w:jc w:val="center"/>
        <w:rPr>
          <w:rFonts w:hint="eastAsia" w:ascii="宋体" w:hAnsi="宋体"/>
          <w:color w:val="auto"/>
          <w:sz w:val="24"/>
          <w:szCs w:val="20"/>
          <w:highlight w:val="none"/>
        </w:rPr>
      </w:pPr>
    </w:p>
    <w:p w14:paraId="2ACC071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B93D1A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3679F4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2A0555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24BD72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2216F83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665B676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51BC9D8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227DA28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774A1DF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34D6CF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640C017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1BB0F82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5C5E0B8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0C5A94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1B45C70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C4A8FC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FBEF39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9F2091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C316DF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18E4609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0656C4DE">
      <w:pPr>
        <w:pStyle w:val="14"/>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5EC28BBF">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3482B3F2">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0FA8B412">
      <w:pPr>
        <w:pStyle w:val="13"/>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39BA7058">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1DDD4B70">
      <w:pPr>
        <w:spacing w:line="360" w:lineRule="auto"/>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028CE737">
      <w:pPr>
        <w:spacing w:line="360" w:lineRule="auto"/>
        <w:contextualSpacing/>
        <w:jc w:val="left"/>
        <w:rPr>
          <w:rFonts w:hint="eastAsia" w:ascii="宋体" w:hAnsi="宋体" w:cs="宋体"/>
          <w:color w:val="auto"/>
          <w:sz w:val="24"/>
          <w:szCs w:val="21"/>
          <w:highlight w:val="none"/>
        </w:rPr>
      </w:pPr>
    </w:p>
    <w:p w14:paraId="7298DE2D">
      <w:pPr>
        <w:spacing w:line="360" w:lineRule="auto"/>
        <w:ind w:firstLine="1800" w:firstLineChars="750"/>
        <w:contextualSpacing/>
        <w:rPr>
          <w:rFonts w:hint="eastAsia"/>
          <w:color w:val="auto"/>
          <w:sz w:val="24"/>
          <w:highlight w:val="none"/>
        </w:rPr>
      </w:pPr>
      <w:r>
        <w:rPr>
          <w:rFonts w:hint="eastAsia"/>
          <w:color w:val="auto"/>
          <w:sz w:val="24"/>
          <w:highlight w:val="none"/>
        </w:rPr>
        <w:t>法定代表人或者委托代理人（签字或者电子签名）：</w:t>
      </w:r>
      <w:r>
        <w:rPr>
          <w:rFonts w:hint="eastAsia"/>
          <w:color w:val="auto"/>
          <w:sz w:val="24"/>
          <w:highlight w:val="none"/>
          <w:u w:val="single"/>
        </w:rPr>
        <w:t xml:space="preserve">           </w:t>
      </w:r>
      <w:r>
        <w:rPr>
          <w:rFonts w:hint="eastAsia"/>
          <w:color w:val="auto"/>
          <w:sz w:val="24"/>
          <w:highlight w:val="none"/>
        </w:rPr>
        <w:t xml:space="preserve">                                     </w:t>
      </w:r>
    </w:p>
    <w:p w14:paraId="3AFDD6E9">
      <w:pPr>
        <w:spacing w:line="360" w:lineRule="auto"/>
        <w:ind w:firstLine="4320" w:firstLineChars="1800"/>
        <w:contextualSpacing/>
        <w:rPr>
          <w:rFonts w:hint="eastAsia" w:ascii="宋体" w:hAnsi="宋体" w:cs="宋体"/>
          <w:color w:val="auto"/>
          <w:sz w:val="24"/>
          <w:szCs w:val="21"/>
          <w:highlight w:val="none"/>
          <w:u w:val="single"/>
        </w:rPr>
      </w:pPr>
      <w:r>
        <w:rPr>
          <w:rFonts w:hint="eastAsia"/>
          <w:color w:val="auto"/>
          <w:sz w:val="24"/>
          <w:highlight w:val="none"/>
        </w:rPr>
        <w:t>供应商名称（电子签章）：</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szCs w:val="21"/>
          <w:highlight w:val="none"/>
        </w:rPr>
        <w:t xml:space="preserve">    </w:t>
      </w:r>
    </w:p>
    <w:p w14:paraId="0206CCE3">
      <w:pPr>
        <w:pStyle w:val="13"/>
        <w:tabs>
          <w:tab w:val="left" w:pos="939"/>
        </w:tabs>
        <w:spacing w:line="360" w:lineRule="auto"/>
        <w:ind w:left="0" w:leftChars="0" w:firstLine="480" w:firstLineChars="200"/>
        <w:rPr>
          <w:rFonts w:hint="eastAsia"/>
          <w:color w:val="auto"/>
          <w:sz w:val="32"/>
          <w:highlight w:val="none"/>
        </w:rPr>
      </w:pPr>
      <w:r>
        <w:rPr>
          <w:rFonts w:hint="eastAsia" w:ascii="宋体" w:hAnsi="宋体" w:cs="宋体"/>
          <w:color w:val="auto"/>
          <w:sz w:val="24"/>
          <w:szCs w:val="21"/>
          <w:highlight w:val="none"/>
        </w:rPr>
        <w:t xml:space="preserve">                                      </w:t>
      </w:r>
      <w:r>
        <w:rPr>
          <w:rFonts w:hint="eastAsia"/>
          <w:color w:val="auto"/>
          <w:sz w:val="24"/>
          <w:highlight w:val="none"/>
        </w:rPr>
        <w:t>年    月    日</w:t>
      </w:r>
    </w:p>
    <w:p w14:paraId="71EF4579">
      <w:pPr>
        <w:spacing w:line="300" w:lineRule="auto"/>
        <w:rPr>
          <w:rFonts w:hint="eastAsia" w:ascii="宋体" w:hAnsi="宋体"/>
          <w:color w:val="auto"/>
          <w:szCs w:val="21"/>
          <w:highlight w:val="none"/>
        </w:rPr>
      </w:pPr>
      <w:r>
        <w:rPr>
          <w:rFonts w:hint="eastAsia"/>
          <w:color w:val="auto"/>
          <w:sz w:val="24"/>
          <w:highlight w:val="none"/>
        </w:rPr>
        <w:br w:type="page"/>
      </w:r>
    </w:p>
    <w:p w14:paraId="4FEB1685">
      <w:pPr>
        <w:jc w:val="center"/>
        <w:rPr>
          <w:rFonts w:hint="eastAsia" w:ascii="方正小标宋简体" w:hAnsi="方正小标宋简体" w:eastAsia="方正小标宋简体" w:cs="方正小标宋简体"/>
          <w:color w:val="auto"/>
          <w:sz w:val="44"/>
          <w:szCs w:val="44"/>
          <w:highlight w:val="none"/>
        </w:rPr>
      </w:pPr>
      <w:bookmarkStart w:id="82" w:name="_Toc71365926"/>
      <w:r>
        <w:rPr>
          <w:rFonts w:hint="eastAsia" w:ascii="方正小标宋简体" w:hAnsi="方正小标宋简体" w:eastAsia="方正小标宋简体" w:cs="方正小标宋简体"/>
          <w:color w:val="auto"/>
          <w:sz w:val="44"/>
          <w:szCs w:val="44"/>
          <w:highlight w:val="none"/>
        </w:rPr>
        <w:t>中小企业声明函（服务）</w:t>
      </w:r>
      <w:bookmarkEnd w:id="82"/>
    </w:p>
    <w:p w14:paraId="440552A0">
      <w:pPr>
        <w:spacing w:before="2" w:line="500" w:lineRule="exact"/>
        <w:ind w:firstLine="708" w:firstLineChars="294"/>
        <w:rPr>
          <w:rFonts w:ascii="宋体" w:hAnsi="宋体" w:cs="宋体"/>
          <w:b/>
          <w:bCs/>
          <w:color w:val="auto"/>
          <w:sz w:val="24"/>
          <w:highlight w:val="none"/>
        </w:rPr>
      </w:pPr>
    </w:p>
    <w:p w14:paraId="3D53B99A">
      <w:pPr>
        <w:pStyle w:val="11"/>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767E85D5">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CA9A3DF">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346C16D">
      <w:pPr>
        <w:pStyle w:val="11"/>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58BAA19E">
      <w:pPr>
        <w:pStyle w:val="11"/>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2497509B">
      <w:pPr>
        <w:pStyle w:val="11"/>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17B5AAA2">
      <w:pPr>
        <w:pStyle w:val="11"/>
        <w:spacing w:before="56" w:line="500" w:lineRule="exact"/>
        <w:ind w:right="1808" w:firstLine="705" w:firstLineChars="294"/>
        <w:rPr>
          <w:rFonts w:hint="eastAsia" w:ascii="宋体" w:hAnsi="宋体"/>
          <w:color w:val="auto"/>
          <w:sz w:val="24"/>
          <w:highlight w:val="none"/>
        </w:rPr>
      </w:pPr>
    </w:p>
    <w:p w14:paraId="22A00F8D">
      <w:pPr>
        <w:pStyle w:val="11"/>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 xml:space="preserve">企业名称（章）： </w:t>
      </w:r>
    </w:p>
    <w:p w14:paraId="60CCA021">
      <w:pPr>
        <w:pStyle w:val="11"/>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p>
    <w:p w14:paraId="63D2D646">
      <w:pPr>
        <w:spacing w:line="520" w:lineRule="exact"/>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F563045">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残疾人福利性单位声明函</w:t>
      </w:r>
    </w:p>
    <w:p w14:paraId="654F4C3B">
      <w:pPr>
        <w:spacing w:line="360" w:lineRule="auto"/>
        <w:contextualSpacing/>
        <w:rPr>
          <w:rFonts w:hint="eastAsia" w:ascii="仿宋_GB2312" w:hAnsi="仿宋_GB2312" w:eastAsia="仿宋_GB2312" w:cs="仿宋_GB2312"/>
          <w:color w:val="auto"/>
          <w:sz w:val="32"/>
          <w:szCs w:val="32"/>
          <w:highlight w:val="none"/>
        </w:rPr>
      </w:pPr>
    </w:p>
    <w:p w14:paraId="3D7AEF4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286D4FA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5EB33244">
      <w:pPr>
        <w:spacing w:line="360" w:lineRule="auto"/>
        <w:contextualSpacing/>
        <w:rPr>
          <w:rFonts w:hint="eastAsia" w:ascii="宋体" w:hAnsi="宋体" w:cs="仿宋_GB2312"/>
          <w:color w:val="auto"/>
          <w:sz w:val="24"/>
          <w:highlight w:val="none"/>
        </w:rPr>
      </w:pPr>
    </w:p>
    <w:p w14:paraId="5EB64FF7">
      <w:pPr>
        <w:spacing w:line="360" w:lineRule="auto"/>
        <w:contextualSpacing/>
        <w:rPr>
          <w:rFonts w:hint="eastAsia" w:ascii="宋体" w:hAnsi="宋体" w:cs="仿宋_GB2312"/>
          <w:color w:val="auto"/>
          <w:sz w:val="24"/>
          <w:highlight w:val="none"/>
        </w:rPr>
      </w:pPr>
    </w:p>
    <w:p w14:paraId="0C5FA9C2">
      <w:pPr>
        <w:spacing w:line="360" w:lineRule="auto"/>
        <w:contextualSpacing/>
        <w:rPr>
          <w:rFonts w:hint="eastAsia" w:ascii="宋体" w:hAnsi="宋体" w:cs="仿宋_GB2312"/>
          <w:color w:val="auto"/>
          <w:sz w:val="24"/>
          <w:highlight w:val="none"/>
        </w:rPr>
      </w:pPr>
    </w:p>
    <w:p w14:paraId="4204B5C2">
      <w:pPr>
        <w:spacing w:line="360" w:lineRule="auto"/>
        <w:ind w:firstLine="2400" w:firstLineChars="10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1E78B81A">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45CD830D">
      <w:pPr>
        <w:spacing w:line="360" w:lineRule="auto"/>
        <w:contextualSpacing/>
        <w:rPr>
          <w:rFonts w:hint="eastAsia" w:ascii="宋体" w:hAnsi="宋体" w:cs="仿宋_GB2312"/>
          <w:color w:val="auto"/>
          <w:sz w:val="24"/>
          <w:highlight w:val="none"/>
        </w:rPr>
      </w:pPr>
    </w:p>
    <w:p w14:paraId="0CABE022">
      <w:pPr>
        <w:spacing w:line="360" w:lineRule="auto"/>
        <w:contextualSpacing/>
        <w:rPr>
          <w:rFonts w:hint="eastAsia" w:ascii="宋体" w:hAnsi="宋体" w:cs="仿宋_GB2312"/>
          <w:color w:val="auto"/>
          <w:sz w:val="24"/>
          <w:highlight w:val="none"/>
        </w:rPr>
      </w:pPr>
    </w:p>
    <w:p w14:paraId="03C476DD">
      <w:pPr>
        <w:spacing w:line="360" w:lineRule="auto"/>
        <w:contextualSpacing/>
        <w:rPr>
          <w:rFonts w:hint="eastAsia" w:ascii="宋体" w:hAnsi="宋体" w:cs="仿宋_GB2312"/>
          <w:color w:val="auto"/>
          <w:sz w:val="24"/>
          <w:highlight w:val="none"/>
        </w:rPr>
      </w:pPr>
    </w:p>
    <w:p w14:paraId="5049603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709607E2">
      <w:pPr>
        <w:pStyle w:val="5"/>
        <w:overflowPunct w:val="0"/>
        <w:spacing w:line="520" w:lineRule="exact"/>
        <w:ind w:firstLine="0"/>
        <w:jc w:val="center"/>
        <w:rPr>
          <w:rFonts w:hint="eastAsia" w:ascii="方正小标宋简体" w:hAnsi="方正小标宋简体" w:eastAsia="方正小标宋简体" w:cs="方正小标宋简体"/>
          <w:color w:val="auto"/>
          <w:sz w:val="44"/>
          <w:szCs w:val="44"/>
          <w:highlight w:val="none"/>
        </w:rPr>
      </w:pPr>
      <w:r>
        <w:rPr>
          <w:rFonts w:hint="eastAsia"/>
          <w:color w:val="auto"/>
          <w:sz w:val="24"/>
          <w:highlight w:val="none"/>
        </w:rPr>
        <w:br w:type="page"/>
      </w:r>
      <w:r>
        <w:rPr>
          <w:rFonts w:hint="eastAsia" w:ascii="方正小标宋简体" w:hAnsi="方正小标宋简体" w:eastAsia="方正小标宋简体" w:cs="方正小标宋简体"/>
          <w:color w:val="auto"/>
          <w:sz w:val="44"/>
          <w:szCs w:val="44"/>
          <w:highlight w:val="none"/>
        </w:rPr>
        <w:t>联合体竞标协议书</w:t>
      </w:r>
    </w:p>
    <w:p w14:paraId="6EA50E5C">
      <w:pPr>
        <w:pStyle w:val="5"/>
        <w:overflowPunct w:val="0"/>
        <w:spacing w:line="360" w:lineRule="auto"/>
        <w:ind w:firstLine="0"/>
        <w:rPr>
          <w:rFonts w:hint="eastAsia" w:ascii="宋体" w:hAnsi="宋体"/>
          <w:color w:val="auto"/>
          <w:sz w:val="24"/>
          <w:szCs w:val="24"/>
          <w:highlight w:val="none"/>
        </w:rPr>
      </w:pPr>
    </w:p>
    <w:p w14:paraId="4404E1F4">
      <w:pPr>
        <w:pStyle w:val="5"/>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（所有成员单位名称）自愿组成</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（联合体名称）联合体，共同参加</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（项目名称）采购项目竞标。现就联合体竞标事宜订立如下协议。</w:t>
      </w:r>
    </w:p>
    <w:p w14:paraId="4EE5E568">
      <w:pPr>
        <w:pStyle w:val="5"/>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1.</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（某成员单位名称）为</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（联合体名称）牵头人。</w:t>
      </w:r>
    </w:p>
    <w:p w14:paraId="65C57919">
      <w:pPr>
        <w:pStyle w:val="5"/>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47D1B649">
      <w:pPr>
        <w:pStyle w:val="5"/>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526B89F6">
      <w:pPr>
        <w:pStyle w:val="5"/>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4.联合体各成员单位内部的职责分工如下：</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w:t>
      </w:r>
    </w:p>
    <w:p w14:paraId="2CA4697A">
      <w:pPr>
        <w:pStyle w:val="5"/>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5.本</w:t>
      </w:r>
      <w:r>
        <w:rPr>
          <w:rFonts w:hint="eastAsia" w:ascii="宋体" w:hAnsi="宋体" w:cs="仿宋_GB2312"/>
          <w:color w:val="auto"/>
          <w:spacing w:val="-6"/>
          <w:sz w:val="24"/>
          <w:szCs w:val="24"/>
          <w:highlight w:val="none"/>
        </w:rPr>
        <w:t>协议书自所有成员单位法定代表人（单位负责人）或者其委托代理人签字或者盖单位章之日起生效，合同履行完毕后自动失效。</w:t>
      </w:r>
    </w:p>
    <w:p w14:paraId="4F295EB6">
      <w:pPr>
        <w:pStyle w:val="5"/>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6.本协议书一式</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份，联合体成员和采购人各执一份。</w:t>
      </w:r>
    </w:p>
    <w:p w14:paraId="2B120362">
      <w:pPr>
        <w:pStyle w:val="5"/>
        <w:overflowPunct w:val="0"/>
        <w:spacing w:line="360" w:lineRule="auto"/>
        <w:ind w:firstLine="480" w:firstLineChars="20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注：本协议书应附法定代表人身份证明书；有委托代理的，应附授权委托书（格式自拟）。</w:t>
      </w:r>
    </w:p>
    <w:p w14:paraId="4DE38ED6">
      <w:pPr>
        <w:pStyle w:val="5"/>
        <w:overflowPunct w:val="0"/>
        <w:spacing w:line="360" w:lineRule="auto"/>
        <w:ind w:firstLineChars="175"/>
        <w:contextualSpacing/>
        <w:rPr>
          <w:rFonts w:hint="eastAsia" w:ascii="宋体" w:hAnsi="宋体" w:cs="仿宋_GB2312"/>
          <w:color w:val="auto"/>
          <w:sz w:val="24"/>
          <w:szCs w:val="24"/>
          <w:highlight w:val="none"/>
        </w:rPr>
      </w:pPr>
    </w:p>
    <w:p w14:paraId="6E926DE6">
      <w:pPr>
        <w:pStyle w:val="5"/>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联合体牵头人名称（电子签章）：</w:t>
      </w:r>
    </w:p>
    <w:p w14:paraId="6284A11F">
      <w:pPr>
        <w:pStyle w:val="5"/>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3B77DCF7">
      <w:pPr>
        <w:pStyle w:val="5"/>
        <w:overflowPunct w:val="0"/>
        <w:spacing w:line="360" w:lineRule="auto"/>
        <w:ind w:firstLine="0"/>
        <w:contextualSpacing/>
        <w:rPr>
          <w:rFonts w:hint="eastAsia" w:ascii="宋体" w:hAnsi="宋体" w:cs="仿宋_GB2312"/>
          <w:color w:val="auto"/>
          <w:sz w:val="24"/>
          <w:szCs w:val="24"/>
          <w:highlight w:val="none"/>
        </w:rPr>
      </w:pPr>
    </w:p>
    <w:p w14:paraId="757D9BC7">
      <w:pPr>
        <w:pStyle w:val="5"/>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2330675E">
      <w:pPr>
        <w:pStyle w:val="5"/>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63498AEB">
      <w:pPr>
        <w:pStyle w:val="5"/>
        <w:overflowPunct w:val="0"/>
        <w:spacing w:line="360" w:lineRule="auto"/>
        <w:ind w:firstLine="0"/>
        <w:contextualSpacing/>
        <w:rPr>
          <w:rFonts w:hint="eastAsia" w:ascii="宋体" w:hAnsi="宋体" w:cs="仿宋_GB2312"/>
          <w:color w:val="auto"/>
          <w:sz w:val="24"/>
          <w:szCs w:val="24"/>
          <w:highlight w:val="none"/>
        </w:rPr>
      </w:pPr>
    </w:p>
    <w:p w14:paraId="59B6C5C0">
      <w:pPr>
        <w:pStyle w:val="5"/>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0245FEC8">
      <w:pPr>
        <w:pStyle w:val="5"/>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06D86C2E">
      <w:pPr>
        <w:pStyle w:val="5"/>
        <w:overflowPunct w:val="0"/>
        <w:spacing w:line="360" w:lineRule="auto"/>
        <w:ind w:firstLine="0"/>
        <w:contextualSpacing/>
        <w:rPr>
          <w:rFonts w:hint="eastAsia" w:ascii="宋体" w:hAnsi="宋体" w:cs="仿宋_GB2312"/>
          <w:color w:val="auto"/>
          <w:sz w:val="24"/>
          <w:szCs w:val="24"/>
          <w:highlight w:val="none"/>
        </w:rPr>
      </w:pPr>
      <w:r>
        <w:rPr>
          <w:rFonts w:hint="eastAsia" w:ascii="宋体" w:hAnsi="宋体" w:cs="仿宋_GB2312"/>
          <w:color w:val="auto"/>
          <w:sz w:val="24"/>
          <w:szCs w:val="24"/>
          <w:highlight w:val="none"/>
        </w:rPr>
        <w:t>……</w:t>
      </w:r>
    </w:p>
    <w:p w14:paraId="73E970BE">
      <w:pPr>
        <w:spacing w:line="360" w:lineRule="auto"/>
        <w:ind w:right="480" w:firstLine="240" w:firstLineChars="10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2D43BB60">
      <w:pPr>
        <w:spacing w:line="360" w:lineRule="auto"/>
        <w:ind w:right="480" w:firstLine="240" w:firstLineChars="100"/>
        <w:contextualSpacing/>
        <w:jc w:val="center"/>
        <w:rPr>
          <w:rFonts w:ascii="宋体" w:hAnsi="宋体"/>
          <w:b/>
          <w:bCs/>
          <w:color w:val="auto"/>
          <w:sz w:val="32"/>
          <w:szCs w:val="32"/>
          <w:highlight w:val="none"/>
        </w:rPr>
      </w:pPr>
      <w:r>
        <w:rPr>
          <w:rFonts w:hint="eastAsia" w:ascii="宋体" w:hAnsi="宋体" w:cs="仿宋_GB2312"/>
          <w:color w:val="auto"/>
          <w:sz w:val="24"/>
          <w:highlight w:val="none"/>
        </w:rPr>
        <w:t xml:space="preserve">                                                年  </w:t>
      </w:r>
      <w:r>
        <w:rPr>
          <w:rFonts w:hint="eastAsia" w:ascii="宋体" w:hAnsi="宋体" w:cs="仿宋_GB2312"/>
          <w:color w:val="auto"/>
          <w:sz w:val="24"/>
          <w:highlight w:val="none"/>
        </w:rPr>
        <w:tab/>
      </w:r>
      <w:r>
        <w:rPr>
          <w:rFonts w:hint="eastAsia" w:ascii="宋体" w:hAnsi="宋体" w:cs="仿宋_GB2312"/>
          <w:color w:val="auto"/>
          <w:sz w:val="24"/>
          <w:highlight w:val="none"/>
        </w:rPr>
        <w:t xml:space="preserve">月  </w:t>
      </w:r>
      <w:r>
        <w:rPr>
          <w:rFonts w:hint="eastAsia" w:ascii="宋体" w:hAnsi="宋体" w:cs="仿宋_GB2312"/>
          <w:color w:val="auto"/>
          <w:sz w:val="24"/>
          <w:highlight w:val="none"/>
        </w:rPr>
        <w:tab/>
      </w:r>
      <w:r>
        <w:rPr>
          <w:rFonts w:hint="eastAsia" w:ascii="宋体" w:hAnsi="宋体" w:cs="仿宋_GB2312"/>
          <w:color w:val="auto"/>
          <w:sz w:val="24"/>
          <w:highlight w:val="none"/>
        </w:rPr>
        <w:t>日</w:t>
      </w:r>
    </w:p>
    <w:p w14:paraId="6712D5B3">
      <w:pPr>
        <w:spacing w:line="360" w:lineRule="auto"/>
        <w:ind w:right="420"/>
        <w:contextualSpacing/>
        <w:jc w:val="left"/>
        <w:rPr>
          <w:rFonts w:ascii="宋体" w:hAnsi="宋体"/>
          <w:b/>
          <w:color w:val="auto"/>
          <w:sz w:val="32"/>
          <w:szCs w:val="32"/>
          <w:highlight w:val="none"/>
        </w:rPr>
      </w:pPr>
      <w:r>
        <w:rPr>
          <w:rFonts w:ascii="宋体" w:hAnsi="宋体"/>
          <w:b/>
          <w:bCs/>
          <w:color w:val="auto"/>
          <w:sz w:val="32"/>
          <w:szCs w:val="32"/>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4675D8CF">
      <w:pPr>
        <w:snapToGrid w:val="0"/>
        <w:spacing w:before="120"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6B657C9C">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5D25C9BF">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1025F4F2">
      <w:pPr>
        <w:snapToGrid w:val="0"/>
        <w:spacing w:before="120" w:beforeLines="50" w:after="50"/>
        <w:rPr>
          <w:rFonts w:hint="eastAsia" w:ascii="宋体" w:hAnsi="宋体"/>
          <w:color w:val="auto"/>
          <w:sz w:val="24"/>
          <w:szCs w:val="20"/>
          <w:highlight w:val="none"/>
        </w:rPr>
      </w:pPr>
    </w:p>
    <w:p w14:paraId="7E0FBC13">
      <w:pPr>
        <w:snapToGrid w:val="0"/>
        <w:spacing w:before="120" w:beforeLines="50" w:after="50"/>
        <w:rPr>
          <w:rFonts w:hint="eastAsia" w:ascii="宋体" w:hAnsi="宋体"/>
          <w:color w:val="auto"/>
          <w:sz w:val="24"/>
          <w:szCs w:val="20"/>
          <w:highlight w:val="none"/>
        </w:rPr>
      </w:pPr>
    </w:p>
    <w:p w14:paraId="0010763A">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D334231">
      <w:pPr>
        <w:snapToGrid w:val="0"/>
        <w:spacing w:before="120" w:beforeLines="50" w:after="50"/>
        <w:rPr>
          <w:rFonts w:hint="eastAsia" w:ascii="宋体" w:hAnsi="宋体"/>
          <w:bCs/>
          <w:color w:val="auto"/>
          <w:sz w:val="24"/>
          <w:szCs w:val="20"/>
          <w:highlight w:val="none"/>
        </w:rPr>
      </w:pPr>
    </w:p>
    <w:p w14:paraId="3DB63B24">
      <w:pPr>
        <w:snapToGrid w:val="0"/>
        <w:spacing w:before="120" w:beforeLines="50" w:after="50"/>
        <w:rPr>
          <w:rFonts w:hint="eastAsia" w:ascii="宋体" w:hAnsi="宋体"/>
          <w:bCs/>
          <w:color w:val="auto"/>
          <w:sz w:val="24"/>
          <w:szCs w:val="20"/>
          <w:highlight w:val="none"/>
        </w:rPr>
      </w:pPr>
    </w:p>
    <w:p w14:paraId="53523775">
      <w:pPr>
        <w:snapToGrid w:val="0"/>
        <w:spacing w:before="120" w:beforeLines="50" w:after="50"/>
        <w:rPr>
          <w:rFonts w:hint="eastAsia" w:ascii="宋体" w:hAnsi="宋体"/>
          <w:bCs/>
          <w:color w:val="auto"/>
          <w:sz w:val="24"/>
          <w:szCs w:val="20"/>
          <w:highlight w:val="none"/>
        </w:rPr>
      </w:pPr>
    </w:p>
    <w:p w14:paraId="7B7C451B">
      <w:pPr>
        <w:snapToGrid w:val="0"/>
        <w:spacing w:before="120" w:beforeLines="50" w:after="50"/>
        <w:rPr>
          <w:rFonts w:hint="eastAsia" w:ascii="宋体" w:hAnsi="宋体"/>
          <w:bCs/>
          <w:color w:val="auto"/>
          <w:sz w:val="24"/>
          <w:szCs w:val="20"/>
          <w:highlight w:val="none"/>
        </w:rPr>
      </w:pPr>
    </w:p>
    <w:p w14:paraId="30CD8235">
      <w:pPr>
        <w:snapToGrid w:val="0"/>
        <w:spacing w:before="120" w:beforeLines="50" w:after="50"/>
        <w:rPr>
          <w:rFonts w:hint="eastAsia" w:ascii="宋体" w:hAnsi="宋体"/>
          <w:bCs/>
          <w:color w:val="auto"/>
          <w:sz w:val="24"/>
          <w:szCs w:val="20"/>
          <w:highlight w:val="none"/>
        </w:rPr>
      </w:pPr>
    </w:p>
    <w:p w14:paraId="3937A64A">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B5D5F57">
      <w:pPr>
        <w:snapToGrid w:val="0"/>
        <w:spacing w:before="120" w:beforeLines="50" w:after="50"/>
        <w:ind w:firstLine="720" w:firstLineChars="225"/>
        <w:rPr>
          <w:rFonts w:hint="eastAsia" w:ascii="宋体" w:hAnsi="宋体" w:cs="仿宋_GB2312"/>
          <w:bCs/>
          <w:color w:val="auto"/>
          <w:sz w:val="32"/>
          <w:szCs w:val="32"/>
          <w:highlight w:val="none"/>
        </w:rPr>
      </w:pPr>
    </w:p>
    <w:p w14:paraId="44FE84A8">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6B3B2EB1">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11FF776">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A910A50">
      <w:pPr>
        <w:snapToGrid w:val="0"/>
        <w:spacing w:before="120" w:beforeLines="50" w:after="50"/>
        <w:ind w:firstLine="720" w:firstLineChars="225"/>
        <w:rPr>
          <w:rFonts w:hint="eastAsia" w:ascii="宋体" w:hAnsi="宋体" w:cs="仿宋_GB2312"/>
          <w:bCs/>
          <w:color w:val="auto"/>
          <w:sz w:val="32"/>
          <w:szCs w:val="32"/>
          <w:highlight w:val="none"/>
        </w:rPr>
      </w:pPr>
    </w:p>
    <w:p w14:paraId="34AF6402">
      <w:pPr>
        <w:pStyle w:val="5"/>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BB9FFCF">
      <w:pPr>
        <w:pStyle w:val="5"/>
        <w:snapToGrid w:val="0"/>
        <w:spacing w:before="50" w:after="50"/>
        <w:ind w:firstLine="640" w:firstLineChars="200"/>
        <w:rPr>
          <w:rFonts w:hint="eastAsia" w:ascii="宋体" w:hAnsi="宋体" w:cs="仿宋_GB2312"/>
          <w:bCs/>
          <w:color w:val="auto"/>
          <w:sz w:val="32"/>
          <w:szCs w:val="32"/>
          <w:highlight w:val="none"/>
        </w:rPr>
      </w:pPr>
    </w:p>
    <w:p w14:paraId="6DEBE660">
      <w:pPr>
        <w:pStyle w:val="5"/>
        <w:snapToGrid w:val="0"/>
        <w:spacing w:before="50" w:after="50"/>
        <w:ind w:firstLine="720" w:firstLineChars="225"/>
        <w:rPr>
          <w:rFonts w:hint="eastAsia" w:ascii="宋体" w:hAnsi="宋体" w:cs="仿宋_GB2312"/>
          <w:bCs/>
          <w:color w:val="auto"/>
          <w:sz w:val="32"/>
          <w:szCs w:val="32"/>
          <w:highlight w:val="none"/>
        </w:rPr>
      </w:pPr>
    </w:p>
    <w:p w14:paraId="0FE81611">
      <w:pPr>
        <w:pStyle w:val="5"/>
        <w:snapToGrid w:val="0"/>
        <w:spacing w:before="50" w:after="50"/>
        <w:ind w:firstLine="0"/>
        <w:rPr>
          <w:rFonts w:hint="eastAsia" w:ascii="宋体" w:hAnsi="宋体" w:cs="仿宋_GB2312"/>
          <w:bCs/>
          <w:color w:val="auto"/>
          <w:sz w:val="32"/>
          <w:szCs w:val="32"/>
          <w:highlight w:val="none"/>
        </w:rPr>
      </w:pPr>
    </w:p>
    <w:p w14:paraId="6D325C05">
      <w:pPr>
        <w:pStyle w:val="5"/>
        <w:snapToGrid w:val="0"/>
        <w:spacing w:before="50" w:after="50"/>
        <w:ind w:firstLine="1280" w:firstLineChars="400"/>
        <w:rPr>
          <w:rFonts w:hint="eastAsia" w:ascii="宋体" w:hAnsi="宋体" w:cs="仿宋_GB2312"/>
          <w:bCs/>
          <w:color w:val="auto"/>
          <w:sz w:val="32"/>
          <w:szCs w:val="32"/>
          <w:highlight w:val="none"/>
        </w:rPr>
      </w:pPr>
    </w:p>
    <w:p w14:paraId="2B382111">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59492B2">
      <w:pPr>
        <w:snapToGrid w:val="0"/>
        <w:spacing w:before="120" w:beforeLines="5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4A8E9691">
      <w:pPr>
        <w:spacing w:line="520" w:lineRule="exact"/>
        <w:jc w:val="center"/>
        <w:rPr>
          <w:rFonts w:hint="eastAsia" w:ascii="方正小标宋简体" w:hAnsi="方正小标宋简体" w:eastAsia="方正小标宋简体" w:cs="方正小标宋简体"/>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r>
        <w:rPr>
          <w:rFonts w:hint="eastAsia" w:ascii="方正小标宋简体" w:hAnsi="方正小标宋简体" w:eastAsia="方正小标宋简体" w:cs="方正小标宋简体"/>
          <w:bCs/>
          <w:color w:val="auto"/>
          <w:sz w:val="44"/>
          <w:szCs w:val="44"/>
          <w:highlight w:val="none"/>
        </w:rPr>
        <w:t>竞  标  报  价  表</w:t>
      </w:r>
    </w:p>
    <w:p w14:paraId="58DC9F63">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73467568">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73FD9391">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29BDAA6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C9A2815">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tbl>
      <w:tblPr>
        <w:tblStyle w:val="24"/>
        <w:tblW w:w="4997"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2969"/>
        <w:gridCol w:w="858"/>
        <w:gridCol w:w="775"/>
        <w:gridCol w:w="1862"/>
        <w:gridCol w:w="1551"/>
        <w:gridCol w:w="1300"/>
      </w:tblGrid>
      <w:tr w14:paraId="56AD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22" w:type="pct"/>
            <w:tcBorders>
              <w:top w:val="single" w:color="auto" w:sz="4" w:space="0"/>
              <w:left w:val="single" w:color="auto" w:sz="4" w:space="0"/>
              <w:bottom w:val="single" w:color="auto" w:sz="4" w:space="0"/>
              <w:right w:val="single" w:color="auto" w:sz="4" w:space="0"/>
            </w:tcBorders>
            <w:noWrap w:val="0"/>
            <w:vAlign w:val="center"/>
          </w:tcPr>
          <w:p w14:paraId="098247EA">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1491" w:type="pct"/>
            <w:tcBorders>
              <w:top w:val="single" w:color="auto" w:sz="4" w:space="0"/>
              <w:left w:val="single" w:color="auto" w:sz="4" w:space="0"/>
              <w:bottom w:val="single" w:color="auto" w:sz="4" w:space="0"/>
              <w:right w:val="single" w:color="auto" w:sz="4" w:space="0"/>
            </w:tcBorders>
            <w:noWrap w:val="0"/>
            <w:vAlign w:val="center"/>
          </w:tcPr>
          <w:p w14:paraId="69D74D3F">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431" w:type="pct"/>
            <w:tcBorders>
              <w:top w:val="single" w:color="auto" w:sz="4" w:space="0"/>
              <w:left w:val="single" w:color="auto" w:sz="4" w:space="0"/>
              <w:bottom w:val="single" w:color="auto" w:sz="4" w:space="0"/>
              <w:right w:val="single" w:color="auto" w:sz="4" w:space="0"/>
            </w:tcBorders>
            <w:noWrap w:val="0"/>
            <w:vAlign w:val="center"/>
          </w:tcPr>
          <w:p w14:paraId="59768C59">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0C400886">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935" w:type="pct"/>
            <w:tcBorders>
              <w:top w:val="single" w:color="auto" w:sz="4" w:space="0"/>
              <w:left w:val="single" w:color="auto" w:sz="4" w:space="0"/>
              <w:bottom w:val="single" w:color="auto" w:sz="4" w:space="0"/>
              <w:right w:val="single" w:color="auto" w:sz="4" w:space="0"/>
            </w:tcBorders>
            <w:noWrap w:val="0"/>
            <w:vAlign w:val="center"/>
          </w:tcPr>
          <w:p w14:paraId="3D3F099E">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单价</w:t>
            </w:r>
          </w:p>
        </w:tc>
        <w:tc>
          <w:tcPr>
            <w:tcW w:w="779" w:type="pct"/>
            <w:tcBorders>
              <w:top w:val="single" w:color="auto" w:sz="4" w:space="0"/>
              <w:left w:val="single" w:color="auto" w:sz="4" w:space="0"/>
              <w:bottom w:val="single" w:color="auto" w:sz="4" w:space="0"/>
              <w:right w:val="single" w:color="auto" w:sz="4" w:space="0"/>
            </w:tcBorders>
            <w:noWrap w:val="0"/>
            <w:vAlign w:val="center"/>
          </w:tcPr>
          <w:p w14:paraId="35E52A45">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650" w:type="pct"/>
            <w:tcBorders>
              <w:top w:val="single" w:color="auto" w:sz="4" w:space="0"/>
              <w:left w:val="single" w:color="auto" w:sz="4" w:space="0"/>
              <w:bottom w:val="single" w:color="auto" w:sz="4" w:space="0"/>
              <w:right w:val="single" w:color="auto" w:sz="4" w:space="0"/>
            </w:tcBorders>
            <w:noWrap w:val="0"/>
            <w:vAlign w:val="center"/>
          </w:tcPr>
          <w:p w14:paraId="1DAE7CE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6EB2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22" w:type="pct"/>
            <w:tcBorders>
              <w:top w:val="single" w:color="auto" w:sz="4" w:space="0"/>
              <w:left w:val="single" w:color="auto" w:sz="4" w:space="0"/>
              <w:bottom w:val="single" w:color="auto" w:sz="4" w:space="0"/>
              <w:right w:val="single" w:color="auto" w:sz="4" w:space="0"/>
            </w:tcBorders>
            <w:noWrap w:val="0"/>
            <w:vAlign w:val="center"/>
          </w:tcPr>
          <w:p w14:paraId="1326CDD0">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1491" w:type="pct"/>
            <w:tcBorders>
              <w:top w:val="single" w:color="auto" w:sz="4" w:space="0"/>
              <w:left w:val="single" w:color="auto" w:sz="4" w:space="0"/>
              <w:bottom w:val="single" w:color="auto" w:sz="4" w:space="0"/>
              <w:right w:val="single" w:color="auto" w:sz="4" w:space="0"/>
            </w:tcBorders>
            <w:noWrap w:val="0"/>
            <w:vAlign w:val="center"/>
          </w:tcPr>
          <w:p w14:paraId="3ACD1224">
            <w:pPr>
              <w:spacing w:line="360" w:lineRule="auto"/>
              <w:contextualSpacing/>
              <w:jc w:val="center"/>
              <w:rPr>
                <w:rFonts w:ascii="宋体" w:hAnsi="宋体" w:cs="仿宋_GB2312"/>
                <w:color w:val="auto"/>
                <w:sz w:val="24"/>
                <w:highlight w:val="none"/>
              </w:rPr>
            </w:pPr>
          </w:p>
        </w:tc>
        <w:tc>
          <w:tcPr>
            <w:tcW w:w="431" w:type="pct"/>
            <w:tcBorders>
              <w:top w:val="single" w:color="auto" w:sz="4" w:space="0"/>
              <w:left w:val="single" w:color="auto" w:sz="4" w:space="0"/>
              <w:bottom w:val="single" w:color="auto" w:sz="4" w:space="0"/>
              <w:right w:val="single" w:color="auto" w:sz="4" w:space="0"/>
            </w:tcBorders>
            <w:noWrap w:val="0"/>
            <w:vAlign w:val="center"/>
          </w:tcPr>
          <w:p w14:paraId="5972FCFB">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389" w:type="pct"/>
            <w:tcBorders>
              <w:top w:val="single" w:color="auto" w:sz="4" w:space="0"/>
              <w:left w:val="single" w:color="auto" w:sz="4" w:space="0"/>
              <w:bottom w:val="single" w:color="auto" w:sz="4" w:space="0"/>
              <w:right w:val="single" w:color="auto" w:sz="4" w:space="0"/>
            </w:tcBorders>
            <w:noWrap w:val="0"/>
            <w:vAlign w:val="center"/>
          </w:tcPr>
          <w:p w14:paraId="6B9F5806">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项</w:t>
            </w:r>
          </w:p>
        </w:tc>
        <w:tc>
          <w:tcPr>
            <w:tcW w:w="935" w:type="pct"/>
            <w:tcBorders>
              <w:top w:val="single" w:color="auto" w:sz="4" w:space="0"/>
              <w:left w:val="single" w:color="auto" w:sz="4" w:space="0"/>
              <w:bottom w:val="single" w:color="auto" w:sz="4" w:space="0"/>
              <w:right w:val="single" w:color="auto" w:sz="4" w:space="0"/>
            </w:tcBorders>
            <w:noWrap w:val="0"/>
            <w:vAlign w:val="center"/>
          </w:tcPr>
          <w:p w14:paraId="41CE2266">
            <w:pPr>
              <w:spacing w:line="360" w:lineRule="auto"/>
              <w:contextualSpacing/>
              <w:rPr>
                <w:rFonts w:ascii="宋体" w:hAnsi="宋体" w:cs="仿宋_GB2312"/>
                <w:color w:val="auto"/>
                <w:sz w:val="24"/>
                <w:highlight w:val="none"/>
              </w:rPr>
            </w:pPr>
          </w:p>
        </w:tc>
        <w:tc>
          <w:tcPr>
            <w:tcW w:w="779" w:type="pct"/>
            <w:tcBorders>
              <w:top w:val="single" w:color="auto" w:sz="4" w:space="0"/>
              <w:left w:val="single" w:color="auto" w:sz="4" w:space="0"/>
              <w:bottom w:val="single" w:color="auto" w:sz="4" w:space="0"/>
              <w:right w:val="single" w:color="auto" w:sz="4" w:space="0"/>
            </w:tcBorders>
            <w:noWrap w:val="0"/>
            <w:vAlign w:val="center"/>
          </w:tcPr>
          <w:p w14:paraId="42CF7C62">
            <w:pPr>
              <w:spacing w:line="360" w:lineRule="auto"/>
              <w:contextualSpacing/>
              <w:rPr>
                <w:rFonts w:ascii="宋体" w:hAnsi="宋体" w:cs="仿宋_GB2312"/>
                <w:color w:val="auto"/>
                <w:sz w:val="24"/>
                <w:highlight w:val="none"/>
              </w:rPr>
            </w:pPr>
          </w:p>
        </w:tc>
        <w:tc>
          <w:tcPr>
            <w:tcW w:w="650" w:type="pct"/>
            <w:tcBorders>
              <w:top w:val="single" w:color="auto" w:sz="4" w:space="0"/>
              <w:left w:val="single" w:color="auto" w:sz="4" w:space="0"/>
              <w:bottom w:val="single" w:color="auto" w:sz="4" w:space="0"/>
              <w:right w:val="single" w:color="auto" w:sz="4" w:space="0"/>
            </w:tcBorders>
            <w:noWrap w:val="0"/>
            <w:vAlign w:val="center"/>
          </w:tcPr>
          <w:p w14:paraId="790C1393">
            <w:pPr>
              <w:spacing w:line="360" w:lineRule="auto"/>
              <w:contextualSpacing/>
              <w:rPr>
                <w:rFonts w:ascii="宋体" w:hAnsi="宋体" w:cs="仿宋_GB2312"/>
                <w:color w:val="auto"/>
                <w:sz w:val="24"/>
                <w:highlight w:val="none"/>
              </w:rPr>
            </w:pPr>
          </w:p>
        </w:tc>
      </w:tr>
      <w:tr w14:paraId="2080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74EDD8F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110A93C">
      <w:pPr>
        <w:spacing w:line="360" w:lineRule="auto"/>
        <w:contextualSpacing/>
        <w:jc w:val="left"/>
        <w:rPr>
          <w:rFonts w:ascii="宋体" w:hAnsi="宋体" w:cs="仿宋_GB2312"/>
          <w:color w:val="auto"/>
          <w:sz w:val="24"/>
          <w:highlight w:val="none"/>
        </w:rPr>
      </w:pPr>
    </w:p>
    <w:p w14:paraId="32784C9C">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010AEE94">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BACB088">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244E3F49">
      <w:pPr>
        <w:spacing w:line="360" w:lineRule="auto"/>
        <w:ind w:firstLine="480" w:firstLineChars="20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2BC2B040">
      <w:pPr>
        <w:spacing w:line="360" w:lineRule="auto"/>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3860997E">
      <w:pPr>
        <w:spacing w:line="360" w:lineRule="auto"/>
        <w:ind w:firstLine="480" w:firstLineChars="200"/>
        <w:contextualSpacing/>
        <w:rPr>
          <w:rFonts w:hint="eastAsia"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A04B4A4">
      <w:pPr>
        <w:spacing w:line="360" w:lineRule="auto"/>
        <w:ind w:right="-817" w:rightChars="-389"/>
        <w:contextualSpacing/>
        <w:rPr>
          <w:rFonts w:hint="eastAsia" w:ascii="宋体" w:hAnsi="宋体" w:cs="仿宋_GB2312"/>
          <w:color w:val="auto"/>
          <w:sz w:val="24"/>
          <w:highlight w:val="none"/>
        </w:rPr>
      </w:pPr>
    </w:p>
    <w:p w14:paraId="0F861D08">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4B62D95B">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71253F95">
      <w:pPr>
        <w:spacing w:line="360" w:lineRule="auto"/>
        <w:ind w:right="-817" w:rightChars="-389" w:firstLine="4080" w:firstLineChars="1700"/>
        <w:contextualSpacing/>
        <w:rPr>
          <w:rFonts w:hint="eastAsia" w:ascii="宋体" w:hAnsi="宋体" w:cs="仿宋_GB2312"/>
          <w:b/>
          <w:color w:val="auto"/>
          <w:sz w:val="24"/>
          <w:highlight w:val="none"/>
        </w:rPr>
      </w:pPr>
      <w:r>
        <w:rPr>
          <w:rFonts w:hint="eastAsia" w:ascii="宋体" w:hAnsi="宋体" w:cs="仿宋_GB2312"/>
          <w:color w:val="auto"/>
          <w:sz w:val="24"/>
          <w:highlight w:val="none"/>
        </w:rPr>
        <w:t>日期：   年   月   日</w:t>
      </w:r>
    </w:p>
    <w:p w14:paraId="1AD5D4A8">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br w:type="page"/>
      </w:r>
      <w:r>
        <w:rPr>
          <w:rFonts w:hint="eastAsia" w:ascii="宋体" w:hAnsi="宋体"/>
          <w:b/>
          <w:bCs/>
          <w:color w:val="auto"/>
          <w:sz w:val="32"/>
          <w:szCs w:val="32"/>
          <w:highlight w:val="none"/>
        </w:rPr>
        <w:t>三、</w:t>
      </w:r>
      <w:r>
        <w:rPr>
          <w:rFonts w:hint="eastAsia" w:ascii="宋体" w:hAnsi="宋体"/>
          <w:b/>
          <w:color w:val="auto"/>
          <w:sz w:val="32"/>
          <w:szCs w:val="32"/>
          <w:highlight w:val="none"/>
        </w:rPr>
        <w:t xml:space="preserve">商务技术文件格式 </w:t>
      </w:r>
    </w:p>
    <w:p w14:paraId="07F61CCF">
      <w:pPr>
        <w:snapToGrid w:val="0"/>
        <w:spacing w:before="120"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5F2272D7">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527CDA94">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6A693C5E">
      <w:pPr>
        <w:snapToGrid w:val="0"/>
        <w:spacing w:before="120" w:beforeLines="50" w:after="50"/>
        <w:rPr>
          <w:rFonts w:hint="eastAsia" w:ascii="宋体" w:hAnsi="宋体"/>
          <w:color w:val="auto"/>
          <w:sz w:val="24"/>
          <w:szCs w:val="20"/>
          <w:highlight w:val="none"/>
        </w:rPr>
      </w:pPr>
    </w:p>
    <w:p w14:paraId="32B03742">
      <w:pPr>
        <w:snapToGrid w:val="0"/>
        <w:spacing w:before="120" w:beforeLines="50" w:after="50"/>
        <w:rPr>
          <w:rFonts w:hint="eastAsia" w:ascii="宋体" w:hAnsi="宋体"/>
          <w:color w:val="auto"/>
          <w:sz w:val="24"/>
          <w:szCs w:val="20"/>
          <w:highlight w:val="none"/>
        </w:rPr>
      </w:pPr>
    </w:p>
    <w:p w14:paraId="326D6E39">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591BD199">
      <w:pPr>
        <w:snapToGrid w:val="0"/>
        <w:spacing w:before="120" w:beforeLines="50" w:after="50"/>
        <w:rPr>
          <w:rFonts w:hint="eastAsia" w:ascii="宋体" w:hAnsi="宋体"/>
          <w:bCs/>
          <w:color w:val="auto"/>
          <w:sz w:val="24"/>
          <w:szCs w:val="20"/>
          <w:highlight w:val="none"/>
        </w:rPr>
      </w:pPr>
    </w:p>
    <w:p w14:paraId="63DEA741">
      <w:pPr>
        <w:snapToGrid w:val="0"/>
        <w:spacing w:before="120" w:beforeLines="50" w:after="50"/>
        <w:rPr>
          <w:rFonts w:hint="eastAsia" w:ascii="宋体" w:hAnsi="宋体"/>
          <w:bCs/>
          <w:color w:val="auto"/>
          <w:sz w:val="24"/>
          <w:szCs w:val="20"/>
          <w:highlight w:val="none"/>
        </w:rPr>
      </w:pPr>
    </w:p>
    <w:p w14:paraId="76BAEB27">
      <w:pPr>
        <w:snapToGrid w:val="0"/>
        <w:spacing w:before="120" w:beforeLines="50" w:after="50"/>
        <w:rPr>
          <w:rFonts w:hint="eastAsia" w:ascii="宋体" w:hAnsi="宋体"/>
          <w:bCs/>
          <w:color w:val="auto"/>
          <w:sz w:val="24"/>
          <w:szCs w:val="20"/>
          <w:highlight w:val="none"/>
        </w:rPr>
      </w:pPr>
    </w:p>
    <w:p w14:paraId="44831C82">
      <w:pPr>
        <w:snapToGrid w:val="0"/>
        <w:spacing w:before="120" w:beforeLines="50" w:after="50"/>
        <w:rPr>
          <w:rFonts w:hint="eastAsia" w:ascii="宋体" w:hAnsi="宋体"/>
          <w:bCs/>
          <w:color w:val="auto"/>
          <w:sz w:val="24"/>
          <w:szCs w:val="20"/>
          <w:highlight w:val="none"/>
        </w:rPr>
      </w:pPr>
    </w:p>
    <w:p w14:paraId="416E998C">
      <w:pPr>
        <w:snapToGrid w:val="0"/>
        <w:spacing w:before="120" w:beforeLines="50" w:after="50"/>
        <w:rPr>
          <w:rFonts w:hint="eastAsia" w:ascii="宋体" w:hAnsi="宋体"/>
          <w:bCs/>
          <w:color w:val="auto"/>
          <w:sz w:val="24"/>
          <w:szCs w:val="20"/>
          <w:highlight w:val="none"/>
        </w:rPr>
      </w:pPr>
    </w:p>
    <w:p w14:paraId="5D7D0701">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9C40283">
      <w:pPr>
        <w:snapToGrid w:val="0"/>
        <w:spacing w:before="120" w:beforeLines="50" w:after="50"/>
        <w:ind w:firstLine="720" w:firstLineChars="225"/>
        <w:rPr>
          <w:rFonts w:hint="eastAsia" w:ascii="宋体" w:hAnsi="宋体" w:cs="仿宋_GB2312"/>
          <w:bCs/>
          <w:color w:val="auto"/>
          <w:sz w:val="32"/>
          <w:szCs w:val="32"/>
          <w:highlight w:val="none"/>
        </w:rPr>
      </w:pPr>
    </w:p>
    <w:p w14:paraId="2BA5DABA">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B28F129">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E59C95E">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6D5C1E1E">
      <w:pPr>
        <w:snapToGrid w:val="0"/>
        <w:spacing w:before="120" w:beforeLines="50" w:after="50"/>
        <w:ind w:firstLine="720" w:firstLineChars="225"/>
        <w:rPr>
          <w:rFonts w:hint="eastAsia" w:ascii="宋体" w:hAnsi="宋体" w:cs="仿宋_GB2312"/>
          <w:bCs/>
          <w:color w:val="auto"/>
          <w:sz w:val="32"/>
          <w:szCs w:val="32"/>
          <w:highlight w:val="none"/>
        </w:rPr>
      </w:pPr>
    </w:p>
    <w:p w14:paraId="188AFAF3">
      <w:pPr>
        <w:pStyle w:val="5"/>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E24CFCE">
      <w:pPr>
        <w:pStyle w:val="5"/>
        <w:snapToGrid w:val="0"/>
        <w:spacing w:before="50" w:after="50"/>
        <w:ind w:firstLine="640" w:firstLineChars="200"/>
        <w:rPr>
          <w:rFonts w:hint="eastAsia" w:ascii="宋体" w:hAnsi="宋体" w:cs="仿宋_GB2312"/>
          <w:bCs/>
          <w:color w:val="auto"/>
          <w:sz w:val="32"/>
          <w:szCs w:val="32"/>
          <w:highlight w:val="none"/>
        </w:rPr>
      </w:pPr>
    </w:p>
    <w:p w14:paraId="4884C029">
      <w:pPr>
        <w:pStyle w:val="5"/>
        <w:snapToGrid w:val="0"/>
        <w:spacing w:before="50" w:after="50"/>
        <w:ind w:firstLine="720" w:firstLineChars="225"/>
        <w:rPr>
          <w:rFonts w:hint="eastAsia" w:ascii="宋体" w:hAnsi="宋体" w:cs="仿宋_GB2312"/>
          <w:bCs/>
          <w:color w:val="auto"/>
          <w:sz w:val="32"/>
          <w:szCs w:val="32"/>
          <w:highlight w:val="none"/>
        </w:rPr>
      </w:pPr>
    </w:p>
    <w:p w14:paraId="635842E9">
      <w:pPr>
        <w:pStyle w:val="5"/>
        <w:snapToGrid w:val="0"/>
        <w:spacing w:before="50" w:after="50"/>
        <w:ind w:firstLine="0"/>
        <w:rPr>
          <w:rFonts w:hint="eastAsia" w:ascii="宋体" w:hAnsi="宋体" w:cs="仿宋_GB2312"/>
          <w:bCs/>
          <w:color w:val="auto"/>
          <w:sz w:val="32"/>
          <w:szCs w:val="32"/>
          <w:highlight w:val="none"/>
        </w:rPr>
      </w:pPr>
    </w:p>
    <w:p w14:paraId="3C980EB4">
      <w:pPr>
        <w:pStyle w:val="5"/>
        <w:snapToGrid w:val="0"/>
        <w:spacing w:before="50" w:after="50"/>
        <w:ind w:firstLine="1280" w:firstLineChars="400"/>
        <w:rPr>
          <w:rFonts w:hint="eastAsia" w:ascii="宋体" w:hAnsi="宋体" w:cs="仿宋_GB2312"/>
          <w:bCs/>
          <w:color w:val="auto"/>
          <w:sz w:val="32"/>
          <w:szCs w:val="32"/>
          <w:highlight w:val="none"/>
        </w:rPr>
      </w:pPr>
    </w:p>
    <w:p w14:paraId="7637CA66">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2CA9C810">
      <w:pPr>
        <w:snapToGrid w:val="0"/>
        <w:spacing w:before="120"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1718FE68">
      <w:pPr>
        <w:snapToGrid w:val="0"/>
        <w:spacing w:before="120"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41A993A">
      <w:pPr>
        <w:spacing w:line="400" w:lineRule="exact"/>
        <w:rPr>
          <w:rFonts w:hint="eastAsia" w:ascii="仿宋_GB2312" w:hAnsi="仿宋_GB2312" w:eastAsia="仿宋_GB2312" w:cs="仿宋_GB2312"/>
          <w:color w:val="auto"/>
          <w:sz w:val="32"/>
          <w:szCs w:val="32"/>
          <w:highlight w:val="none"/>
        </w:rPr>
      </w:pPr>
    </w:p>
    <w:p w14:paraId="463ABF3D">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无串通竞标行为的承诺函</w:t>
      </w:r>
    </w:p>
    <w:p w14:paraId="6D29C569">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766FA899">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57A29F2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0D3D25E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3AC534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3FE52B3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7D2D01D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03792ED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2EF6188F">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039AC1F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76DB868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0344D26F">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7F0F582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5CB2AF3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3D31576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2B17D9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58CBD59E">
      <w:pPr>
        <w:spacing w:line="360" w:lineRule="auto"/>
        <w:ind w:firstLine="480" w:firstLineChars="200"/>
        <w:contextualSpacing/>
        <w:rPr>
          <w:rFonts w:hint="eastAsia" w:ascii="宋体" w:hAnsi="宋体" w:cs="仿宋_GB2312"/>
          <w:color w:val="auto"/>
          <w:sz w:val="24"/>
          <w:highlight w:val="none"/>
        </w:rPr>
      </w:pPr>
    </w:p>
    <w:p w14:paraId="23707122">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461A965B">
      <w:pPr>
        <w:spacing w:line="360" w:lineRule="auto"/>
        <w:contextualSpacing/>
        <w:rPr>
          <w:rFonts w:hint="eastAsia" w:ascii="宋体" w:hAnsi="宋体" w:cs="仿宋_GB2312"/>
          <w:color w:val="auto"/>
          <w:sz w:val="24"/>
          <w:highlight w:val="none"/>
        </w:rPr>
      </w:pPr>
    </w:p>
    <w:p w14:paraId="2D5A918A">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供应商名称（电子签章）：</w:t>
      </w:r>
    </w:p>
    <w:p w14:paraId="19993702">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7F49EAE8">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7B459B1F">
      <w:pPr>
        <w:spacing w:line="360" w:lineRule="auto"/>
        <w:ind w:left="540"/>
        <w:contextualSpacing/>
        <w:rPr>
          <w:rFonts w:hint="eastAsia" w:ascii="仿宋_GB2312" w:hAnsi="仿宋_GB2312" w:eastAsia="仿宋_GB2312" w:cs="仿宋_GB2312"/>
          <w:color w:val="auto"/>
          <w:sz w:val="32"/>
          <w:szCs w:val="32"/>
          <w:highlight w:val="none"/>
        </w:rPr>
      </w:pPr>
    </w:p>
    <w:p w14:paraId="0D4DDB5E">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6FCAA3D6">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0A5FDDEE">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5149470F">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3C07741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225860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5A15596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406B19F4">
      <w:pPr>
        <w:spacing w:line="360" w:lineRule="auto"/>
        <w:ind w:left="540"/>
        <w:contextualSpacing/>
        <w:rPr>
          <w:rFonts w:hint="eastAsia" w:ascii="宋体" w:hAnsi="宋体" w:cs="仿宋_GB2312"/>
          <w:color w:val="auto"/>
          <w:sz w:val="24"/>
          <w:highlight w:val="none"/>
        </w:rPr>
      </w:pPr>
    </w:p>
    <w:p w14:paraId="246F6667">
      <w:pPr>
        <w:spacing w:line="360" w:lineRule="auto"/>
        <w:ind w:left="540"/>
        <w:contextualSpacing/>
        <w:rPr>
          <w:rFonts w:hint="eastAsia" w:ascii="宋体" w:hAnsi="宋体" w:cs="仿宋_GB2312"/>
          <w:color w:val="auto"/>
          <w:sz w:val="24"/>
          <w:highlight w:val="none"/>
        </w:rPr>
      </w:pPr>
    </w:p>
    <w:p w14:paraId="2E328BF8">
      <w:pPr>
        <w:spacing w:line="360" w:lineRule="auto"/>
        <w:ind w:left="540"/>
        <w:contextualSpacing/>
        <w:rPr>
          <w:rFonts w:hint="eastAsia" w:ascii="宋体" w:hAnsi="宋体" w:cs="仿宋_GB2312"/>
          <w:color w:val="auto"/>
          <w:sz w:val="24"/>
          <w:highlight w:val="none"/>
        </w:rPr>
      </w:pPr>
    </w:p>
    <w:p w14:paraId="06FA7AE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307542EF">
      <w:pPr>
        <w:spacing w:line="360" w:lineRule="auto"/>
        <w:ind w:left="540"/>
        <w:contextualSpacing/>
        <w:rPr>
          <w:rFonts w:hint="eastAsia" w:ascii="宋体" w:hAnsi="宋体" w:cs="仿宋_GB2312"/>
          <w:color w:val="auto"/>
          <w:sz w:val="24"/>
          <w:highlight w:val="none"/>
        </w:rPr>
      </w:pPr>
    </w:p>
    <w:p w14:paraId="3C3B8233">
      <w:pPr>
        <w:spacing w:line="360" w:lineRule="auto"/>
        <w:ind w:left="540" w:leftChars="257" w:right="480" w:firstLine="2280" w:firstLineChars="95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供应商名称（电子签章）：</w:t>
      </w:r>
      <w:r>
        <w:rPr>
          <w:rFonts w:hint="eastAsia" w:ascii="宋体" w:hAnsi="宋体" w:cs="仿宋_GB2312"/>
          <w:color w:val="auto"/>
          <w:sz w:val="24"/>
          <w:highlight w:val="none"/>
          <w:u w:val="single"/>
        </w:rPr>
        <w:t xml:space="preserve">               </w:t>
      </w:r>
    </w:p>
    <w:p w14:paraId="7D935E5B">
      <w:pPr>
        <w:spacing w:line="360" w:lineRule="auto"/>
        <w:ind w:firstLine="5040" w:firstLineChars="21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172539C0">
      <w:pPr>
        <w:spacing w:line="360" w:lineRule="auto"/>
        <w:contextualSpacing/>
        <w:jc w:val="center"/>
        <w:rPr>
          <w:rFonts w:hint="eastAsia" w:ascii="宋体" w:hAnsi="宋体" w:cs="仿宋_GB2312"/>
          <w:b/>
          <w:color w:val="auto"/>
          <w:sz w:val="24"/>
          <w:highlight w:val="none"/>
        </w:rPr>
      </w:pPr>
    </w:p>
    <w:p w14:paraId="66196D83">
      <w:pPr>
        <w:spacing w:line="360" w:lineRule="auto"/>
        <w:contextualSpacing/>
        <w:jc w:val="left"/>
        <w:rPr>
          <w:rFonts w:hint="eastAsia" w:ascii="宋体" w:hAnsi="宋体" w:cs="仿宋_GB2312"/>
          <w:color w:val="auto"/>
          <w:sz w:val="24"/>
          <w:highlight w:val="none"/>
        </w:rPr>
      </w:pPr>
    </w:p>
    <w:p w14:paraId="760EE1B0">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7F7B3EDF">
      <w:pPr>
        <w:adjustRightInd w:val="0"/>
        <w:snapToGrid w:val="0"/>
        <w:spacing w:line="300" w:lineRule="auto"/>
        <w:jc w:val="left"/>
        <w:rPr>
          <w:rFonts w:hint="eastAsia" w:ascii="宋体" w:hAnsi="宋体"/>
          <w:b/>
          <w:color w:val="auto"/>
          <w:szCs w:val="21"/>
          <w:highlight w:val="none"/>
        </w:rPr>
      </w:pPr>
    </w:p>
    <w:p w14:paraId="3FEBF379">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5C86BC5E">
      <w:pPr>
        <w:spacing w:line="520" w:lineRule="exact"/>
        <w:jc w:val="center"/>
        <w:rPr>
          <w:rFonts w:hint="eastAsia" w:ascii="方正小标宋简体" w:hAnsi="方正小标宋简体" w:eastAsia="方正小标宋简体" w:cs="方正小标宋简体"/>
          <w:color w:val="auto"/>
          <w:sz w:val="44"/>
          <w:szCs w:val="44"/>
          <w:highlight w:val="none"/>
        </w:rPr>
      </w:pPr>
      <w:bookmarkStart w:id="83" w:name="_Hlk65853643"/>
      <w:r>
        <w:rPr>
          <w:rFonts w:hint="eastAsia" w:ascii="方正小标宋简体" w:hAnsi="方正小标宋简体" w:eastAsia="方正小标宋简体" w:cs="方正小标宋简体"/>
          <w:color w:val="auto"/>
          <w:sz w:val="44"/>
          <w:szCs w:val="44"/>
          <w:highlight w:val="none"/>
        </w:rPr>
        <w:t>授权委托书</w:t>
      </w:r>
    </w:p>
    <w:p w14:paraId="061AA13D">
      <w:pPr>
        <w:spacing w:line="520" w:lineRule="exact"/>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（非联合体竞标格式）</w:t>
      </w:r>
    </w:p>
    <w:p w14:paraId="1A543E72">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655D824F">
      <w:pPr>
        <w:spacing w:line="520" w:lineRule="exact"/>
        <w:rPr>
          <w:rFonts w:hint="eastAsia" w:ascii="仿宋_GB2312" w:hAnsi="仿宋_GB2312" w:eastAsia="仿宋_GB2312" w:cs="仿宋_GB2312"/>
          <w:color w:val="auto"/>
          <w:sz w:val="32"/>
          <w:szCs w:val="32"/>
          <w:highlight w:val="none"/>
        </w:rPr>
      </w:pPr>
    </w:p>
    <w:p w14:paraId="7FCCE830">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15A0A409">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sym w:font="Wingdings 2" w:char="00A3"/>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1A8AB8CF">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2BACF00A">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135D0DBE">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BCED9FC">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900616C">
      <w:pPr>
        <w:spacing w:line="360" w:lineRule="auto"/>
        <w:rPr>
          <w:rFonts w:hint="eastAsia" w:ascii="宋体" w:hAnsi="宋体" w:cs="仿宋_GB2312"/>
          <w:color w:val="auto"/>
          <w:sz w:val="24"/>
          <w:highlight w:val="none"/>
        </w:rPr>
      </w:pPr>
    </w:p>
    <w:p w14:paraId="240F49FE">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w:t>
      </w:r>
    </w:p>
    <w:p w14:paraId="3126FAB4">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法定代表人（签字或者盖章或者电子签名）：                    </w:t>
      </w:r>
    </w:p>
    <w:p w14:paraId="0C94D76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34BDD964">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2E08E292">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供应商名称（电子签章）：                      </w:t>
      </w:r>
    </w:p>
    <w:p w14:paraId="70C8335D">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5A240501">
      <w:pPr>
        <w:spacing w:line="360" w:lineRule="auto"/>
        <w:rPr>
          <w:rFonts w:hint="eastAsia" w:ascii="宋体" w:hAnsi="宋体" w:cs="仿宋_GB2312"/>
          <w:color w:val="auto"/>
          <w:sz w:val="24"/>
          <w:highlight w:val="none"/>
        </w:rPr>
      </w:pPr>
    </w:p>
    <w:p w14:paraId="62A7175C">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25C7A1E1">
      <w:pPr>
        <w:spacing w:line="360" w:lineRule="auto"/>
        <w:ind w:firstLine="480" w:firstLineChars="200"/>
        <w:jc w:val="left"/>
        <w:rPr>
          <w:rFonts w:hint="eastAsia" w:ascii="宋体" w:hAnsi="宋体" w:cs="仿宋_GB2312"/>
          <w:color w:val="auto"/>
          <w:sz w:val="24"/>
          <w:highlight w:val="none"/>
        </w:rPr>
      </w:pPr>
      <w:r>
        <w:rPr>
          <w:rFonts w:ascii="宋体" w:hAnsi="宋体" w:cs="仿宋_GB2312"/>
          <w:color w:val="auto"/>
          <w:sz w:val="24"/>
          <w:highlight w:val="none"/>
        </w:rPr>
        <w:t>2.</w:t>
      </w:r>
      <w:bookmarkStart w:id="84" w:name="_Hlk65853109"/>
      <w:bookmarkStart w:id="85" w:name="_Hlk65853542"/>
      <w:r>
        <w:rPr>
          <w:rFonts w:hint="eastAsia" w:ascii="宋体" w:hAnsi="宋体" w:cs="仿宋_GB2312"/>
          <w:color w:val="auto"/>
          <w:sz w:val="24"/>
          <w:highlight w:val="none"/>
        </w:rPr>
        <w:t>法人、其他组织竞标时“我方”是指“我单位”，自然人竞标时“我方”是指“本人”。</w:t>
      </w:r>
      <w:bookmarkEnd w:id="84"/>
    </w:p>
    <w:bookmarkEnd w:id="85"/>
    <w:p w14:paraId="07B21A0F">
      <w:pPr>
        <w:spacing w:line="360" w:lineRule="auto"/>
        <w:ind w:firstLine="420" w:firstLineChars="200"/>
        <w:jc w:val="left"/>
        <w:rPr>
          <w:rFonts w:hint="eastAsia" w:ascii="仿宋_GB2312" w:hAnsi="仿宋_GB2312" w:eastAsia="仿宋_GB2312" w:cs="仿宋_GB2312"/>
          <w:color w:val="auto"/>
          <w:szCs w:val="21"/>
          <w:highlight w:val="none"/>
        </w:rPr>
      </w:pPr>
    </w:p>
    <w:p w14:paraId="1B07651D">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ascii="仿宋_GB2312" w:hAnsi="仿宋_GB2312" w:eastAsia="仿宋_GB2312" w:cs="仿宋_GB2312"/>
          <w:color w:val="auto"/>
          <w:szCs w:val="21"/>
          <w:highlight w:val="none"/>
        </w:rPr>
        <w:br w:type="page"/>
      </w:r>
      <w:r>
        <w:rPr>
          <w:rFonts w:hint="eastAsia" w:ascii="方正小标宋简体" w:hAnsi="方正小标宋简体" w:eastAsia="方正小标宋简体" w:cs="方正小标宋简体"/>
          <w:color w:val="auto"/>
          <w:sz w:val="44"/>
          <w:szCs w:val="44"/>
          <w:highlight w:val="none"/>
        </w:rPr>
        <w:t>授权委托书</w:t>
      </w:r>
    </w:p>
    <w:p w14:paraId="0D6939D0">
      <w:pPr>
        <w:spacing w:line="500" w:lineRule="exact"/>
        <w:jc w:val="center"/>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（联合体竞标格式）</w:t>
      </w:r>
    </w:p>
    <w:p w14:paraId="5F69B7BD">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7FE1BF19">
      <w:pPr>
        <w:spacing w:line="500" w:lineRule="exact"/>
        <w:jc w:val="center"/>
        <w:rPr>
          <w:rFonts w:ascii="方正小标宋简体" w:hAnsi="方正小标宋简体" w:eastAsia="方正小标宋简体" w:cs="方正小标宋简体"/>
          <w:color w:val="auto"/>
          <w:sz w:val="44"/>
          <w:szCs w:val="44"/>
          <w:highlight w:val="none"/>
        </w:rPr>
      </w:pPr>
    </w:p>
    <w:p w14:paraId="47A6DCFC">
      <w:pPr>
        <w:spacing w:line="500" w:lineRule="exact"/>
        <w:jc w:val="center"/>
        <w:rPr>
          <w:rFonts w:hint="eastAsia" w:ascii="仿宋_GB2312" w:hAnsi="仿宋_GB2312" w:eastAsia="仿宋_GB2312" w:cs="仿宋_GB2312"/>
          <w:color w:val="auto"/>
          <w:sz w:val="32"/>
          <w:szCs w:val="32"/>
          <w:highlight w:val="none"/>
        </w:rPr>
      </w:pPr>
    </w:p>
    <w:p w14:paraId="3422CA7B">
      <w:pPr>
        <w:spacing w:line="360" w:lineRule="auto"/>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本授权委托书声明：根据</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（联合体其他成员名称）签订的《联合体竞标协议书》的内容，</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（牵头人名称）的法定代表人</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（姓名）现授权</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（姓名）为联合委托代理人，并代表我方全权办理针对上述项目的所有采购程序和环节的具体事务和签署相关文件。</w:t>
      </w:r>
    </w:p>
    <w:p w14:paraId="2E8F8D9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19B6274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16ACA38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6A957430">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附：法定代表人身份证明书及委托代理人有效身份证正反面复印件</w:t>
      </w:r>
    </w:p>
    <w:p w14:paraId="4769010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牵头人法定代表人（签字或者盖章或者电子签名）：</w:t>
      </w:r>
    </w:p>
    <w:p w14:paraId="4FB61A2D">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牵头人名称（电子签章）：</w:t>
      </w:r>
    </w:p>
    <w:p w14:paraId="68173EFF">
      <w:pPr>
        <w:spacing w:line="360" w:lineRule="auto"/>
        <w:ind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7BA22BFD">
      <w:pPr>
        <w:spacing w:line="360" w:lineRule="auto"/>
        <w:contextualSpacing/>
        <w:rPr>
          <w:rFonts w:hint="eastAsia" w:ascii="宋体" w:hAnsi="宋体" w:cs="仿宋_GB2312"/>
          <w:color w:val="auto"/>
          <w:sz w:val="24"/>
          <w:highlight w:val="none"/>
        </w:rPr>
      </w:pPr>
    </w:p>
    <w:p w14:paraId="5174A88E">
      <w:pPr>
        <w:spacing w:line="360" w:lineRule="auto"/>
        <w:ind w:firstLine="3120" w:firstLineChars="1300"/>
        <w:contextualSpacing/>
        <w:rPr>
          <w:rFonts w:hint="eastAsia" w:ascii="宋体" w:hAnsi="宋体" w:cs="仿宋_GB2312"/>
          <w:color w:val="auto"/>
          <w:sz w:val="24"/>
          <w:highlight w:val="none"/>
        </w:rPr>
      </w:pPr>
      <w:r>
        <w:rPr>
          <w:rFonts w:hint="eastAsia" w:ascii="宋体" w:hAnsi="宋体" w:cs="仿宋_GB2312"/>
          <w:color w:val="auto"/>
          <w:sz w:val="24"/>
          <w:highlight w:val="none"/>
        </w:rPr>
        <w:t>被授权人（签字或者电子签名）：</w:t>
      </w:r>
    </w:p>
    <w:p w14:paraId="2D425948">
      <w:pPr>
        <w:spacing w:line="360" w:lineRule="auto"/>
        <w:ind w:firstLine="3840" w:firstLineChars="1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032ADF4E">
      <w:pPr>
        <w:spacing w:line="360" w:lineRule="auto"/>
        <w:contextualSpacing/>
        <w:rPr>
          <w:rFonts w:hint="eastAsia" w:ascii="宋体" w:hAnsi="宋体" w:cs="仿宋_GB2312"/>
          <w:color w:val="auto"/>
          <w:sz w:val="24"/>
          <w:highlight w:val="none"/>
        </w:rPr>
      </w:pPr>
    </w:p>
    <w:p w14:paraId="50CD4D2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4BF51BE4">
      <w:pPr>
        <w:spacing w:line="360" w:lineRule="auto"/>
        <w:ind w:firstLine="480" w:firstLineChars="200"/>
        <w:jc w:val="left"/>
        <w:rPr>
          <w:rFonts w:hint="eastAsia" w:ascii="宋体" w:hAnsi="宋体" w:cs="仿宋_GB2312"/>
          <w:color w:val="auto"/>
          <w:spacing w:val="-11"/>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bookmarkEnd w:id="83"/>
    <w:p w14:paraId="39F7A77C">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仿宋_GB2312" w:hAnsi="仿宋_GB2312" w:eastAsia="仿宋_GB2312" w:cs="仿宋_GB2312"/>
          <w:color w:val="auto"/>
          <w:sz w:val="32"/>
          <w:szCs w:val="32"/>
          <w:highlight w:val="none"/>
        </w:rPr>
        <w:br w:type="page"/>
      </w:r>
      <w:r>
        <w:rPr>
          <w:rFonts w:hint="eastAsia" w:ascii="方正小标宋简体" w:hAnsi="方正小标宋简体" w:eastAsia="方正小标宋简体" w:cs="方正小标宋简体"/>
          <w:bCs/>
          <w:color w:val="auto"/>
          <w:sz w:val="44"/>
          <w:szCs w:val="44"/>
          <w:highlight w:val="none"/>
        </w:rPr>
        <w:t>商务要求偏离表</w:t>
      </w:r>
    </w:p>
    <w:p w14:paraId="683B8F0E">
      <w:pPr>
        <w:spacing w:line="360" w:lineRule="auto"/>
        <w:contextualSpacing/>
        <w:jc w:val="left"/>
        <w:rPr>
          <w:rFonts w:hint="eastAsia" w:ascii="宋体" w:hAnsi="宋体"/>
          <w:color w:val="auto"/>
          <w:sz w:val="24"/>
          <w:highlight w:val="none"/>
        </w:rPr>
      </w:pPr>
    </w:p>
    <w:p w14:paraId="3EF77BBF">
      <w:pPr>
        <w:spacing w:line="360" w:lineRule="auto"/>
        <w:contextualSpacing/>
        <w:rPr>
          <w:rFonts w:ascii="宋体" w:hAnsi="宋体" w:cs="仿宋_GB2312"/>
          <w:color w:val="auto"/>
          <w:sz w:val="24"/>
          <w:highlight w:val="none"/>
        </w:rPr>
      </w:pPr>
    </w:p>
    <w:p w14:paraId="493A3F08">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62F941A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1AB973D9">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s="仿宋_GB2312"/>
          <w:color w:val="auto"/>
          <w:sz w:val="24"/>
          <w:highlight w:val="none"/>
          <w:u w:val="single"/>
        </w:rPr>
        <w:t xml:space="preserve">                       </w:t>
      </w:r>
    </w:p>
    <w:p w14:paraId="4AFC8F45">
      <w:pPr>
        <w:spacing w:line="360" w:lineRule="auto"/>
        <w:contextualSpacing/>
        <w:jc w:val="left"/>
        <w:rPr>
          <w:rFonts w:hint="eastAsia" w:ascii="宋体" w:hAnsi="宋体" w:cs="仿宋_GB2312"/>
          <w:color w:val="auto"/>
          <w:sz w:val="24"/>
          <w:highlight w:val="none"/>
          <w:u w:val="single"/>
        </w:rPr>
      </w:pPr>
    </w:p>
    <w:tbl>
      <w:tblPr>
        <w:tblStyle w:val="24"/>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25C1B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40F22DEF">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F7B16A5">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D32EACC">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FD90738">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2A7B96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1EBFAA6C">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531244B">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2C7F086">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8FE4DEA">
            <w:pPr>
              <w:spacing w:line="360" w:lineRule="auto"/>
              <w:contextualSpacing/>
              <w:jc w:val="center"/>
              <w:rPr>
                <w:rFonts w:hint="eastAsia" w:ascii="宋体" w:hAnsi="宋体" w:cs="仿宋_GB2312"/>
                <w:color w:val="auto"/>
                <w:sz w:val="24"/>
                <w:highlight w:val="none"/>
              </w:rPr>
            </w:pPr>
          </w:p>
        </w:tc>
      </w:tr>
      <w:tr w14:paraId="269C1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7DD1A073">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0FFB159">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63FF985">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FE27C1B">
            <w:pPr>
              <w:spacing w:line="360" w:lineRule="auto"/>
              <w:contextualSpacing/>
              <w:jc w:val="center"/>
              <w:rPr>
                <w:rFonts w:hint="eastAsia" w:ascii="宋体" w:hAnsi="宋体" w:cs="仿宋_GB2312"/>
                <w:color w:val="auto"/>
                <w:sz w:val="24"/>
                <w:highlight w:val="none"/>
              </w:rPr>
            </w:pPr>
          </w:p>
        </w:tc>
      </w:tr>
      <w:tr w14:paraId="62C4F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6F444005">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4AB0FBB">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FA98174">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3B87AC79">
            <w:pPr>
              <w:spacing w:line="360" w:lineRule="auto"/>
              <w:contextualSpacing/>
              <w:jc w:val="center"/>
              <w:rPr>
                <w:rFonts w:hint="eastAsia" w:ascii="宋体" w:hAnsi="宋体" w:cs="仿宋_GB2312"/>
                <w:color w:val="auto"/>
                <w:sz w:val="24"/>
                <w:highlight w:val="none"/>
              </w:rPr>
            </w:pPr>
          </w:p>
        </w:tc>
      </w:tr>
      <w:tr w14:paraId="11EB8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1F115A2E">
            <w:pPr>
              <w:jc w:val="center"/>
              <w:rPr>
                <w:rFonts w:hint="eastAsia" w:ascii="宋体" w:hAnsi="宋体"/>
                <w:b/>
                <w:color w:val="auto"/>
                <w:sz w:val="22"/>
                <w:szCs w:val="22"/>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4549167">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5526996">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171BDD4">
            <w:pPr>
              <w:spacing w:line="360" w:lineRule="auto"/>
              <w:contextualSpacing/>
              <w:jc w:val="center"/>
              <w:rPr>
                <w:rFonts w:hint="eastAsia" w:ascii="宋体" w:hAnsi="宋体" w:cs="仿宋_GB2312"/>
                <w:color w:val="auto"/>
                <w:sz w:val="24"/>
                <w:highlight w:val="none"/>
              </w:rPr>
            </w:pPr>
          </w:p>
        </w:tc>
      </w:tr>
      <w:tr w14:paraId="17C2A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36B683FF">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2912F69">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AFD7CCD">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A242FF7">
            <w:pPr>
              <w:spacing w:line="360" w:lineRule="auto"/>
              <w:contextualSpacing/>
              <w:jc w:val="center"/>
              <w:rPr>
                <w:rFonts w:hint="eastAsia" w:ascii="宋体" w:hAnsi="宋体" w:cs="仿宋_GB2312"/>
                <w:color w:val="auto"/>
                <w:sz w:val="24"/>
                <w:highlight w:val="none"/>
              </w:rPr>
            </w:pPr>
          </w:p>
        </w:tc>
      </w:tr>
      <w:tr w14:paraId="7410EA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3687A5AB">
            <w:pPr>
              <w:jc w:val="center"/>
              <w:rPr>
                <w:rFonts w:ascii="宋体" w:hAnsi="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585422F">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62281EC">
            <w:pPr>
              <w:spacing w:line="360" w:lineRule="auto"/>
              <w:ind w:left="43"/>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23316EAA">
            <w:pPr>
              <w:spacing w:line="360" w:lineRule="auto"/>
              <w:ind w:left="43"/>
              <w:contextualSpacing/>
              <w:jc w:val="center"/>
              <w:rPr>
                <w:rFonts w:hint="eastAsia" w:ascii="宋体" w:hAnsi="宋体" w:cs="仿宋_GB2312"/>
                <w:color w:val="auto"/>
                <w:sz w:val="24"/>
                <w:highlight w:val="none"/>
              </w:rPr>
            </w:pPr>
          </w:p>
        </w:tc>
      </w:tr>
      <w:tr w14:paraId="7E6366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3CF73C5B">
            <w:pPr>
              <w:jc w:val="center"/>
              <w:rPr>
                <w:rFonts w:hint="eastAsia" w:ascii="宋体" w:hAnsi="宋体"/>
                <w:b/>
                <w:color w:val="auto"/>
                <w:sz w:val="22"/>
                <w:szCs w:val="22"/>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FBCD5D8">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4D5D82E">
            <w:pPr>
              <w:spacing w:line="360" w:lineRule="auto"/>
              <w:ind w:left="43"/>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24087FE2">
            <w:pPr>
              <w:spacing w:line="360" w:lineRule="auto"/>
              <w:ind w:left="43"/>
              <w:contextualSpacing/>
              <w:jc w:val="center"/>
              <w:rPr>
                <w:rFonts w:hint="eastAsia" w:ascii="宋体" w:hAnsi="宋体" w:cs="仿宋_GB2312"/>
                <w:color w:val="auto"/>
                <w:sz w:val="24"/>
                <w:highlight w:val="none"/>
              </w:rPr>
            </w:pPr>
          </w:p>
        </w:tc>
      </w:tr>
      <w:tr w14:paraId="449ED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178FE275">
            <w:pPr>
              <w:jc w:val="center"/>
              <w:rPr>
                <w:rFonts w:hint="eastAsia" w:ascii="宋体" w:hAnsi="宋体"/>
                <w:b/>
                <w:color w:val="auto"/>
                <w:sz w:val="22"/>
                <w:szCs w:val="22"/>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93C7031">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AD314C5">
            <w:pPr>
              <w:spacing w:line="360" w:lineRule="auto"/>
              <w:ind w:left="43"/>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1D66BFF1">
            <w:pPr>
              <w:spacing w:line="360" w:lineRule="auto"/>
              <w:ind w:left="43"/>
              <w:contextualSpacing/>
              <w:jc w:val="center"/>
              <w:rPr>
                <w:rFonts w:hint="eastAsia" w:ascii="宋体" w:hAnsi="宋体" w:cs="仿宋_GB2312"/>
                <w:color w:val="auto"/>
                <w:sz w:val="24"/>
                <w:highlight w:val="none"/>
              </w:rPr>
            </w:pPr>
          </w:p>
        </w:tc>
      </w:tr>
      <w:tr w14:paraId="7CD44B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14:paraId="7921F42C">
            <w:pPr>
              <w:spacing w:line="360" w:lineRule="auto"/>
              <w:contextualSpacing/>
              <w:jc w:val="both"/>
              <w:rPr>
                <w:rFonts w:hint="eastAsia" w:ascii="宋体" w:hAnsi="宋体" w:cs="仿宋_GB2312"/>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065CC75">
            <w:pPr>
              <w:spacing w:line="360" w:lineRule="auto"/>
              <w:contextualSpacing/>
              <w:jc w:val="center"/>
              <w:rPr>
                <w:rFonts w:hint="eastAsia" w:ascii="宋体" w:hAnsi="宋体" w:cs="仿宋_GB2312"/>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800FDA1">
            <w:pPr>
              <w:spacing w:line="360" w:lineRule="auto"/>
              <w:contextualSpacing/>
              <w:jc w:val="center"/>
              <w:rPr>
                <w:rFonts w:hint="eastAsia" w:ascii="宋体" w:hAnsi="宋体" w:cs="仿宋_GB2312"/>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442BA09">
            <w:pPr>
              <w:spacing w:line="360" w:lineRule="auto"/>
              <w:contextualSpacing/>
              <w:jc w:val="center"/>
              <w:rPr>
                <w:rFonts w:hint="eastAsia" w:ascii="宋体" w:hAnsi="宋体" w:cs="仿宋_GB2312"/>
                <w:color w:val="auto"/>
                <w:sz w:val="24"/>
                <w:highlight w:val="none"/>
              </w:rPr>
            </w:pPr>
          </w:p>
        </w:tc>
      </w:tr>
    </w:tbl>
    <w:p w14:paraId="4D2CB18F">
      <w:pPr>
        <w:pStyle w:val="10"/>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注：</w:t>
      </w:r>
    </w:p>
    <w:p w14:paraId="6821D984">
      <w:pPr>
        <w:pStyle w:val="10"/>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1. 说明：应对照磋商文件“第三章 采购需求”中的“</w:t>
      </w:r>
      <w:r>
        <w:rPr>
          <w:rFonts w:hint="eastAsia" w:ascii="宋体" w:hAnsi="宋体"/>
          <w:b/>
          <w:color w:val="auto"/>
          <w:sz w:val="22"/>
          <w:szCs w:val="22"/>
          <w:highlight w:val="none"/>
        </w:rPr>
        <w:t>商务要求</w:t>
      </w:r>
      <w:r>
        <w:rPr>
          <w:rFonts w:hint="eastAsia" w:ascii="宋体" w:hAnsi="宋体"/>
          <w:color w:val="auto"/>
          <w:kern w:val="0"/>
          <w:sz w:val="24"/>
          <w:szCs w:val="24"/>
          <w:highlight w:val="none"/>
        </w:rPr>
        <w:t>”逐条作出明确响应，并作出偏离说明。</w:t>
      </w:r>
    </w:p>
    <w:p w14:paraId="248E5807">
      <w:pPr>
        <w:spacing w:line="360" w:lineRule="auto"/>
        <w:contextualSpacing/>
        <w:jc w:val="left"/>
        <w:rPr>
          <w:rFonts w:hint="eastAsia" w:ascii="宋体" w:hAnsi="宋体" w:cs="仿宋_GB2312"/>
          <w:color w:val="auto"/>
          <w:sz w:val="24"/>
          <w:highlight w:val="none"/>
          <w:u w:val="single"/>
        </w:rPr>
      </w:pPr>
      <w:r>
        <w:rPr>
          <w:rFonts w:hint="eastAsia" w:ascii="宋体" w:hAnsi="宋体"/>
          <w:color w:val="auto"/>
          <w:kern w:val="0"/>
          <w:sz w:val="24"/>
          <w:highlight w:val="none"/>
        </w:rPr>
        <w:t>2.供应商应根据自身的承诺，对照磋商文件要求在“偏离说明”中注明“正偏离”“负偏离”或者“无偏离”。既不属于“正偏离”也不属于“负偏离”即为“无偏离”。</w:t>
      </w:r>
    </w:p>
    <w:p w14:paraId="120723FF">
      <w:pPr>
        <w:spacing w:line="360" w:lineRule="auto"/>
        <w:ind w:right="-817" w:rightChars="-389"/>
        <w:contextualSpacing/>
        <w:rPr>
          <w:rFonts w:hint="eastAsia" w:ascii="宋体" w:hAnsi="宋体" w:cs="仿宋_GB2312"/>
          <w:color w:val="auto"/>
          <w:sz w:val="24"/>
          <w:highlight w:val="none"/>
        </w:rPr>
      </w:pPr>
    </w:p>
    <w:p w14:paraId="67F9DBA3">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40454212">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1C97EBEF">
      <w:pPr>
        <w:spacing w:line="360" w:lineRule="auto"/>
        <w:ind w:right="-817" w:rightChars="-389" w:firstLine="4080" w:firstLineChars="1700"/>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0D335903">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6160C448">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44C6B03A">
      <w:pPr>
        <w:adjustRightInd w:val="0"/>
        <w:snapToGrid w:val="0"/>
        <w:spacing w:line="30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技术要求偏离表</w:t>
      </w:r>
    </w:p>
    <w:p w14:paraId="20283E7E">
      <w:pPr>
        <w:spacing w:line="520" w:lineRule="exact"/>
        <w:rPr>
          <w:rFonts w:hint="eastAsia" w:ascii="仿宋_GB2312" w:hAnsi="仿宋_GB2312" w:eastAsia="仿宋_GB2312" w:cs="仿宋_GB2312"/>
          <w:color w:val="auto"/>
          <w:sz w:val="32"/>
          <w:szCs w:val="32"/>
          <w:highlight w:val="none"/>
        </w:rPr>
      </w:pPr>
    </w:p>
    <w:p w14:paraId="3B419F14">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0468983C">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19B30C9D">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s="仿宋_GB2312"/>
          <w:color w:val="auto"/>
          <w:sz w:val="24"/>
          <w:highlight w:val="none"/>
          <w:u w:val="single"/>
        </w:rPr>
        <w:t xml:space="preserve">                       </w:t>
      </w:r>
    </w:p>
    <w:tbl>
      <w:tblPr>
        <w:tblStyle w:val="24"/>
        <w:tblW w:w="4744"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57"/>
        <w:gridCol w:w="3510"/>
        <w:gridCol w:w="3161"/>
        <w:gridCol w:w="1724"/>
      </w:tblGrid>
      <w:tr w14:paraId="21EA5C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9" w:hRule="atLeast"/>
          <w:jc w:val="center"/>
        </w:trPr>
        <w:tc>
          <w:tcPr>
            <w:tcW w:w="559" w:type="pct"/>
            <w:tcBorders>
              <w:right w:val="single" w:color="auto" w:sz="4" w:space="0"/>
            </w:tcBorders>
            <w:noWrap w:val="0"/>
            <w:vAlign w:val="center"/>
          </w:tcPr>
          <w:p w14:paraId="53E59C50">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标的名称</w:t>
            </w:r>
          </w:p>
        </w:tc>
        <w:tc>
          <w:tcPr>
            <w:tcW w:w="1857" w:type="pct"/>
            <w:tcBorders>
              <w:left w:val="single" w:color="auto" w:sz="4" w:space="0"/>
            </w:tcBorders>
            <w:noWrap w:val="0"/>
            <w:vAlign w:val="center"/>
          </w:tcPr>
          <w:p w14:paraId="05821210">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磋商文件技术要求</w:t>
            </w:r>
          </w:p>
        </w:tc>
        <w:tc>
          <w:tcPr>
            <w:tcW w:w="1672" w:type="pct"/>
            <w:noWrap w:val="0"/>
            <w:vAlign w:val="center"/>
          </w:tcPr>
          <w:p w14:paraId="7B9A40E6">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供应商的响应</w:t>
            </w:r>
          </w:p>
        </w:tc>
        <w:tc>
          <w:tcPr>
            <w:tcW w:w="912" w:type="pct"/>
            <w:noWrap w:val="0"/>
            <w:vAlign w:val="center"/>
          </w:tcPr>
          <w:p w14:paraId="03F88C2B">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bookmarkStart w:id="86" w:name="_Toc254970591"/>
            <w:bookmarkStart w:id="87" w:name="_Toc301781614"/>
            <w:bookmarkStart w:id="88" w:name="_Toc373333692"/>
            <w:bookmarkStart w:id="89" w:name="_Toc254970732"/>
            <w:bookmarkStart w:id="90" w:name="_Toc297193188"/>
            <w:bookmarkStart w:id="91" w:name="_Toc295404984"/>
            <w:bookmarkStart w:id="92" w:name="_Toc173211903"/>
            <w:bookmarkStart w:id="93" w:name="_Toc173066404"/>
            <w:bookmarkStart w:id="94" w:name="_Toc383699909"/>
            <w:r>
              <w:rPr>
                <w:rFonts w:hint="eastAsia" w:ascii="宋体" w:hAnsi="宋体" w:eastAsia="宋体" w:cs="仿宋_GB2312"/>
                <w:color w:val="auto"/>
                <w:kern w:val="2"/>
                <w:sz w:val="24"/>
                <w:szCs w:val="24"/>
                <w:highlight w:val="none"/>
                <w:lang w:val="en-US" w:eastAsia="zh-CN"/>
              </w:rPr>
              <w:t>偏离</w:t>
            </w:r>
            <w:bookmarkEnd w:id="86"/>
            <w:bookmarkEnd w:id="87"/>
            <w:bookmarkEnd w:id="88"/>
            <w:bookmarkEnd w:id="89"/>
            <w:bookmarkEnd w:id="90"/>
            <w:bookmarkEnd w:id="91"/>
            <w:bookmarkEnd w:id="92"/>
            <w:bookmarkEnd w:id="93"/>
            <w:bookmarkEnd w:id="94"/>
            <w:bookmarkStart w:id="95" w:name="_Toc297193189"/>
            <w:bookmarkStart w:id="96" w:name="_Toc383699910"/>
            <w:bookmarkStart w:id="97" w:name="_Toc295404985"/>
            <w:bookmarkStart w:id="98" w:name="_Toc301781615"/>
            <w:bookmarkStart w:id="99" w:name="_Toc173211904"/>
            <w:bookmarkStart w:id="100" w:name="_Toc254970733"/>
            <w:bookmarkStart w:id="101" w:name="_Toc173066405"/>
            <w:bookmarkStart w:id="102" w:name="_Toc254970592"/>
            <w:bookmarkStart w:id="103" w:name="_Toc373333693"/>
            <w:r>
              <w:rPr>
                <w:rFonts w:hint="eastAsia" w:ascii="宋体" w:hAnsi="宋体" w:eastAsia="宋体" w:cs="仿宋_GB2312"/>
                <w:color w:val="auto"/>
                <w:kern w:val="2"/>
                <w:sz w:val="24"/>
                <w:szCs w:val="24"/>
                <w:highlight w:val="none"/>
                <w:lang w:val="en-US" w:eastAsia="zh-CN"/>
              </w:rPr>
              <w:t>说明</w:t>
            </w:r>
            <w:bookmarkEnd w:id="95"/>
            <w:bookmarkEnd w:id="96"/>
            <w:bookmarkEnd w:id="97"/>
            <w:bookmarkEnd w:id="98"/>
            <w:bookmarkEnd w:id="99"/>
            <w:bookmarkEnd w:id="100"/>
            <w:bookmarkEnd w:id="101"/>
            <w:bookmarkEnd w:id="102"/>
            <w:bookmarkEnd w:id="103"/>
          </w:p>
        </w:tc>
      </w:tr>
      <w:tr w14:paraId="1EA221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9" w:hRule="atLeast"/>
          <w:jc w:val="center"/>
        </w:trPr>
        <w:tc>
          <w:tcPr>
            <w:tcW w:w="559" w:type="pct"/>
            <w:tcBorders>
              <w:right w:val="single" w:color="auto" w:sz="4" w:space="0"/>
            </w:tcBorders>
            <w:noWrap w:val="0"/>
            <w:vAlign w:val="center"/>
          </w:tcPr>
          <w:p w14:paraId="76DAD34F">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857" w:type="pct"/>
            <w:tcBorders>
              <w:left w:val="single" w:color="auto" w:sz="4" w:space="0"/>
            </w:tcBorders>
            <w:noWrap w:val="0"/>
            <w:vAlign w:val="center"/>
          </w:tcPr>
          <w:p w14:paraId="6961B005">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672" w:type="pct"/>
            <w:noWrap w:val="0"/>
            <w:vAlign w:val="center"/>
          </w:tcPr>
          <w:p w14:paraId="4703982E">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912" w:type="pct"/>
            <w:noWrap w:val="0"/>
            <w:vAlign w:val="center"/>
          </w:tcPr>
          <w:p w14:paraId="25C883DE">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676A71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9" w:hRule="atLeast"/>
          <w:jc w:val="center"/>
        </w:trPr>
        <w:tc>
          <w:tcPr>
            <w:tcW w:w="559" w:type="pct"/>
            <w:tcBorders>
              <w:right w:val="single" w:color="auto" w:sz="4" w:space="0"/>
            </w:tcBorders>
            <w:noWrap w:val="0"/>
            <w:vAlign w:val="center"/>
          </w:tcPr>
          <w:p w14:paraId="72480BC0">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857" w:type="pct"/>
            <w:tcBorders>
              <w:left w:val="single" w:color="auto" w:sz="4" w:space="0"/>
            </w:tcBorders>
            <w:noWrap w:val="0"/>
            <w:vAlign w:val="center"/>
          </w:tcPr>
          <w:p w14:paraId="18BAA8C9">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672" w:type="pct"/>
            <w:noWrap w:val="0"/>
            <w:vAlign w:val="center"/>
          </w:tcPr>
          <w:p w14:paraId="153FD557">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912" w:type="pct"/>
            <w:noWrap w:val="0"/>
            <w:vAlign w:val="center"/>
          </w:tcPr>
          <w:p w14:paraId="1028A370">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2935D0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9" w:hRule="atLeast"/>
          <w:jc w:val="center"/>
        </w:trPr>
        <w:tc>
          <w:tcPr>
            <w:tcW w:w="559" w:type="pct"/>
            <w:tcBorders>
              <w:right w:val="single" w:color="auto" w:sz="4" w:space="0"/>
            </w:tcBorders>
            <w:noWrap w:val="0"/>
            <w:vAlign w:val="center"/>
          </w:tcPr>
          <w:p w14:paraId="15C9758F">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857" w:type="pct"/>
            <w:tcBorders>
              <w:left w:val="single" w:color="auto" w:sz="4" w:space="0"/>
            </w:tcBorders>
            <w:noWrap w:val="0"/>
            <w:vAlign w:val="center"/>
          </w:tcPr>
          <w:p w14:paraId="5F8BEF63">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672" w:type="pct"/>
            <w:noWrap w:val="0"/>
            <w:vAlign w:val="center"/>
          </w:tcPr>
          <w:p w14:paraId="33E2634A">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912" w:type="pct"/>
            <w:noWrap w:val="0"/>
            <w:vAlign w:val="center"/>
          </w:tcPr>
          <w:p w14:paraId="2FE42476">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4F0AC4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9" w:hRule="atLeast"/>
          <w:jc w:val="center"/>
        </w:trPr>
        <w:tc>
          <w:tcPr>
            <w:tcW w:w="559" w:type="pct"/>
            <w:tcBorders>
              <w:right w:val="single" w:color="auto" w:sz="4" w:space="0"/>
            </w:tcBorders>
            <w:noWrap w:val="0"/>
            <w:vAlign w:val="center"/>
          </w:tcPr>
          <w:p w14:paraId="12BF1236">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857" w:type="pct"/>
            <w:tcBorders>
              <w:left w:val="single" w:color="auto" w:sz="4" w:space="0"/>
            </w:tcBorders>
            <w:noWrap w:val="0"/>
            <w:vAlign w:val="center"/>
          </w:tcPr>
          <w:p w14:paraId="651AC7EF">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672" w:type="pct"/>
            <w:noWrap w:val="0"/>
            <w:vAlign w:val="center"/>
          </w:tcPr>
          <w:p w14:paraId="35B52D41">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912" w:type="pct"/>
            <w:noWrap w:val="0"/>
            <w:vAlign w:val="center"/>
          </w:tcPr>
          <w:p w14:paraId="350904E5">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6BC54F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9" w:hRule="atLeast"/>
          <w:jc w:val="center"/>
        </w:trPr>
        <w:tc>
          <w:tcPr>
            <w:tcW w:w="559" w:type="pct"/>
            <w:tcBorders>
              <w:right w:val="single" w:color="auto" w:sz="4" w:space="0"/>
            </w:tcBorders>
            <w:noWrap w:val="0"/>
            <w:vAlign w:val="center"/>
          </w:tcPr>
          <w:p w14:paraId="3CFC4DF1">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857" w:type="pct"/>
            <w:tcBorders>
              <w:left w:val="single" w:color="auto" w:sz="4" w:space="0"/>
            </w:tcBorders>
            <w:noWrap w:val="0"/>
            <w:vAlign w:val="center"/>
          </w:tcPr>
          <w:p w14:paraId="64797004">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672" w:type="pct"/>
            <w:noWrap w:val="0"/>
            <w:vAlign w:val="center"/>
          </w:tcPr>
          <w:p w14:paraId="5E9221EE">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912" w:type="pct"/>
            <w:noWrap w:val="0"/>
            <w:vAlign w:val="center"/>
          </w:tcPr>
          <w:p w14:paraId="42A00998">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r>
      <w:tr w14:paraId="0F7278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559" w:type="pct"/>
            <w:tcBorders>
              <w:right w:val="single" w:color="auto" w:sz="4" w:space="0"/>
            </w:tcBorders>
            <w:noWrap w:val="0"/>
            <w:vAlign w:val="center"/>
          </w:tcPr>
          <w:p w14:paraId="121989DB">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857" w:type="pct"/>
            <w:tcBorders>
              <w:left w:val="single" w:color="auto" w:sz="4" w:space="0"/>
            </w:tcBorders>
            <w:noWrap w:val="0"/>
            <w:vAlign w:val="center"/>
          </w:tcPr>
          <w:p w14:paraId="5226A965">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1672" w:type="pct"/>
            <w:noWrap w:val="0"/>
            <w:vAlign w:val="center"/>
          </w:tcPr>
          <w:p w14:paraId="6E841A63">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c>
          <w:tcPr>
            <w:tcW w:w="912" w:type="pct"/>
            <w:tcBorders>
              <w:right w:val="single" w:color="auto" w:sz="4" w:space="0"/>
            </w:tcBorders>
            <w:noWrap w:val="0"/>
            <w:vAlign w:val="center"/>
          </w:tcPr>
          <w:p w14:paraId="209C4A6B">
            <w:pPr>
              <w:pStyle w:val="12"/>
              <w:spacing w:line="360" w:lineRule="auto"/>
              <w:ind w:firstLine="0" w:firstLineChars="0"/>
              <w:contextualSpacing/>
              <w:jc w:val="center"/>
              <w:rPr>
                <w:rFonts w:hint="eastAsia" w:ascii="宋体" w:hAnsi="宋体" w:eastAsia="宋体" w:cs="仿宋_GB2312"/>
                <w:color w:val="auto"/>
                <w:kern w:val="2"/>
                <w:sz w:val="24"/>
                <w:szCs w:val="24"/>
                <w:highlight w:val="none"/>
                <w:lang w:val="en-US" w:eastAsia="zh-CN"/>
              </w:rPr>
            </w:pPr>
          </w:p>
        </w:tc>
      </w:tr>
    </w:tbl>
    <w:p w14:paraId="74D1CD39">
      <w:pPr>
        <w:adjustRightInd w:val="0"/>
        <w:spacing w:line="360" w:lineRule="auto"/>
        <w:contextualSpacing/>
        <w:rPr>
          <w:rFonts w:hint="eastAsia" w:ascii="宋体" w:hAnsi="宋体" w:cs="仿宋_GB2312"/>
          <w:color w:val="auto"/>
          <w:sz w:val="24"/>
          <w:highlight w:val="none"/>
        </w:rPr>
      </w:pPr>
    </w:p>
    <w:p w14:paraId="18F33936">
      <w:pPr>
        <w:pStyle w:val="12"/>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791FB96C">
      <w:pPr>
        <w:pStyle w:val="12"/>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w:t>
      </w:r>
      <w:r>
        <w:rPr>
          <w:rFonts w:hint="eastAsia" w:ascii="宋体" w:hAnsi="宋体" w:eastAsia="宋体" w:cs="仿宋_GB2312"/>
          <w:color w:val="auto"/>
          <w:sz w:val="24"/>
          <w:szCs w:val="24"/>
          <w:highlight w:val="none"/>
          <w:lang w:val="en-US" w:eastAsia="zh-CN"/>
        </w:rPr>
        <w:t>技术</w:t>
      </w:r>
      <w:r>
        <w:rPr>
          <w:rFonts w:hint="eastAsia" w:ascii="宋体" w:hAnsi="宋体" w:eastAsia="宋体" w:cs="仿宋_GB2312"/>
          <w:color w:val="auto"/>
          <w:sz w:val="24"/>
          <w:szCs w:val="24"/>
          <w:highlight w:val="none"/>
        </w:rPr>
        <w:t>要求逐条作出明确响应，并作出偏离说明。</w:t>
      </w:r>
    </w:p>
    <w:p w14:paraId="39A2FD2F">
      <w:pPr>
        <w:pStyle w:val="12"/>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2.供应商应根据自身的承诺，对照磋商文件要求，在“偏离说明”中注明“正偏离”“负偏离”或者“无偏离”。既不属于“正偏离”也不属于“负偏离”即为“无偏离”。</w:t>
      </w:r>
    </w:p>
    <w:p w14:paraId="2543072D">
      <w:pPr>
        <w:spacing w:line="360" w:lineRule="auto"/>
        <w:ind w:right="-817" w:rightChars="-389"/>
        <w:contextualSpacing/>
        <w:rPr>
          <w:rFonts w:hint="eastAsia" w:ascii="宋体" w:hAnsi="宋体" w:cs="仿宋_GB2312"/>
          <w:color w:val="auto"/>
          <w:sz w:val="24"/>
          <w:highlight w:val="none"/>
        </w:rPr>
      </w:pPr>
    </w:p>
    <w:p w14:paraId="7579BBB3">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32FE7246">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1806B115">
      <w:pPr>
        <w:spacing w:line="360" w:lineRule="auto"/>
        <w:ind w:right="-817" w:rightChars="-389"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76853C1D">
      <w:pPr>
        <w:snapToGrid w:val="0"/>
        <w:spacing w:before="120" w:beforeLines="50" w:after="50"/>
        <w:ind w:left="142"/>
        <w:jc w:val="left"/>
        <w:rPr>
          <w:rFonts w:hint="eastAsia" w:ascii="宋体" w:hAnsi="宋体"/>
          <w:b/>
          <w:color w:val="auto"/>
          <w:sz w:val="24"/>
          <w:highlight w:val="none"/>
        </w:rPr>
      </w:pPr>
      <w:r>
        <w:rPr>
          <w:rFonts w:ascii="宋体" w:hAnsi="宋体" w:cs="仿宋_GB2312"/>
          <w:color w:val="auto"/>
          <w:sz w:val="24"/>
          <w:highlight w:val="none"/>
        </w:rPr>
        <w:br w:type="page"/>
      </w:r>
      <w:r>
        <w:rPr>
          <w:rFonts w:hint="eastAsia" w:ascii="宋体" w:hAnsi="宋体"/>
          <w:b/>
          <w:color w:val="auto"/>
          <w:sz w:val="24"/>
          <w:highlight w:val="none"/>
        </w:rPr>
        <w:t>项目实施人员一览表格式</w:t>
      </w:r>
    </w:p>
    <w:p w14:paraId="40BB3E73">
      <w:pPr>
        <w:snapToGrid w:val="0"/>
        <w:spacing w:before="120" w:beforeLines="50" w:after="50"/>
        <w:ind w:left="142"/>
        <w:jc w:val="left"/>
        <w:rPr>
          <w:rFonts w:hint="eastAsia" w:ascii="宋体" w:hAnsi="宋体"/>
          <w:b/>
          <w:color w:val="auto"/>
          <w:sz w:val="24"/>
          <w:highlight w:val="none"/>
        </w:rPr>
      </w:pPr>
    </w:p>
    <w:p w14:paraId="19FE9802">
      <w:pPr>
        <w:spacing w:line="360" w:lineRule="auto"/>
        <w:ind w:left="142"/>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p w14:paraId="29E802F8">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6DA56E8E">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150E23A1">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s="仿宋_GB2312"/>
          <w:color w:val="auto"/>
          <w:sz w:val="24"/>
          <w:highlight w:val="none"/>
          <w:u w:val="single"/>
        </w:rPr>
        <w:t xml:space="preserve">                       </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5C3D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7F2EDCB">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姓名</w:t>
            </w:r>
          </w:p>
        </w:tc>
        <w:tc>
          <w:tcPr>
            <w:tcW w:w="709" w:type="dxa"/>
            <w:noWrap w:val="0"/>
            <w:vAlign w:val="center"/>
          </w:tcPr>
          <w:p w14:paraId="07A7E6C7">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职务</w:t>
            </w:r>
          </w:p>
        </w:tc>
        <w:tc>
          <w:tcPr>
            <w:tcW w:w="1701" w:type="dxa"/>
            <w:noWrap w:val="0"/>
            <w:vAlign w:val="center"/>
          </w:tcPr>
          <w:p w14:paraId="5A345997">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noWrap w:val="0"/>
            <w:vAlign w:val="center"/>
          </w:tcPr>
          <w:p w14:paraId="13971543">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证书编号</w:t>
            </w:r>
          </w:p>
        </w:tc>
        <w:tc>
          <w:tcPr>
            <w:tcW w:w="1698" w:type="dxa"/>
            <w:noWrap w:val="0"/>
            <w:vAlign w:val="center"/>
          </w:tcPr>
          <w:p w14:paraId="674B8051">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参加本单位</w:t>
            </w:r>
          </w:p>
          <w:p w14:paraId="20A650F1">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工作时间</w:t>
            </w:r>
          </w:p>
        </w:tc>
        <w:tc>
          <w:tcPr>
            <w:tcW w:w="1843" w:type="dxa"/>
            <w:noWrap w:val="0"/>
            <w:vAlign w:val="center"/>
          </w:tcPr>
          <w:p w14:paraId="31452CC4">
            <w:pPr>
              <w:spacing w:line="360" w:lineRule="auto"/>
              <w:contextualSpacing/>
              <w:jc w:val="center"/>
              <w:rPr>
                <w:rFonts w:hint="eastAsia" w:ascii="宋体" w:hAnsi="宋体"/>
                <w:color w:val="auto"/>
                <w:sz w:val="24"/>
                <w:szCs w:val="20"/>
                <w:highlight w:val="none"/>
              </w:rPr>
            </w:pPr>
            <w:r>
              <w:rPr>
                <w:rFonts w:hint="eastAsia" w:ascii="宋体" w:hAnsi="宋体"/>
                <w:color w:val="auto"/>
                <w:sz w:val="24"/>
                <w:szCs w:val="20"/>
                <w:highlight w:val="none"/>
              </w:rPr>
              <w:t>劳动合同编号</w:t>
            </w:r>
          </w:p>
        </w:tc>
      </w:tr>
      <w:tr w14:paraId="54E5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50913C70">
            <w:pPr>
              <w:spacing w:line="360" w:lineRule="auto"/>
              <w:contextualSpacing/>
              <w:jc w:val="center"/>
              <w:rPr>
                <w:rFonts w:hint="eastAsia" w:ascii="宋体" w:hAnsi="宋体"/>
                <w:color w:val="auto"/>
                <w:sz w:val="24"/>
                <w:szCs w:val="20"/>
                <w:highlight w:val="none"/>
              </w:rPr>
            </w:pPr>
          </w:p>
        </w:tc>
        <w:tc>
          <w:tcPr>
            <w:tcW w:w="709" w:type="dxa"/>
            <w:noWrap w:val="0"/>
            <w:vAlign w:val="center"/>
          </w:tcPr>
          <w:p w14:paraId="3B7FB993">
            <w:pPr>
              <w:spacing w:line="360" w:lineRule="auto"/>
              <w:contextualSpacing/>
              <w:jc w:val="center"/>
              <w:rPr>
                <w:rFonts w:hint="eastAsia" w:ascii="宋体" w:hAnsi="宋体"/>
                <w:color w:val="auto"/>
                <w:sz w:val="24"/>
                <w:szCs w:val="20"/>
                <w:highlight w:val="none"/>
              </w:rPr>
            </w:pPr>
          </w:p>
        </w:tc>
        <w:tc>
          <w:tcPr>
            <w:tcW w:w="1701" w:type="dxa"/>
            <w:noWrap w:val="0"/>
            <w:vAlign w:val="center"/>
          </w:tcPr>
          <w:p w14:paraId="6024BE61">
            <w:pPr>
              <w:spacing w:line="360" w:lineRule="auto"/>
              <w:contextualSpacing/>
              <w:jc w:val="center"/>
              <w:rPr>
                <w:rFonts w:hint="eastAsia" w:ascii="宋体" w:hAnsi="宋体"/>
                <w:color w:val="auto"/>
                <w:sz w:val="24"/>
                <w:szCs w:val="20"/>
                <w:highlight w:val="none"/>
              </w:rPr>
            </w:pPr>
          </w:p>
        </w:tc>
        <w:tc>
          <w:tcPr>
            <w:tcW w:w="1420" w:type="dxa"/>
            <w:noWrap w:val="0"/>
            <w:vAlign w:val="center"/>
          </w:tcPr>
          <w:p w14:paraId="7A3FC882">
            <w:pPr>
              <w:spacing w:line="360" w:lineRule="auto"/>
              <w:contextualSpacing/>
              <w:jc w:val="center"/>
              <w:rPr>
                <w:rFonts w:hint="eastAsia" w:ascii="宋体" w:hAnsi="宋体"/>
                <w:color w:val="auto"/>
                <w:sz w:val="24"/>
                <w:szCs w:val="20"/>
                <w:highlight w:val="none"/>
              </w:rPr>
            </w:pPr>
          </w:p>
        </w:tc>
        <w:tc>
          <w:tcPr>
            <w:tcW w:w="1698" w:type="dxa"/>
            <w:noWrap w:val="0"/>
            <w:vAlign w:val="center"/>
          </w:tcPr>
          <w:p w14:paraId="16C5A8A4">
            <w:pPr>
              <w:spacing w:line="360" w:lineRule="auto"/>
              <w:contextualSpacing/>
              <w:jc w:val="center"/>
              <w:rPr>
                <w:rFonts w:hint="eastAsia" w:ascii="宋体" w:hAnsi="宋体"/>
                <w:color w:val="auto"/>
                <w:sz w:val="24"/>
                <w:szCs w:val="20"/>
                <w:highlight w:val="none"/>
              </w:rPr>
            </w:pPr>
          </w:p>
        </w:tc>
        <w:tc>
          <w:tcPr>
            <w:tcW w:w="1843" w:type="dxa"/>
            <w:noWrap w:val="0"/>
            <w:vAlign w:val="center"/>
          </w:tcPr>
          <w:p w14:paraId="32AFC4E7">
            <w:pPr>
              <w:spacing w:line="360" w:lineRule="auto"/>
              <w:contextualSpacing/>
              <w:jc w:val="center"/>
              <w:rPr>
                <w:rFonts w:hint="eastAsia" w:ascii="宋体" w:hAnsi="宋体"/>
                <w:color w:val="auto"/>
                <w:sz w:val="24"/>
                <w:szCs w:val="20"/>
                <w:highlight w:val="none"/>
              </w:rPr>
            </w:pPr>
          </w:p>
        </w:tc>
      </w:tr>
      <w:tr w14:paraId="08CB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58803FE2">
            <w:pPr>
              <w:spacing w:line="360" w:lineRule="auto"/>
              <w:contextualSpacing/>
              <w:jc w:val="center"/>
              <w:rPr>
                <w:rFonts w:hint="eastAsia" w:ascii="宋体" w:hAnsi="宋体"/>
                <w:color w:val="auto"/>
                <w:sz w:val="24"/>
                <w:szCs w:val="20"/>
                <w:highlight w:val="none"/>
              </w:rPr>
            </w:pPr>
          </w:p>
        </w:tc>
        <w:tc>
          <w:tcPr>
            <w:tcW w:w="709" w:type="dxa"/>
            <w:noWrap w:val="0"/>
            <w:vAlign w:val="center"/>
          </w:tcPr>
          <w:p w14:paraId="4E155981">
            <w:pPr>
              <w:spacing w:line="360" w:lineRule="auto"/>
              <w:contextualSpacing/>
              <w:jc w:val="center"/>
              <w:rPr>
                <w:rFonts w:hint="eastAsia" w:ascii="宋体" w:hAnsi="宋体"/>
                <w:color w:val="auto"/>
                <w:sz w:val="24"/>
                <w:szCs w:val="20"/>
                <w:highlight w:val="none"/>
              </w:rPr>
            </w:pPr>
          </w:p>
        </w:tc>
        <w:tc>
          <w:tcPr>
            <w:tcW w:w="1701" w:type="dxa"/>
            <w:noWrap w:val="0"/>
            <w:vAlign w:val="center"/>
          </w:tcPr>
          <w:p w14:paraId="0DEF1317">
            <w:pPr>
              <w:spacing w:line="360" w:lineRule="auto"/>
              <w:contextualSpacing/>
              <w:jc w:val="center"/>
              <w:rPr>
                <w:rFonts w:hint="eastAsia" w:ascii="宋体" w:hAnsi="宋体"/>
                <w:color w:val="auto"/>
                <w:sz w:val="24"/>
                <w:szCs w:val="20"/>
                <w:highlight w:val="none"/>
              </w:rPr>
            </w:pPr>
          </w:p>
        </w:tc>
        <w:tc>
          <w:tcPr>
            <w:tcW w:w="1420" w:type="dxa"/>
            <w:noWrap w:val="0"/>
            <w:vAlign w:val="center"/>
          </w:tcPr>
          <w:p w14:paraId="61FC30D5">
            <w:pPr>
              <w:spacing w:line="360" w:lineRule="auto"/>
              <w:contextualSpacing/>
              <w:jc w:val="center"/>
              <w:rPr>
                <w:rFonts w:hint="eastAsia" w:ascii="宋体" w:hAnsi="宋体"/>
                <w:color w:val="auto"/>
                <w:sz w:val="24"/>
                <w:szCs w:val="20"/>
                <w:highlight w:val="none"/>
              </w:rPr>
            </w:pPr>
          </w:p>
        </w:tc>
        <w:tc>
          <w:tcPr>
            <w:tcW w:w="1698" w:type="dxa"/>
            <w:noWrap w:val="0"/>
            <w:vAlign w:val="center"/>
          </w:tcPr>
          <w:p w14:paraId="7788D74F">
            <w:pPr>
              <w:spacing w:line="360" w:lineRule="auto"/>
              <w:contextualSpacing/>
              <w:jc w:val="center"/>
              <w:rPr>
                <w:rFonts w:hint="eastAsia" w:ascii="宋体" w:hAnsi="宋体"/>
                <w:color w:val="auto"/>
                <w:sz w:val="24"/>
                <w:szCs w:val="20"/>
                <w:highlight w:val="none"/>
              </w:rPr>
            </w:pPr>
          </w:p>
        </w:tc>
        <w:tc>
          <w:tcPr>
            <w:tcW w:w="1843" w:type="dxa"/>
            <w:noWrap w:val="0"/>
            <w:vAlign w:val="center"/>
          </w:tcPr>
          <w:p w14:paraId="76A02003">
            <w:pPr>
              <w:spacing w:line="360" w:lineRule="auto"/>
              <w:contextualSpacing/>
              <w:jc w:val="center"/>
              <w:rPr>
                <w:rFonts w:hint="eastAsia" w:ascii="宋体" w:hAnsi="宋体"/>
                <w:color w:val="auto"/>
                <w:sz w:val="24"/>
                <w:szCs w:val="20"/>
                <w:highlight w:val="none"/>
              </w:rPr>
            </w:pPr>
          </w:p>
        </w:tc>
      </w:tr>
      <w:tr w14:paraId="5AAF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5D96E0AE">
            <w:pPr>
              <w:spacing w:line="360" w:lineRule="auto"/>
              <w:contextualSpacing/>
              <w:jc w:val="center"/>
              <w:rPr>
                <w:rFonts w:hint="eastAsia" w:ascii="宋体" w:hAnsi="宋体"/>
                <w:color w:val="auto"/>
                <w:sz w:val="24"/>
                <w:szCs w:val="20"/>
                <w:highlight w:val="none"/>
              </w:rPr>
            </w:pPr>
          </w:p>
        </w:tc>
        <w:tc>
          <w:tcPr>
            <w:tcW w:w="709" w:type="dxa"/>
            <w:noWrap w:val="0"/>
            <w:vAlign w:val="center"/>
          </w:tcPr>
          <w:p w14:paraId="2CF01BE2">
            <w:pPr>
              <w:spacing w:line="360" w:lineRule="auto"/>
              <w:contextualSpacing/>
              <w:jc w:val="center"/>
              <w:rPr>
                <w:rFonts w:hint="eastAsia" w:ascii="宋体" w:hAnsi="宋体"/>
                <w:color w:val="auto"/>
                <w:sz w:val="24"/>
                <w:szCs w:val="20"/>
                <w:highlight w:val="none"/>
              </w:rPr>
            </w:pPr>
          </w:p>
        </w:tc>
        <w:tc>
          <w:tcPr>
            <w:tcW w:w="1701" w:type="dxa"/>
            <w:noWrap w:val="0"/>
            <w:vAlign w:val="center"/>
          </w:tcPr>
          <w:p w14:paraId="05DD715E">
            <w:pPr>
              <w:spacing w:line="360" w:lineRule="auto"/>
              <w:contextualSpacing/>
              <w:jc w:val="center"/>
              <w:rPr>
                <w:rFonts w:hint="eastAsia" w:ascii="宋体" w:hAnsi="宋体"/>
                <w:color w:val="auto"/>
                <w:sz w:val="24"/>
                <w:szCs w:val="20"/>
                <w:highlight w:val="none"/>
              </w:rPr>
            </w:pPr>
          </w:p>
        </w:tc>
        <w:tc>
          <w:tcPr>
            <w:tcW w:w="1420" w:type="dxa"/>
            <w:noWrap w:val="0"/>
            <w:vAlign w:val="center"/>
          </w:tcPr>
          <w:p w14:paraId="09262F90">
            <w:pPr>
              <w:spacing w:line="360" w:lineRule="auto"/>
              <w:contextualSpacing/>
              <w:jc w:val="center"/>
              <w:rPr>
                <w:rFonts w:hint="eastAsia" w:ascii="宋体" w:hAnsi="宋体"/>
                <w:color w:val="auto"/>
                <w:sz w:val="24"/>
                <w:szCs w:val="20"/>
                <w:highlight w:val="none"/>
              </w:rPr>
            </w:pPr>
          </w:p>
        </w:tc>
        <w:tc>
          <w:tcPr>
            <w:tcW w:w="1698" w:type="dxa"/>
            <w:noWrap w:val="0"/>
            <w:vAlign w:val="center"/>
          </w:tcPr>
          <w:p w14:paraId="66DA1B0B">
            <w:pPr>
              <w:spacing w:line="360" w:lineRule="auto"/>
              <w:contextualSpacing/>
              <w:jc w:val="center"/>
              <w:rPr>
                <w:rFonts w:hint="eastAsia" w:ascii="宋体" w:hAnsi="宋体"/>
                <w:color w:val="auto"/>
                <w:sz w:val="24"/>
                <w:szCs w:val="20"/>
                <w:highlight w:val="none"/>
              </w:rPr>
            </w:pPr>
          </w:p>
        </w:tc>
        <w:tc>
          <w:tcPr>
            <w:tcW w:w="1843" w:type="dxa"/>
            <w:noWrap w:val="0"/>
            <w:vAlign w:val="center"/>
          </w:tcPr>
          <w:p w14:paraId="7EFD75DB">
            <w:pPr>
              <w:spacing w:line="360" w:lineRule="auto"/>
              <w:contextualSpacing/>
              <w:jc w:val="center"/>
              <w:rPr>
                <w:rFonts w:hint="eastAsia" w:ascii="宋体" w:hAnsi="宋体"/>
                <w:color w:val="auto"/>
                <w:sz w:val="24"/>
                <w:szCs w:val="20"/>
                <w:highlight w:val="none"/>
              </w:rPr>
            </w:pPr>
          </w:p>
        </w:tc>
      </w:tr>
    </w:tbl>
    <w:p w14:paraId="25AF0E23">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2A472302">
      <w:pPr>
        <w:spacing w:line="360" w:lineRule="auto"/>
        <w:contextualSpacing/>
        <w:jc w:val="left"/>
        <w:rPr>
          <w:rFonts w:ascii="宋体" w:hAnsi="宋体"/>
          <w:b/>
          <w:color w:val="auto"/>
          <w:sz w:val="24"/>
          <w:szCs w:val="20"/>
          <w:highlight w:val="none"/>
        </w:rPr>
      </w:pPr>
      <w:r>
        <w:rPr>
          <w:rFonts w:hint="eastAsia" w:ascii="宋体" w:hAnsi="宋体"/>
          <w:b/>
          <w:color w:val="auto"/>
          <w:sz w:val="24"/>
          <w:szCs w:val="20"/>
          <w:highlight w:val="none"/>
        </w:rPr>
        <w:t>1</w:t>
      </w:r>
      <w:r>
        <w:rPr>
          <w:rFonts w:ascii="宋体" w:hAnsi="宋体"/>
          <w:b/>
          <w:color w:val="auto"/>
          <w:sz w:val="24"/>
          <w:szCs w:val="20"/>
          <w:highlight w:val="none"/>
        </w:rPr>
        <w:t>.</w:t>
      </w:r>
      <w:r>
        <w:rPr>
          <w:rFonts w:hint="eastAsia" w:ascii="宋体" w:hAnsi="宋体"/>
          <w:b/>
          <w:color w:val="auto"/>
          <w:sz w:val="24"/>
          <w:szCs w:val="20"/>
          <w:highlight w:val="none"/>
        </w:rPr>
        <w:t>在填写时，如本表格不适合供应商的实际情况，可根据本表格式自行制表填写。</w:t>
      </w:r>
    </w:p>
    <w:p w14:paraId="2C52F2B0">
      <w:pPr>
        <w:spacing w:line="360" w:lineRule="auto"/>
        <w:contextualSpacing/>
        <w:jc w:val="left"/>
        <w:rPr>
          <w:rFonts w:hint="eastAsia" w:ascii="宋体" w:hAnsi="宋体"/>
          <w:color w:val="auto"/>
          <w:sz w:val="24"/>
          <w:szCs w:val="20"/>
          <w:highlight w:val="none"/>
        </w:rPr>
      </w:pPr>
      <w:r>
        <w:rPr>
          <w:rFonts w:ascii="宋体" w:hAnsi="宋体"/>
          <w:color w:val="auto"/>
          <w:sz w:val="24"/>
          <w:szCs w:val="20"/>
          <w:highlight w:val="none"/>
        </w:rPr>
        <w:t>2.</w:t>
      </w:r>
      <w:r>
        <w:rPr>
          <w:rFonts w:hint="eastAsia" w:ascii="宋体" w:hAnsi="宋体"/>
          <w:color w:val="auto"/>
          <w:sz w:val="24"/>
          <w:szCs w:val="20"/>
          <w:highlight w:val="none"/>
        </w:rPr>
        <w:t>供应商应当附本表所列证书的复印件并加盖供应商电子签章。</w:t>
      </w:r>
    </w:p>
    <w:p w14:paraId="228FA603">
      <w:pPr>
        <w:spacing w:line="360" w:lineRule="auto"/>
        <w:contextualSpacing/>
        <w:rPr>
          <w:rFonts w:hint="eastAsia" w:ascii="宋体" w:hAnsi="宋体"/>
          <w:color w:val="auto"/>
          <w:sz w:val="24"/>
          <w:highlight w:val="none"/>
        </w:rPr>
      </w:pPr>
    </w:p>
    <w:p w14:paraId="53E6463B">
      <w:pP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1025C9F4">
      <w:pPr>
        <w:spacing w:line="360" w:lineRule="auto"/>
        <w:contextualSpacing/>
        <w:jc w:val="left"/>
        <w:rPr>
          <w:rFonts w:ascii="宋体" w:hAnsi="宋体"/>
          <w:color w:val="auto"/>
          <w:spacing w:val="20"/>
          <w:sz w:val="24"/>
          <w:highlight w:val="none"/>
        </w:rPr>
      </w:pPr>
      <w:r>
        <w:rPr>
          <w:rFonts w:hint="eastAsia" w:ascii="宋体" w:hAnsi="宋体"/>
          <w:color w:val="auto"/>
          <w:spacing w:val="20"/>
          <w:sz w:val="24"/>
          <w:highlight w:val="none"/>
        </w:rPr>
        <w:t>供应商名称（电子签章）：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2AD035DC">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0D6CD3A3">
      <w:pPr>
        <w:snapToGrid w:val="0"/>
        <w:spacing w:before="120" w:beforeLines="50" w:after="50"/>
        <w:jc w:val="left"/>
        <w:rPr>
          <w:rFonts w:ascii="方正小标宋简体" w:hAnsi="方正小标宋简体" w:eastAsia="方正小标宋简体" w:cs="方正小标宋简体"/>
          <w:bCs/>
          <w:color w:val="auto"/>
          <w:szCs w:val="21"/>
          <w:highlight w:val="none"/>
        </w:rPr>
      </w:pPr>
      <w:r>
        <w:rPr>
          <w:rFonts w:ascii="宋体" w:hAnsi="宋体"/>
          <w:color w:val="auto"/>
          <w:sz w:val="24"/>
          <w:szCs w:val="20"/>
          <w:highlight w:val="none"/>
        </w:rPr>
        <w:br w:type="page"/>
      </w:r>
      <w:r>
        <w:rPr>
          <w:rFonts w:hint="eastAsia" w:ascii="方正小标宋简体" w:hAnsi="方正小标宋简体" w:eastAsia="方正小标宋简体" w:cs="方正小标宋简体"/>
          <w:bCs/>
          <w:color w:val="auto"/>
          <w:szCs w:val="21"/>
          <w:highlight w:val="none"/>
        </w:rPr>
        <w:t>采购代理费承诺书（如本项目为采购人支付采购代理费的，无需提供）</w:t>
      </w:r>
    </w:p>
    <w:p w14:paraId="15686BC0">
      <w:pPr>
        <w:snapToGrid w:val="0"/>
        <w:spacing w:before="120" w:beforeLines="50" w:after="50"/>
        <w:jc w:val="left"/>
        <w:rPr>
          <w:rFonts w:hint="eastAsia" w:ascii="方正小标宋简体" w:hAnsi="方正小标宋简体" w:eastAsia="方正小标宋简体" w:cs="方正小标宋简体"/>
          <w:bCs/>
          <w:color w:val="auto"/>
          <w:szCs w:val="21"/>
          <w:highlight w:val="none"/>
        </w:rPr>
      </w:pPr>
    </w:p>
    <w:p w14:paraId="07283DBF">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采购代理费承诺书</w:t>
      </w:r>
    </w:p>
    <w:p w14:paraId="5CC3988F">
      <w:pPr>
        <w:snapToGrid w:val="0"/>
        <w:spacing w:before="120" w:beforeLines="50" w:after="50"/>
        <w:jc w:val="center"/>
        <w:rPr>
          <w:rFonts w:hint="eastAsia" w:ascii="宋体" w:hAnsi="宋体"/>
          <w:b/>
          <w:color w:val="auto"/>
          <w:sz w:val="24"/>
          <w:highlight w:val="none"/>
        </w:rPr>
      </w:pPr>
    </w:p>
    <w:p w14:paraId="4997B5EA">
      <w:pPr>
        <w:spacing w:line="360" w:lineRule="auto"/>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采购代理机构名称</w:t>
      </w:r>
      <w:r>
        <w:rPr>
          <w:rFonts w:hint="eastAsia" w:ascii="宋体" w:hAnsi="宋体"/>
          <w:color w:val="auto"/>
          <w:sz w:val="24"/>
          <w:highlight w:val="none"/>
        </w:rPr>
        <w:t>：</w:t>
      </w:r>
    </w:p>
    <w:p w14:paraId="4965031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6FBC37EF">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在领取成交通知书后，由于被质疑、投诉或者其他原因而导致成交结果改变，我方将放弃对已缴纳的采购代理费追还的一切权利。</w:t>
      </w:r>
    </w:p>
    <w:p w14:paraId="52C55909">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0EC854E1">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第一种方式：开具增值税普通发票。开票信息如下：</w:t>
      </w:r>
    </w:p>
    <w:p w14:paraId="544FF837">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42BC812">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BEBA521">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第二种方式：开具增值税专用发票，开票信息如下：</w:t>
      </w:r>
    </w:p>
    <w:p w14:paraId="5DDD4783">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2282E81">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6EF30262">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（3）在税局登记的地址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26074D0">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（4）在税局登记的电话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D3A15B6">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1F4EA6BD">
      <w:pPr>
        <w:spacing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5E073F7">
      <w:pPr>
        <w:spacing w:line="440" w:lineRule="exact"/>
        <w:rPr>
          <w:rFonts w:hint="eastAsia" w:ascii="宋体" w:hAnsi="宋体"/>
          <w:color w:val="auto"/>
          <w:sz w:val="24"/>
          <w:highlight w:val="none"/>
        </w:rPr>
      </w:pPr>
    </w:p>
    <w:p w14:paraId="250AD57E">
      <w:pPr>
        <w:spacing w:line="440" w:lineRule="exact"/>
        <w:rPr>
          <w:rFonts w:hint="eastAsia" w:ascii="宋体" w:hAnsi="宋体"/>
          <w:color w:val="auto"/>
          <w:sz w:val="24"/>
          <w:highlight w:val="none"/>
        </w:rPr>
      </w:pPr>
    </w:p>
    <w:p w14:paraId="6F469827">
      <w:pPr>
        <w:spacing w:line="440" w:lineRule="exact"/>
        <w:rPr>
          <w:rFonts w:hint="eastAsia" w:ascii="宋体" w:hAnsi="宋体"/>
          <w:color w:val="auto"/>
          <w:sz w:val="24"/>
          <w:highlight w:val="none"/>
        </w:rPr>
      </w:pPr>
    </w:p>
    <w:p w14:paraId="4BB764AE">
      <w:pPr>
        <w:snapToGrid w:val="0"/>
        <w:spacing w:line="360" w:lineRule="auto"/>
        <w:ind w:left="-2" w:leftChars="-1" w:right="-817" w:rightChars="-389" w:firstLine="1920" w:firstLineChars="800"/>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14:paraId="6F41E480">
      <w:pPr>
        <w:snapToGrid w:val="0"/>
        <w:spacing w:line="360" w:lineRule="auto"/>
        <w:ind w:left="-3" w:leftChars="-15" w:right="-817" w:rightChars="-389" w:hanging="28" w:hangingChars="12"/>
        <w:rPr>
          <w:rFonts w:hint="eastAsia" w:ascii="宋体" w:hAnsi="宋体"/>
          <w:color w:val="auto"/>
          <w:sz w:val="24"/>
          <w:highlight w:val="none"/>
        </w:rPr>
      </w:pPr>
      <w:r>
        <w:rPr>
          <w:rFonts w:hint="eastAsia" w:ascii="宋体" w:hAnsi="宋体"/>
          <w:color w:val="auto"/>
          <w:sz w:val="24"/>
          <w:highlight w:val="none"/>
        </w:rPr>
        <w:t xml:space="preserve">                                      供应商公章（电子签章）：</w:t>
      </w:r>
    </w:p>
    <w:p w14:paraId="1EF8145D">
      <w:pPr>
        <w:snapToGrid w:val="0"/>
        <w:spacing w:line="360" w:lineRule="auto"/>
        <w:ind w:right="480" w:firstLine="240" w:firstLineChars="100"/>
        <w:jc w:val="left"/>
        <w:rPr>
          <w:rFonts w:ascii="宋体" w:hAnsi="宋体"/>
          <w:color w:val="auto"/>
          <w:szCs w:val="21"/>
          <w:highlight w:val="none"/>
        </w:rPr>
        <w:sectPr>
          <w:footerReference r:id="rId7" w:type="default"/>
          <w:pgSz w:w="11906" w:h="16838"/>
          <w:pgMar w:top="1440" w:right="1080" w:bottom="1440" w:left="1080" w:header="851" w:footer="992" w:gutter="0"/>
          <w:pgNumType w:fmt="decimal" w:start="1"/>
          <w:cols w:space="720" w:num="1"/>
        </w:sectPr>
      </w:pPr>
      <w:r>
        <w:rPr>
          <w:rFonts w:hint="eastAsia" w:ascii="宋体" w:hAnsi="宋体"/>
          <w:color w:val="auto"/>
          <w:sz w:val="24"/>
          <w:highlight w:val="none"/>
        </w:rPr>
        <w:t xml:space="preserve">                                    日期：    年   月   日</w:t>
      </w:r>
    </w:p>
    <w:p w14:paraId="74FC1BEC">
      <w:pPr>
        <w:spacing w:line="360" w:lineRule="auto"/>
        <w:jc w:val="center"/>
        <w:rPr>
          <w:rFonts w:hint="eastAsia" w:ascii="宋体" w:hAnsi="宋体"/>
          <w:b/>
          <w:bCs/>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质疑函（格式）</w:t>
      </w:r>
    </w:p>
    <w:p w14:paraId="7C15961E">
      <w:pPr>
        <w:pStyle w:val="14"/>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264370A6">
      <w:pPr>
        <w:pStyle w:val="14"/>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AB4F065">
      <w:pPr>
        <w:pStyle w:val="14"/>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603F068">
      <w:pPr>
        <w:pStyle w:val="14"/>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07CA16B">
      <w:pPr>
        <w:pStyle w:val="14"/>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3EDCBEFF">
      <w:pPr>
        <w:pStyle w:val="14"/>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0246AD3">
      <w:pPr>
        <w:pStyle w:val="14"/>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81D7613">
      <w:pPr>
        <w:pStyle w:val="14"/>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363FED25">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1A74CFFA">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E4A8D75">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6E16AC3">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6C78F257">
      <w:pPr>
        <w:pStyle w:val="14"/>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7A227C60">
      <w:pPr>
        <w:pStyle w:val="14"/>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32B32E0A">
      <w:pPr>
        <w:pStyle w:val="14"/>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0F759DD7">
      <w:pPr>
        <w:pStyle w:val="14"/>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7E613AB3">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5C2764FF">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67629366">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5459E0E3">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78E351A4">
      <w:pPr>
        <w:pStyle w:val="14"/>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5E9F8F86">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6AE5EBEE">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9E34490">
      <w:pPr>
        <w:pStyle w:val="14"/>
        <w:spacing w:line="360" w:lineRule="auto"/>
        <w:ind w:left="25" w:leftChars="12" w:firstLine="352" w:firstLineChars="147"/>
        <w:contextualSpacing/>
        <w:rPr>
          <w:rFonts w:hint="eastAsia" w:hAnsi="宋体"/>
          <w:color w:val="auto"/>
          <w:sz w:val="24"/>
          <w:szCs w:val="24"/>
          <w:highlight w:val="none"/>
        </w:rPr>
      </w:pPr>
    </w:p>
    <w:p w14:paraId="76931786">
      <w:pPr>
        <w:pStyle w:val="14"/>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0F45B0D">
      <w:pPr>
        <w:pStyle w:val="14"/>
        <w:spacing w:line="360" w:lineRule="auto"/>
        <w:ind w:firstLine="480" w:firstLineChars="200"/>
        <w:contextualSpacing/>
        <w:rPr>
          <w:rFonts w:hint="eastAsia" w:hAnsi="宋体"/>
          <w:b/>
          <w:color w:val="auto"/>
          <w:sz w:val="24"/>
          <w:szCs w:val="24"/>
          <w:highlight w:val="none"/>
        </w:rPr>
      </w:pPr>
      <w:r>
        <w:rPr>
          <w:rFonts w:hint="eastAsia" w:hAnsi="宋体"/>
          <w:color w:val="auto"/>
          <w:sz w:val="24"/>
          <w:szCs w:val="24"/>
          <w:highlight w:val="none"/>
        </w:rPr>
        <w:t>日期：</w:t>
      </w:r>
    </w:p>
    <w:p w14:paraId="3C1B9718">
      <w:pPr>
        <w:pStyle w:val="14"/>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5F75DD79">
      <w:pPr>
        <w:pStyle w:val="14"/>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D09F092">
      <w:pPr>
        <w:pStyle w:val="14"/>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1CD885">
      <w:pPr>
        <w:pStyle w:val="14"/>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89DF2F6">
      <w:pPr>
        <w:pStyle w:val="14"/>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76734717">
      <w:pPr>
        <w:pStyle w:val="14"/>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37461088">
      <w:pPr>
        <w:pStyle w:val="14"/>
        <w:snapToGrid w:val="0"/>
        <w:rPr>
          <w:rFonts w:hint="eastAsia"/>
          <w:b/>
          <w:color w:val="auto"/>
          <w:sz w:val="24"/>
          <w:szCs w:val="24"/>
          <w:highlight w:val="none"/>
        </w:rPr>
      </w:pPr>
    </w:p>
    <w:p w14:paraId="5CE31773">
      <w:pPr>
        <w:rPr>
          <w:rFonts w:hint="eastAsia"/>
          <w:color w:val="auto"/>
          <w:sz w:val="32"/>
          <w:szCs w:val="40"/>
          <w:highlight w:val="none"/>
        </w:rPr>
      </w:pPr>
    </w:p>
    <w:p w14:paraId="3BBE62EB">
      <w:pPr>
        <w:rPr>
          <w:rFonts w:hint="eastAsia"/>
          <w:color w:val="auto"/>
          <w:sz w:val="32"/>
          <w:szCs w:val="40"/>
          <w:highlight w:val="none"/>
        </w:rPr>
      </w:pPr>
    </w:p>
    <w:p w14:paraId="761CE16D">
      <w:pPr>
        <w:rPr>
          <w:rFonts w:hint="eastAsia"/>
          <w:color w:val="auto"/>
          <w:sz w:val="32"/>
          <w:szCs w:val="40"/>
          <w:highlight w:val="none"/>
        </w:rPr>
      </w:pPr>
    </w:p>
    <w:p w14:paraId="71D71983">
      <w:pPr>
        <w:rPr>
          <w:rFonts w:hint="eastAsia"/>
          <w:color w:val="auto"/>
          <w:sz w:val="32"/>
          <w:szCs w:val="40"/>
          <w:highlight w:val="none"/>
        </w:rPr>
      </w:pPr>
    </w:p>
    <w:p w14:paraId="3F5CB031">
      <w:pPr>
        <w:rPr>
          <w:rFonts w:hint="eastAsia"/>
          <w:color w:val="auto"/>
          <w:sz w:val="32"/>
          <w:szCs w:val="40"/>
          <w:highlight w:val="none"/>
        </w:rPr>
      </w:pPr>
    </w:p>
    <w:p w14:paraId="0706170A">
      <w:pPr>
        <w:rPr>
          <w:rFonts w:hint="eastAsia"/>
          <w:color w:val="auto"/>
          <w:sz w:val="32"/>
          <w:szCs w:val="40"/>
          <w:highlight w:val="none"/>
        </w:rPr>
      </w:pPr>
    </w:p>
    <w:p w14:paraId="00D25193">
      <w:pPr>
        <w:rPr>
          <w:rFonts w:hint="eastAsia"/>
          <w:color w:val="auto"/>
          <w:sz w:val="32"/>
          <w:szCs w:val="40"/>
          <w:highlight w:val="none"/>
        </w:rPr>
      </w:pPr>
    </w:p>
    <w:p w14:paraId="3EA8E65A">
      <w:pPr>
        <w:rPr>
          <w:rFonts w:hint="eastAsia"/>
          <w:color w:val="auto"/>
          <w:sz w:val="32"/>
          <w:szCs w:val="40"/>
          <w:highlight w:val="none"/>
        </w:rPr>
      </w:pPr>
    </w:p>
    <w:p w14:paraId="20793338">
      <w:pPr>
        <w:rPr>
          <w:rFonts w:hint="eastAsia"/>
          <w:color w:val="auto"/>
          <w:sz w:val="32"/>
          <w:szCs w:val="40"/>
          <w:highlight w:val="none"/>
        </w:rPr>
      </w:pPr>
    </w:p>
    <w:p w14:paraId="1ECC07A7">
      <w:pPr>
        <w:rPr>
          <w:rFonts w:hint="eastAsia"/>
          <w:color w:val="auto"/>
          <w:sz w:val="32"/>
          <w:szCs w:val="40"/>
          <w:highlight w:val="none"/>
        </w:rPr>
      </w:pPr>
    </w:p>
    <w:p w14:paraId="2FB51D3A">
      <w:pPr>
        <w:rPr>
          <w:rFonts w:hint="eastAsia"/>
          <w:color w:val="auto"/>
          <w:sz w:val="32"/>
          <w:szCs w:val="40"/>
          <w:highlight w:val="none"/>
        </w:rPr>
      </w:pPr>
    </w:p>
    <w:p w14:paraId="4EE07480">
      <w:pPr>
        <w:rPr>
          <w:rFonts w:hint="eastAsia"/>
          <w:color w:val="auto"/>
          <w:sz w:val="32"/>
          <w:szCs w:val="40"/>
          <w:highlight w:val="none"/>
        </w:rPr>
      </w:pPr>
    </w:p>
    <w:p w14:paraId="4C686555">
      <w:pPr>
        <w:rPr>
          <w:rFonts w:hint="eastAsia"/>
          <w:color w:val="auto"/>
          <w:sz w:val="32"/>
          <w:szCs w:val="40"/>
          <w:highlight w:val="none"/>
        </w:rPr>
      </w:pPr>
    </w:p>
    <w:p w14:paraId="34992A43">
      <w:pPr>
        <w:rPr>
          <w:rFonts w:hint="eastAsia"/>
          <w:color w:val="auto"/>
          <w:sz w:val="32"/>
          <w:szCs w:val="40"/>
          <w:highlight w:val="none"/>
        </w:rPr>
      </w:pPr>
    </w:p>
    <w:p w14:paraId="1C14BD46">
      <w:pPr>
        <w:spacing w:line="360" w:lineRule="auto"/>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61C6972F">
      <w:pPr>
        <w:pStyle w:val="14"/>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540668F">
      <w:pPr>
        <w:pStyle w:val="1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5D9C9B7">
      <w:pPr>
        <w:pStyle w:val="1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06EE757">
      <w:pPr>
        <w:pStyle w:val="1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447C0D08">
      <w:pPr>
        <w:pStyle w:val="1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E6C6D24">
      <w:pPr>
        <w:pStyle w:val="1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79A33ED">
      <w:pPr>
        <w:pStyle w:val="14"/>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1AB9B88">
      <w:pPr>
        <w:pStyle w:val="1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9F3E9BE">
      <w:pPr>
        <w:pStyle w:val="14"/>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582F7B43">
      <w:pPr>
        <w:pStyle w:val="1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4898C72">
      <w:pPr>
        <w:pStyle w:val="1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41A6F73">
      <w:pPr>
        <w:pStyle w:val="1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308E6D6B">
      <w:pPr>
        <w:pStyle w:val="14"/>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205FBB7A">
      <w:pPr>
        <w:pStyle w:val="14"/>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1CCA5A86">
      <w:pPr>
        <w:pStyle w:val="14"/>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2E897AFB">
      <w:pPr>
        <w:pStyle w:val="14"/>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754B4A0">
      <w:pPr>
        <w:pStyle w:val="14"/>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82FD589">
      <w:pPr>
        <w:pStyle w:val="14"/>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6D71EFF6">
      <w:pPr>
        <w:pStyle w:val="14"/>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91071E3">
      <w:pPr>
        <w:pStyle w:val="14"/>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020F44E">
      <w:pPr>
        <w:pStyle w:val="14"/>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6185642D">
      <w:pPr>
        <w:pStyle w:val="14"/>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63524E77">
      <w:pPr>
        <w:pStyle w:val="14"/>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1B42C150">
      <w:pPr>
        <w:pStyle w:val="14"/>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699CF33">
      <w:pPr>
        <w:pStyle w:val="14"/>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4F987E27">
      <w:pPr>
        <w:pStyle w:val="14"/>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0DC01918">
      <w:pPr>
        <w:pStyle w:val="14"/>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6C63501">
      <w:pPr>
        <w:pStyle w:val="14"/>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DB0E687">
      <w:pPr>
        <w:pStyle w:val="14"/>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EBD6253">
      <w:pPr>
        <w:pStyle w:val="14"/>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1983AD77">
      <w:pPr>
        <w:pStyle w:val="14"/>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33A3979D">
      <w:pPr>
        <w:pStyle w:val="14"/>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301B68E">
      <w:pPr>
        <w:pStyle w:val="14"/>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26539CB2">
      <w:pPr>
        <w:pStyle w:val="14"/>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ED3EC38">
      <w:pPr>
        <w:pStyle w:val="14"/>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D28C6E0">
      <w:pPr>
        <w:pStyle w:val="14"/>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6228AC3">
      <w:pPr>
        <w:pStyle w:val="14"/>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7FAFCE85">
      <w:pPr>
        <w:pStyle w:val="14"/>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6630A00E">
      <w:pPr>
        <w:pStyle w:val="14"/>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4293562">
      <w:pPr>
        <w:pStyle w:val="14"/>
        <w:spacing w:line="360" w:lineRule="auto"/>
        <w:ind w:left="25" w:leftChars="12" w:firstLine="352" w:firstLineChars="147"/>
        <w:rPr>
          <w:rFonts w:hint="eastAsia" w:hAnsi="宋体"/>
          <w:color w:val="auto"/>
          <w:sz w:val="24"/>
          <w:szCs w:val="24"/>
          <w:highlight w:val="none"/>
        </w:rPr>
      </w:pPr>
    </w:p>
    <w:p w14:paraId="71334460">
      <w:pPr>
        <w:pStyle w:val="14"/>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118C8BF2">
      <w:pPr>
        <w:pStyle w:val="14"/>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726B0799">
      <w:pPr>
        <w:pStyle w:val="14"/>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 xml:space="preserve">                                                                                 </w:t>
      </w:r>
    </w:p>
    <w:p w14:paraId="65C8CDE1">
      <w:pPr>
        <w:pStyle w:val="14"/>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076DA872">
      <w:pPr>
        <w:pStyle w:val="14"/>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7494BBD2">
      <w:pPr>
        <w:pStyle w:val="14"/>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ADE9BA2">
      <w:pPr>
        <w:pStyle w:val="14"/>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72DC0438">
      <w:pPr>
        <w:pStyle w:val="14"/>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3190191">
      <w:pPr>
        <w:pStyle w:val="14"/>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3D681D07">
      <w:pPr>
        <w:pStyle w:val="14"/>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0B7E73C2">
      <w:pPr>
        <w:pStyle w:val="14"/>
        <w:spacing w:line="360" w:lineRule="auto"/>
        <w:ind w:left="25" w:leftChars="12" w:firstLine="354" w:firstLineChars="147"/>
        <w:rPr>
          <w:rFonts w:hAnsi="宋体"/>
          <w:b/>
          <w:color w:val="auto"/>
          <w:sz w:val="24"/>
          <w:szCs w:val="24"/>
          <w:highlight w:val="none"/>
        </w:rPr>
      </w:pPr>
    </w:p>
    <w:p w14:paraId="3ABF4CFC">
      <w:pPr>
        <w:pStyle w:val="2"/>
        <w:jc w:val="center"/>
        <w:rPr>
          <w:rFonts w:hint="eastAsia"/>
          <w:color w:val="auto"/>
          <w:highlight w:val="none"/>
        </w:rPr>
      </w:pPr>
      <w:bookmarkStart w:id="104" w:name="_Toc74323461"/>
      <w:r>
        <w:rPr>
          <w:rFonts w:hint="eastAsia"/>
          <w:color w:val="auto"/>
          <w:highlight w:val="none"/>
        </w:rPr>
        <w:t>第六章 合同文本</w:t>
      </w:r>
      <w:bookmarkEnd w:id="104"/>
    </w:p>
    <w:p w14:paraId="6B2AB77A">
      <w:pPr>
        <w:snapToGrid w:val="0"/>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政府采购合同</w:t>
      </w:r>
    </w:p>
    <w:p w14:paraId="08AA0BB4">
      <w:pPr>
        <w:snapToGrid w:val="0"/>
        <w:spacing w:line="360" w:lineRule="auto"/>
        <w:ind w:right="480" w:firstLine="5250" w:firstLineChars="2500"/>
        <w:rPr>
          <w:rFonts w:hint="eastAsia" w:ascii="宋体" w:hAnsi="宋体"/>
          <w:bCs/>
          <w:color w:val="auto"/>
          <w:szCs w:val="21"/>
          <w:highlight w:val="none"/>
          <w:u w:val="single"/>
        </w:rPr>
      </w:pPr>
      <w:r>
        <w:rPr>
          <w:rFonts w:hint="eastAsia" w:ascii="宋体" w:hAnsi="宋体"/>
          <w:bCs/>
          <w:color w:val="auto"/>
          <w:szCs w:val="21"/>
          <w:highlight w:val="none"/>
        </w:rPr>
        <w:t>合同编号：</w:t>
      </w:r>
    </w:p>
    <w:p w14:paraId="354CB960">
      <w:pPr>
        <w:snapToGrid w:val="0"/>
        <w:spacing w:line="360" w:lineRule="auto"/>
        <w:rPr>
          <w:rFonts w:hint="eastAsia" w:ascii="宋体" w:hAnsi="宋体"/>
          <w:color w:val="auto"/>
          <w:szCs w:val="21"/>
          <w:highlight w:val="none"/>
        </w:rPr>
      </w:pPr>
    </w:p>
    <w:p w14:paraId="1B1B38FA">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采购人（甲方）：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43E2E03">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供应商（乙方）：</w:t>
      </w:r>
      <w:r>
        <w:rPr>
          <w:rFonts w:hint="eastAsia" w:ascii="宋体" w:hAnsi="宋体"/>
          <w:color w:val="auto"/>
          <w:szCs w:val="21"/>
          <w:highlight w:val="none"/>
          <w:u w:val="single"/>
        </w:rPr>
        <w:t xml:space="preserve">                          </w:t>
      </w:r>
    </w:p>
    <w:p w14:paraId="15E225EF">
      <w:pPr>
        <w:snapToGrid w:val="0"/>
        <w:spacing w:line="360" w:lineRule="auto"/>
        <w:rPr>
          <w:rFonts w:hint="eastAsia" w:ascii="宋体" w:hAnsi="宋体"/>
          <w:color w:val="auto"/>
          <w:szCs w:val="21"/>
          <w:highlight w:val="none"/>
        </w:rPr>
      </w:pPr>
      <w:r>
        <w:rPr>
          <w:rFonts w:hint="eastAsia" w:ascii="宋体" w:hAnsi="宋体"/>
          <w:color w:val="auto"/>
          <w:spacing w:val="-20"/>
          <w:szCs w:val="21"/>
          <w:highlight w:val="none"/>
        </w:rPr>
        <w:t>采 购 计 划 号：</w:t>
      </w:r>
      <w:r>
        <w:rPr>
          <w:rFonts w:hint="eastAsia" w:ascii="宋体" w:hAnsi="宋体"/>
          <w:color w:val="auto"/>
          <w:szCs w:val="21"/>
          <w:highlight w:val="none"/>
          <w:u w:val="single"/>
        </w:rPr>
        <w:t xml:space="preserve">                         </w:t>
      </w:r>
    </w:p>
    <w:p w14:paraId="10B06F60">
      <w:pPr>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p>
    <w:p w14:paraId="56502D3E">
      <w:pPr>
        <w:snapToGrid w:val="0"/>
        <w:spacing w:line="360" w:lineRule="auto"/>
        <w:rPr>
          <w:rFonts w:hint="eastAsia" w:ascii="宋体" w:hAnsi="宋体"/>
          <w:color w:val="auto"/>
          <w:highlight w:val="none"/>
        </w:rPr>
      </w:pPr>
      <w:r>
        <w:rPr>
          <w:rFonts w:hint="eastAsia" w:ascii="宋体" w:hAnsi="宋体"/>
          <w:color w:val="auto"/>
          <w:szCs w:val="21"/>
          <w:highlight w:val="none"/>
        </w:rPr>
        <w:t>合同</w:t>
      </w:r>
      <w:r>
        <w:rPr>
          <w:rFonts w:hint="eastAsia" w:ascii="宋体" w:hAnsi="宋体"/>
          <w:color w:val="auto"/>
          <w:highlight w:val="none"/>
        </w:rPr>
        <w:t>类型：</w:t>
      </w:r>
      <w:r>
        <w:rPr>
          <w:rFonts w:hint="eastAsia" w:ascii="宋体" w:hAnsi="宋体"/>
          <w:color w:val="auto"/>
          <w:highlight w:val="none"/>
          <w:u w:val="single"/>
        </w:rPr>
        <w:t xml:space="preserve">      </w:t>
      </w:r>
      <w:r>
        <w:rPr>
          <w:rFonts w:hint="eastAsia" w:ascii="宋体" w:hAnsi="宋体"/>
          <w:color w:val="auto"/>
          <w:highlight w:val="none"/>
        </w:rPr>
        <w:t>合同</w:t>
      </w:r>
    </w:p>
    <w:p w14:paraId="1157C65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i/>
          <w:color w:val="auto"/>
          <w:szCs w:val="21"/>
          <w:highlight w:val="none"/>
          <w:u w:val="single"/>
        </w:rPr>
        <w:t>（是/否）</w:t>
      </w:r>
      <w:r>
        <w:rPr>
          <w:rFonts w:hint="eastAsia" w:ascii="宋体" w:hAnsi="宋体" w:cs="宋体"/>
          <w:color w:val="auto"/>
          <w:szCs w:val="21"/>
          <w:highlight w:val="none"/>
        </w:rPr>
        <w:t>。</w:t>
      </w:r>
    </w:p>
    <w:p w14:paraId="60AB21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磋商文件规定条款和乙方响应文件及其承诺，甲乙双方签订本合同。</w:t>
      </w:r>
    </w:p>
    <w:p w14:paraId="742C890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tbl>
      <w:tblPr>
        <w:tblStyle w:val="24"/>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1645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7A1360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346317F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56DB21F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279209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090B0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7F2253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单  价</w:t>
            </w:r>
          </w:p>
          <w:p w14:paraId="6C33B44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321636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总  价</w:t>
            </w:r>
          </w:p>
          <w:p w14:paraId="4241902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（元）</w:t>
            </w:r>
          </w:p>
        </w:tc>
      </w:tr>
      <w:tr w14:paraId="4B13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E0CE1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189D2D9">
            <w:pPr>
              <w:spacing w:line="360" w:lineRule="auto"/>
              <w:jc w:val="center"/>
              <w:rPr>
                <w:rFonts w:hint="eastAsia"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2350191D">
            <w:pPr>
              <w:spacing w:line="360" w:lineRule="auto"/>
              <w:jc w:val="center"/>
              <w:rPr>
                <w:rFonts w:hint="eastAsia"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BDC1BA8">
            <w:pPr>
              <w:spacing w:line="360" w:lineRule="auto"/>
              <w:jc w:val="center"/>
              <w:rPr>
                <w:rFonts w:hint="eastAsia"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BC7871E">
            <w:pPr>
              <w:spacing w:line="360" w:lineRule="auto"/>
              <w:jc w:val="center"/>
              <w:rPr>
                <w:rFonts w:hint="eastAsia"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47BC1307">
            <w:pPr>
              <w:spacing w:line="360" w:lineRule="auto"/>
              <w:jc w:val="center"/>
              <w:rPr>
                <w:rFonts w:hint="eastAsia" w:ascii="宋体" w:hAnsi="宋体" w:cs="宋体"/>
                <w:color w:val="auto"/>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473EDA25">
            <w:pPr>
              <w:spacing w:line="360" w:lineRule="auto"/>
              <w:jc w:val="center"/>
              <w:rPr>
                <w:rFonts w:hint="eastAsia" w:ascii="宋体" w:hAnsi="宋体" w:cs="宋体"/>
                <w:color w:val="auto"/>
                <w:szCs w:val="21"/>
                <w:highlight w:val="none"/>
              </w:rPr>
            </w:pPr>
          </w:p>
        </w:tc>
      </w:tr>
      <w:tr w14:paraId="3F0F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2ECFADC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合计金额（人民币）：</w:t>
            </w:r>
            <w:r>
              <w:rPr>
                <w:rFonts w:hint="eastAsia" w:ascii="宋体" w:hAnsi="宋体" w:cs="宋体"/>
                <w:color w:val="auto"/>
                <w:szCs w:val="21"/>
                <w:highlight w:val="none"/>
                <w:u w:val="single"/>
              </w:rPr>
              <w:t xml:space="preserve">（大写）                          （小写）                   </w:t>
            </w:r>
            <w:r>
              <w:rPr>
                <w:rFonts w:hint="eastAsia" w:ascii="宋体" w:hAnsi="宋体" w:cs="宋体"/>
                <w:color w:val="auto"/>
                <w:szCs w:val="21"/>
                <w:highlight w:val="none"/>
              </w:rPr>
              <w:t xml:space="preserve">             </w:t>
            </w:r>
          </w:p>
        </w:tc>
      </w:tr>
    </w:tbl>
    <w:p w14:paraId="4CFD6C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w:t>
      </w:r>
      <w:r>
        <w:rPr>
          <w:rFonts w:hint="eastAsia" w:ascii="宋体" w:hAnsi="宋体" w:eastAsia="宋体" w:cs="宋体"/>
          <w:b w:val="0"/>
          <w:bCs w:val="0"/>
          <w:color w:val="auto"/>
          <w:kern w:val="0"/>
          <w:sz w:val="21"/>
          <w:szCs w:val="21"/>
          <w:highlight w:val="none"/>
          <w:lang w:val="en-US" w:eastAsia="zh-CN" w:bidi="ar-SA"/>
        </w:rPr>
        <w:t>应</w:t>
      </w:r>
      <w:r>
        <w:rPr>
          <w:rFonts w:hint="default" w:ascii="宋体" w:hAnsi="宋体" w:eastAsia="宋体" w:cs="宋体"/>
          <w:b w:val="0"/>
          <w:bCs w:val="0"/>
          <w:color w:val="auto"/>
          <w:kern w:val="0"/>
          <w:sz w:val="21"/>
          <w:szCs w:val="21"/>
          <w:highlight w:val="none"/>
          <w:lang w:val="en-US" w:eastAsia="zh-CN" w:bidi="ar-SA"/>
        </w:rPr>
        <w:t>包含劳务费、交通费、食宿费、培训费、技术支持、运营维修维护费、必要的保险、税金及其他可能产生的成本和利润的总和</w:t>
      </w:r>
      <w:r>
        <w:rPr>
          <w:rFonts w:hint="eastAsia" w:ascii="宋体" w:hAnsi="宋体" w:cs="宋体"/>
          <w:color w:val="auto"/>
          <w:szCs w:val="21"/>
          <w:highlight w:val="none"/>
        </w:rPr>
        <w:t>。</w:t>
      </w:r>
    </w:p>
    <w:p w14:paraId="5F75205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7B1F07B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2271AF84">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61416A2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204E8AD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w:t>
      </w:r>
      <w:r>
        <w:rPr>
          <w:rFonts w:hint="eastAsia" w:ascii="宋体" w:hAnsi="宋体" w:cs="宋体"/>
          <w:color w:val="auto"/>
          <w:szCs w:val="21"/>
          <w:highlight w:val="none"/>
          <w:lang w:eastAsia="zh-CN"/>
        </w:rPr>
        <w:t>因</w:t>
      </w:r>
      <w:r>
        <w:rPr>
          <w:rFonts w:hint="eastAsia" w:ascii="宋体" w:hAnsi="宋体" w:cs="宋体"/>
          <w:color w:val="auto"/>
          <w:szCs w:val="21"/>
          <w:highlight w:val="none"/>
        </w:rPr>
        <w:t>本合同履行</w:t>
      </w:r>
      <w:r>
        <w:rPr>
          <w:rFonts w:hint="eastAsia" w:ascii="宋体" w:hAnsi="宋体" w:eastAsia="宋体" w:cs="宋体"/>
          <w:color w:val="auto"/>
          <w:szCs w:val="21"/>
          <w:highlight w:val="none"/>
        </w:rPr>
        <w:t>终止、解除或者无效而解除。</w:t>
      </w:r>
    </w:p>
    <w:p w14:paraId="015825F9">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eastAsia="宋体" w:cs="宋体"/>
          <w:b w:val="0"/>
          <w:color w:val="auto"/>
          <w:szCs w:val="21"/>
          <w:highlight w:val="none"/>
          <w:lang w:val="en-US" w:eastAsia="zh-CN"/>
        </w:rPr>
        <w:t>3.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541B66F1">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eastAsia="宋体" w:cs="宋体"/>
          <w:b w:val="0"/>
          <w:color w:val="auto"/>
          <w:szCs w:val="21"/>
          <w:highlight w:val="none"/>
          <w:lang w:val="en-US" w:eastAsia="zh-CN"/>
        </w:rPr>
        <w:t>4、未经甲方书面允许，乙方不得将本合同项下的全部或部分工作内容委托给第三方。</w:t>
      </w:r>
    </w:p>
    <w:p w14:paraId="591B75E4">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cs="宋体"/>
          <w:b w:val="0"/>
          <w:color w:val="auto"/>
          <w:szCs w:val="21"/>
          <w:highlight w:val="none"/>
          <w:lang w:val="en-US" w:eastAsia="zh-CN"/>
        </w:rPr>
        <w:t>5</w:t>
      </w:r>
      <w:r>
        <w:rPr>
          <w:rFonts w:hint="eastAsia" w:ascii="宋体" w:hAnsi="宋体" w:eastAsia="宋体" w:cs="宋体"/>
          <w:b w:val="0"/>
          <w:color w:val="auto"/>
          <w:szCs w:val="21"/>
          <w:highlight w:val="none"/>
          <w:lang w:val="en-US" w:eastAsia="zh-CN"/>
        </w:rPr>
        <w:t>.如乙方所交付的服务成果侵犯第三人合法权益的，视为乙方违约，乙方应向甲方支付合同总价5%的违约金，若上述违约金不足以弥补甲方的损失的，乙方应另行赔偿。</w:t>
      </w:r>
    </w:p>
    <w:p w14:paraId="58ADF1C2">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cs="宋体"/>
          <w:b w:val="0"/>
          <w:color w:val="auto"/>
          <w:szCs w:val="21"/>
          <w:highlight w:val="none"/>
          <w:lang w:val="en-US" w:eastAsia="zh-CN"/>
        </w:rPr>
        <w:t>6</w:t>
      </w:r>
      <w:r>
        <w:rPr>
          <w:rFonts w:hint="eastAsia" w:ascii="宋体" w:hAnsi="宋体" w:eastAsia="宋体" w:cs="宋体"/>
          <w:b w:val="0"/>
          <w:color w:val="auto"/>
          <w:szCs w:val="21"/>
          <w:highlight w:val="none"/>
          <w:lang w:val="en-US" w:eastAsia="zh-CN"/>
        </w:rPr>
        <w:t>.乙方配合甲方完成绩效考核工作。</w:t>
      </w:r>
    </w:p>
    <w:p w14:paraId="1A3914CE">
      <w:pPr>
        <w:snapToGrid w:val="0"/>
        <w:spacing w:line="360" w:lineRule="auto"/>
        <w:ind w:firstLine="420" w:firstLineChars="200"/>
        <w:rPr>
          <w:rFonts w:hint="eastAsia" w:ascii="宋体" w:hAnsi="宋体" w:eastAsia="宋体" w:cs="宋体"/>
          <w:b w:val="0"/>
          <w:color w:val="auto"/>
          <w:szCs w:val="21"/>
          <w:highlight w:val="none"/>
          <w:lang w:val="en-US" w:eastAsia="zh-CN"/>
        </w:rPr>
      </w:pPr>
      <w:r>
        <w:rPr>
          <w:rFonts w:hint="eastAsia" w:ascii="宋体" w:hAnsi="宋体" w:cs="宋体"/>
          <w:b w:val="0"/>
          <w:color w:val="auto"/>
          <w:szCs w:val="21"/>
          <w:highlight w:val="none"/>
          <w:lang w:val="en-US" w:eastAsia="zh-CN"/>
        </w:rPr>
        <w:t>7</w:t>
      </w:r>
      <w:r>
        <w:rPr>
          <w:rFonts w:hint="eastAsia" w:ascii="宋体" w:hAnsi="宋体" w:eastAsia="宋体" w:cs="宋体"/>
          <w:b w:val="0"/>
          <w:color w:val="auto"/>
          <w:szCs w:val="21"/>
          <w:highlight w:val="none"/>
          <w:lang w:val="en-US" w:eastAsia="zh-CN"/>
        </w:rPr>
        <w:t>.服务过程中形成的所有知识产权成果归甲方所有。</w:t>
      </w:r>
    </w:p>
    <w:p w14:paraId="2050CC28">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w:t>
      </w:r>
      <w:r>
        <w:rPr>
          <w:rFonts w:hint="default" w:ascii="宋体" w:hAnsi="宋体" w:cs="宋体"/>
          <w:b/>
          <w:color w:val="auto"/>
          <w:szCs w:val="21"/>
          <w:highlight w:val="none"/>
          <w:lang w:val="en-US"/>
        </w:rPr>
        <w:t>四</w:t>
      </w:r>
      <w:r>
        <w:rPr>
          <w:rFonts w:hint="eastAsia" w:ascii="宋体" w:hAnsi="宋体" w:cs="宋体"/>
          <w:b/>
          <w:color w:val="auto"/>
          <w:szCs w:val="21"/>
          <w:highlight w:val="none"/>
        </w:rPr>
        <w:t>条　</w:t>
      </w:r>
      <w:r>
        <w:rPr>
          <w:rFonts w:hint="eastAsia" w:ascii="宋体" w:hAnsi="宋体" w:cs="宋体"/>
          <w:b/>
          <w:color w:val="auto"/>
          <w:szCs w:val="21"/>
          <w:highlight w:val="none"/>
          <w:lang w:eastAsia="zh-CN"/>
        </w:rPr>
        <w:t>合同履约期限</w:t>
      </w:r>
      <w:r>
        <w:rPr>
          <w:rFonts w:hint="eastAsia" w:ascii="宋体" w:hAnsi="宋体" w:cs="宋体"/>
          <w:b/>
          <w:color w:val="auto"/>
          <w:szCs w:val="21"/>
          <w:highlight w:val="none"/>
        </w:rPr>
        <w:t>和验收</w:t>
      </w:r>
    </w:p>
    <w:p w14:paraId="0A011E77">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1、交付使用时间：</w:t>
      </w:r>
      <w:r>
        <w:rPr>
          <w:rFonts w:hint="eastAsia" w:ascii="宋体" w:hAnsi="宋体" w:cs="宋体"/>
          <w:color w:val="auto"/>
          <w:szCs w:val="21"/>
          <w:highlight w:val="none"/>
          <w:u w:val="single"/>
          <w:lang w:val="en-US" w:eastAsia="zh-CN"/>
        </w:rPr>
        <w:t xml:space="preserve"> 合同签订之日起    个日历日内完成全部招标需求并交付使用。</w:t>
      </w:r>
      <w:r>
        <w:rPr>
          <w:rFonts w:hint="eastAsia" w:ascii="宋体" w:hAnsi="宋体" w:cs="宋体"/>
          <w:color w:val="auto"/>
          <w:szCs w:val="21"/>
          <w:highlight w:val="none"/>
          <w:lang w:eastAsia="zh-CN"/>
        </w:rPr>
        <w:t>。</w:t>
      </w:r>
    </w:p>
    <w:p w14:paraId="3ABDF18F">
      <w:pPr>
        <w:spacing w:line="360" w:lineRule="auto"/>
        <w:ind w:firstLine="630" w:firstLineChars="300"/>
        <w:rPr>
          <w:rFonts w:hint="eastAsia" w:ascii="宋体" w:hAnsi="宋体" w:cs="宋体"/>
          <w:color w:val="auto"/>
          <w:szCs w:val="21"/>
          <w:highlight w:val="none"/>
        </w:rPr>
      </w:pPr>
      <w:r>
        <w:rPr>
          <w:rFonts w:hint="eastAsia" w:ascii="宋体" w:hAnsi="宋体" w:eastAsia="宋体" w:cs="宋体"/>
          <w:color w:val="auto"/>
          <w:kern w:val="0"/>
          <w:szCs w:val="21"/>
          <w:highlight w:val="none"/>
        </w:rPr>
        <w:t>交付地点</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广西物流职业技术学院</w:t>
      </w:r>
      <w:r>
        <w:rPr>
          <w:rFonts w:hint="eastAsia" w:ascii="宋体" w:hAnsi="宋体" w:cs="宋体"/>
          <w:color w:val="auto"/>
          <w:szCs w:val="21"/>
          <w:highlight w:val="none"/>
        </w:rPr>
        <w:t>。</w:t>
      </w:r>
    </w:p>
    <w:p w14:paraId="19F1F1E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4C1BB9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45283B4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4、甲乙双方</w:t>
      </w:r>
      <w:r>
        <w:rPr>
          <w:rFonts w:hint="eastAsia" w:ascii="宋体" w:hAnsi="宋体"/>
          <w:color w:val="auto"/>
          <w:szCs w:val="21"/>
          <w:highlight w:val="none"/>
        </w:rPr>
        <w:t>按磋商文件、</w:t>
      </w:r>
      <w:r>
        <w:rPr>
          <w:rFonts w:hint="eastAsia" w:ascii="宋体" w:hAnsi="宋体"/>
          <w:color w:val="auto"/>
          <w:szCs w:val="21"/>
          <w:highlight w:val="none"/>
          <w:lang w:val="en-US" w:eastAsia="zh-CN"/>
        </w:rPr>
        <w:t>乙方</w:t>
      </w:r>
      <w:r>
        <w:rPr>
          <w:rFonts w:hint="eastAsia" w:ascii="宋体" w:hAnsi="宋体"/>
          <w:color w:val="auto"/>
          <w:szCs w:val="21"/>
          <w:highlight w:val="none"/>
        </w:rPr>
        <w:t>的响应文件承诺及相关行业标准进行验收。</w:t>
      </w:r>
    </w:p>
    <w:p w14:paraId="2CCE082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乙方</w:t>
      </w:r>
      <w:r>
        <w:rPr>
          <w:rFonts w:hint="eastAsia" w:ascii="宋体" w:hAnsi="宋体"/>
          <w:color w:val="auto"/>
          <w:szCs w:val="21"/>
          <w:highlight w:val="none"/>
        </w:rPr>
        <w:t>提供不符合采购文件、响应文件承诺的或本合同规定的货物、服务的，</w:t>
      </w:r>
      <w:r>
        <w:rPr>
          <w:rFonts w:hint="eastAsia" w:ascii="宋体" w:hAnsi="宋体"/>
          <w:color w:val="auto"/>
          <w:szCs w:val="21"/>
          <w:highlight w:val="none"/>
          <w:lang w:val="en-US" w:eastAsia="zh-CN"/>
        </w:rPr>
        <w:t>甲方</w:t>
      </w:r>
      <w:r>
        <w:rPr>
          <w:rFonts w:hint="eastAsia" w:ascii="宋体" w:hAnsi="宋体"/>
          <w:color w:val="auto"/>
          <w:szCs w:val="21"/>
          <w:highlight w:val="none"/>
        </w:rPr>
        <w:t>有权拒绝接受。</w:t>
      </w:r>
    </w:p>
    <w:p w14:paraId="4B15856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.以双方签定的合同的条件为准，逐项进行最终验收。</w:t>
      </w:r>
      <w:r>
        <w:rPr>
          <w:rFonts w:hint="eastAsia" w:ascii="宋体" w:hAnsi="宋体"/>
          <w:color w:val="auto"/>
          <w:szCs w:val="21"/>
          <w:highlight w:val="none"/>
          <w:lang w:val="en-US" w:eastAsia="zh-CN"/>
        </w:rPr>
        <w:t>甲方</w:t>
      </w:r>
      <w:r>
        <w:rPr>
          <w:rFonts w:hint="eastAsia" w:ascii="宋体" w:hAnsi="宋体"/>
          <w:color w:val="auto"/>
          <w:szCs w:val="21"/>
          <w:highlight w:val="none"/>
        </w:rPr>
        <w:t>对验收有异议的，在验收后5个工作日内以书面形式向</w:t>
      </w:r>
      <w:r>
        <w:rPr>
          <w:rFonts w:hint="eastAsia" w:ascii="宋体" w:hAnsi="宋体"/>
          <w:color w:val="auto"/>
          <w:szCs w:val="21"/>
          <w:highlight w:val="none"/>
          <w:lang w:val="en-US" w:eastAsia="zh-CN"/>
        </w:rPr>
        <w:t>乙方</w:t>
      </w:r>
      <w:r>
        <w:rPr>
          <w:rFonts w:hint="eastAsia" w:ascii="宋体" w:hAnsi="宋体"/>
          <w:color w:val="auto"/>
          <w:szCs w:val="21"/>
          <w:highlight w:val="none"/>
        </w:rPr>
        <w:t>提出,</w:t>
      </w:r>
      <w:r>
        <w:rPr>
          <w:rFonts w:hint="eastAsia" w:ascii="宋体" w:hAnsi="宋体"/>
          <w:color w:val="auto"/>
          <w:szCs w:val="21"/>
          <w:highlight w:val="none"/>
          <w:lang w:val="en-US" w:eastAsia="zh-CN"/>
        </w:rPr>
        <w:t>乙方</w:t>
      </w:r>
      <w:r>
        <w:rPr>
          <w:rFonts w:hint="eastAsia" w:ascii="宋体" w:hAnsi="宋体"/>
          <w:color w:val="auto"/>
          <w:szCs w:val="21"/>
          <w:highlight w:val="none"/>
        </w:rPr>
        <w:t>应自收到</w:t>
      </w:r>
      <w:r>
        <w:rPr>
          <w:rFonts w:hint="eastAsia" w:ascii="宋体" w:hAnsi="宋体"/>
          <w:color w:val="auto"/>
          <w:szCs w:val="21"/>
          <w:highlight w:val="none"/>
          <w:lang w:val="en-US" w:eastAsia="zh-CN"/>
        </w:rPr>
        <w:t>甲方</w:t>
      </w:r>
      <w:r>
        <w:rPr>
          <w:rFonts w:hint="eastAsia" w:ascii="宋体" w:hAnsi="宋体"/>
          <w:color w:val="auto"/>
          <w:szCs w:val="21"/>
          <w:highlight w:val="none"/>
        </w:rPr>
        <w:t>书面异议后5个工作日内及时予以解决。</w:t>
      </w:r>
      <w:r>
        <w:rPr>
          <w:rFonts w:hint="eastAsia" w:ascii="宋体" w:hAnsi="宋体"/>
          <w:color w:val="auto"/>
          <w:szCs w:val="21"/>
          <w:highlight w:val="none"/>
          <w:lang w:val="en-US" w:eastAsia="zh-CN"/>
        </w:rPr>
        <w:t>甲方</w:t>
      </w:r>
      <w:r>
        <w:rPr>
          <w:rFonts w:hint="eastAsia" w:ascii="宋体" w:hAnsi="宋体"/>
          <w:color w:val="auto"/>
          <w:szCs w:val="21"/>
          <w:highlight w:val="none"/>
        </w:rPr>
        <w:t>有权邀请相关行业专家一起验收，所产生的费用包含在竞标报价中。</w:t>
      </w:r>
    </w:p>
    <w:p w14:paraId="6C0A5C1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7、乙方</w:t>
      </w:r>
      <w:r>
        <w:rPr>
          <w:rFonts w:hint="eastAsia" w:ascii="宋体" w:hAnsi="宋体"/>
          <w:color w:val="auto"/>
          <w:szCs w:val="21"/>
          <w:highlight w:val="none"/>
        </w:rPr>
        <w:t>提供的服务未达到采购文件规定要求或未按响应文件承诺提供的，且对</w:t>
      </w:r>
      <w:r>
        <w:rPr>
          <w:rFonts w:hint="eastAsia" w:ascii="宋体" w:hAnsi="宋体"/>
          <w:color w:val="auto"/>
          <w:szCs w:val="21"/>
          <w:highlight w:val="none"/>
          <w:lang w:val="en-US" w:eastAsia="zh-CN"/>
        </w:rPr>
        <w:t>甲方</w:t>
      </w:r>
      <w:r>
        <w:rPr>
          <w:rFonts w:hint="eastAsia" w:ascii="宋体" w:hAnsi="宋体"/>
          <w:color w:val="auto"/>
          <w:szCs w:val="21"/>
          <w:highlight w:val="none"/>
        </w:rPr>
        <w:t>造成损失的，由</w:t>
      </w:r>
      <w:r>
        <w:rPr>
          <w:rFonts w:hint="eastAsia" w:ascii="宋体" w:hAnsi="宋体"/>
          <w:color w:val="auto"/>
          <w:szCs w:val="21"/>
          <w:highlight w:val="none"/>
          <w:lang w:val="en-US" w:eastAsia="zh-CN"/>
        </w:rPr>
        <w:t>乙方</w:t>
      </w:r>
      <w:r>
        <w:rPr>
          <w:rFonts w:hint="eastAsia" w:ascii="宋体" w:hAnsi="宋体"/>
          <w:color w:val="auto"/>
          <w:szCs w:val="21"/>
          <w:highlight w:val="none"/>
        </w:rPr>
        <w:t>承担一切责任，并赔偿所造成的损失。因</w:t>
      </w:r>
      <w:r>
        <w:rPr>
          <w:rFonts w:hint="eastAsia" w:ascii="宋体" w:hAnsi="宋体"/>
          <w:color w:val="auto"/>
          <w:szCs w:val="21"/>
          <w:highlight w:val="none"/>
          <w:lang w:val="en-US" w:eastAsia="zh-CN"/>
        </w:rPr>
        <w:t>乙方</w:t>
      </w:r>
      <w:r>
        <w:rPr>
          <w:rFonts w:hint="eastAsia" w:ascii="宋体" w:hAnsi="宋体"/>
          <w:color w:val="auto"/>
          <w:szCs w:val="21"/>
          <w:highlight w:val="none"/>
        </w:rPr>
        <w:t>原因逾期10日未交付合同货物、服务的，</w:t>
      </w:r>
      <w:r>
        <w:rPr>
          <w:rFonts w:hint="eastAsia" w:ascii="宋体" w:hAnsi="宋体"/>
          <w:color w:val="auto"/>
          <w:szCs w:val="21"/>
          <w:highlight w:val="none"/>
          <w:lang w:val="en-US" w:eastAsia="zh-CN"/>
        </w:rPr>
        <w:t>甲方</w:t>
      </w:r>
      <w:r>
        <w:rPr>
          <w:rFonts w:hint="eastAsia" w:ascii="宋体" w:hAnsi="宋体"/>
          <w:color w:val="auto"/>
          <w:szCs w:val="21"/>
          <w:highlight w:val="none"/>
        </w:rPr>
        <w:t>有权解除合同，不支付合同款项，按</w:t>
      </w:r>
      <w:r>
        <w:rPr>
          <w:rFonts w:hint="eastAsia" w:ascii="宋体" w:hAnsi="宋体"/>
          <w:color w:val="auto"/>
          <w:szCs w:val="21"/>
          <w:highlight w:val="none"/>
          <w:lang w:val="en-US" w:eastAsia="zh-CN"/>
        </w:rPr>
        <w:t>乙方</w:t>
      </w:r>
      <w:r>
        <w:rPr>
          <w:rFonts w:hint="eastAsia" w:ascii="宋体" w:hAnsi="宋体"/>
          <w:color w:val="auto"/>
          <w:szCs w:val="21"/>
          <w:highlight w:val="none"/>
        </w:rPr>
        <w:t>违约处理，给</w:t>
      </w:r>
      <w:r>
        <w:rPr>
          <w:rFonts w:hint="eastAsia" w:ascii="宋体" w:hAnsi="宋体"/>
          <w:color w:val="auto"/>
          <w:szCs w:val="21"/>
          <w:highlight w:val="none"/>
          <w:lang w:val="en-US" w:eastAsia="zh-CN"/>
        </w:rPr>
        <w:t>甲方</w:t>
      </w:r>
      <w:r>
        <w:rPr>
          <w:rFonts w:hint="eastAsia" w:ascii="宋体" w:hAnsi="宋体"/>
          <w:color w:val="auto"/>
          <w:szCs w:val="21"/>
          <w:highlight w:val="none"/>
        </w:rPr>
        <w:t>造成损失的，</w:t>
      </w:r>
      <w:r>
        <w:rPr>
          <w:rFonts w:hint="eastAsia" w:ascii="宋体" w:hAnsi="宋体"/>
          <w:color w:val="auto"/>
          <w:szCs w:val="21"/>
          <w:highlight w:val="none"/>
          <w:lang w:val="en-US" w:eastAsia="zh-CN"/>
        </w:rPr>
        <w:t>甲方</w:t>
      </w:r>
      <w:r>
        <w:rPr>
          <w:rFonts w:hint="eastAsia" w:ascii="宋体" w:hAnsi="宋体"/>
          <w:color w:val="auto"/>
          <w:szCs w:val="21"/>
          <w:highlight w:val="none"/>
        </w:rPr>
        <w:t>依法进行追偿。</w:t>
      </w:r>
    </w:p>
    <w:p w14:paraId="018E0C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采购标的需执行国家标准、行业标准、地方标准或者其他标准、规范。多项标准的，按最新标准或较高标准执行。</w:t>
      </w:r>
    </w:p>
    <w:p w14:paraId="19D2C9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14748DDF">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》、双方合同、响应文件验收。</w:t>
      </w:r>
    </w:p>
    <w:p w14:paraId="4D3B2919">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6983F9E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602873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7B4DC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甲方指定地点</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7C11641E">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5DA568CA">
      <w:pPr>
        <w:snapToGrid w:val="0"/>
        <w:spacing w:line="360" w:lineRule="auto"/>
        <w:ind w:firstLine="420" w:firstLineChars="200"/>
        <w:rPr>
          <w:rFonts w:hint="default" w:ascii="宋体" w:hAnsi="宋体" w:eastAsia="宋体" w:cs="宋体"/>
          <w:b w:val="0"/>
          <w:bCs/>
          <w:color w:val="auto"/>
          <w:szCs w:val="21"/>
          <w:highlight w:val="none"/>
          <w:u w:val="single"/>
          <w:lang w:val="en-US" w:eastAsia="zh-CN"/>
        </w:rPr>
      </w:pPr>
      <w:r>
        <w:rPr>
          <w:rFonts w:hint="eastAsia" w:ascii="宋体" w:hAnsi="宋体" w:cs="宋体"/>
          <w:b w:val="0"/>
          <w:bCs/>
          <w:color w:val="auto"/>
          <w:szCs w:val="21"/>
          <w:highlight w:val="none"/>
          <w:u w:val="single"/>
          <w:lang w:val="en-US" w:eastAsia="zh-CN"/>
        </w:rPr>
        <w:t>（详见采购需求）</w:t>
      </w:r>
    </w:p>
    <w:p w14:paraId="716148AB">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14:paraId="3F5030BB">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履约保证金金额：按成交金额的2%。</w:t>
      </w:r>
    </w:p>
    <w:p w14:paraId="6B25D222">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履约保证金提交方式：银行转账、支票、汇票、本票或者金融机构、担保机构出具的保函等非现金方式。</w:t>
      </w:r>
    </w:p>
    <w:p w14:paraId="5BE91593">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履约保证金退付方式、时间及条件：由成交供应商向履约保证金收取单位提供《采购项目合同验收书》（参照桂财采〔2015〕22号格式），保证金收取单位在收到合格材料后5个工作日内办理退还手续（不计利息）。</w:t>
      </w:r>
    </w:p>
    <w:p w14:paraId="5BD6D768">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履约保证金指定账户：</w:t>
      </w:r>
    </w:p>
    <w:p w14:paraId="08ACFDBB">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账户名称：广西物流职业技术学院</w:t>
      </w:r>
    </w:p>
    <w:p w14:paraId="58827F21">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rPr>
        <w:t>基本户：2116710009100329097</w:t>
      </w:r>
    </w:p>
    <w:p w14:paraId="0234B695">
      <w:pPr>
        <w:spacing w:line="360" w:lineRule="auto"/>
        <w:ind w:firstLine="420" w:firstLineChars="200"/>
        <w:rPr>
          <w:rFonts w:hint="eastAsia" w:ascii="宋体" w:hAnsi="宋体" w:cs="宋体"/>
          <w:color w:val="auto"/>
          <w:szCs w:val="21"/>
          <w:highlight w:val="none"/>
        </w:rPr>
      </w:pPr>
      <w:r>
        <w:rPr>
          <w:rFonts w:hint="eastAsia" w:ascii="宋体" w:hAnsi="宋体"/>
          <w:b w:val="0"/>
          <w:bCs w:val="0"/>
          <w:color w:val="auto"/>
          <w:szCs w:val="21"/>
          <w:highlight w:val="none"/>
        </w:rPr>
        <w:t>开户行：中国工商银行贵港市贵城支行。</w:t>
      </w:r>
    </w:p>
    <w:p w14:paraId="043FBA7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70A90C4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528B361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7A5E206C">
      <w:pPr>
        <w:snapToGrid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auto"/>
          <w:szCs w:val="21"/>
          <w:highlight w:val="none"/>
        </w:rPr>
        <w:t xml:space="preserve">                                  </w:t>
      </w:r>
    </w:p>
    <w:p w14:paraId="3F2076B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14:paraId="5FA875D4">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、甲方延期付款的，每天向乙方偿付延期款额3‰滞纳金，但滞纳金累计不得超过延期款额5%。</w:t>
      </w:r>
    </w:p>
    <w:p w14:paraId="48E23FE9">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4、其它违约行为按合同金额5%收取违约金并赔偿经济损失。</w:t>
      </w:r>
    </w:p>
    <w:p w14:paraId="71EE41D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5.未经甲方书面同意，乙方不得转让本合同项下全部或部分义务。</w:t>
      </w:r>
    </w:p>
    <w:p w14:paraId="651DB25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6.乙方提供本合同所涉及的相关产品或者服务，均须符合国家、行业各项法律、法规以及标准规范，如存在多个标准规范的，以最高要求的标准规范为准。</w:t>
      </w:r>
    </w:p>
    <w:p w14:paraId="51C3333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7、乙方违反本合同第三条第四款约定，未经甲方书面允许擅自将合同工作内容委托给第三方的，甲方有权解除合同，并要求乙方承担合同金额</w:t>
      </w:r>
      <w:r>
        <w:rPr>
          <w:rFonts w:hint="eastAsia" w:ascii="宋体" w:hAnsi="宋体"/>
          <w:color w:val="auto"/>
          <w:szCs w:val="21"/>
          <w:highlight w:val="none"/>
          <w:lang w:val="en-US" w:eastAsia="zh-CN"/>
        </w:rPr>
        <w:t>5</w:t>
      </w:r>
      <w:r>
        <w:rPr>
          <w:rFonts w:hint="eastAsia" w:ascii="宋体" w:hAnsi="宋体"/>
          <w:color w:val="auto"/>
          <w:szCs w:val="21"/>
          <w:highlight w:val="none"/>
        </w:rPr>
        <w:t>%的违约金，及赔偿因此给甲方造成的全部损失。</w:t>
      </w:r>
    </w:p>
    <w:p w14:paraId="471C224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2779B1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086131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158025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3、不可抗力事件延续一百二十天以上，双方应通过友好协商，确定是否解除合同。</w:t>
      </w:r>
    </w:p>
    <w:p w14:paraId="54228864">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0119CCC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63F3DC1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的人民法院提起诉讼。守约方为主张权利而产生的律师费、保全费、保函费、鉴定费、公告费、公证费等由违约方承担。</w:t>
      </w:r>
    </w:p>
    <w:p w14:paraId="287091D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3FB00A8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44EDED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0FC1161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w:t>
      </w:r>
      <w:r>
        <w:rPr>
          <w:rFonts w:hint="eastAsia" w:ascii="宋体" w:hAnsi="宋体" w:cs="宋体"/>
          <w:color w:val="auto"/>
          <w:szCs w:val="21"/>
          <w:highlight w:val="none"/>
          <w:lang w:eastAsia="zh-CN"/>
        </w:rPr>
        <w:t>签订</w:t>
      </w:r>
      <w:r>
        <w:rPr>
          <w:rFonts w:hint="eastAsia" w:ascii="宋体" w:hAnsi="宋体" w:cs="宋体"/>
          <w:color w:val="auto"/>
          <w:szCs w:val="21"/>
          <w:highlight w:val="none"/>
        </w:rPr>
        <w:t>书面补充协议报财政部门备案，方可作为主合同不可分割的一部分。</w:t>
      </w:r>
    </w:p>
    <w:p w14:paraId="6862C2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2CD3E65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6414D7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5CA15F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1B9E749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63868C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1、本合同协议书；</w:t>
      </w:r>
    </w:p>
    <w:p w14:paraId="2A6C1C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2、采购文件；</w:t>
      </w:r>
    </w:p>
    <w:p w14:paraId="2EE1D5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3、乙方提供的响应（或应答）文件；</w:t>
      </w:r>
    </w:p>
    <w:p w14:paraId="4D2E38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4、成交通知书；</w:t>
      </w:r>
    </w:p>
    <w:p w14:paraId="723EE61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5、补充协议（如有）。</w:t>
      </w:r>
    </w:p>
    <w:p w14:paraId="2B8262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6、上述合同文件互相补充和解释。如涉及乙方义务的合同文件之间存在矛盾或者不一致之处，以最高要求的约定为准。</w:t>
      </w:r>
    </w:p>
    <w:p w14:paraId="759AA147">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w:t>
      </w:r>
      <w:r>
        <w:rPr>
          <w:rFonts w:hint="eastAsia" w:ascii="宋体" w:hAnsi="宋体" w:cs="宋体"/>
          <w:color w:val="auto"/>
          <w:szCs w:val="21"/>
          <w:highlight w:val="none"/>
          <w:lang w:eastAsia="zh-CN"/>
        </w:rPr>
        <w:t>伍</w:t>
      </w:r>
      <w:r>
        <w:rPr>
          <w:rFonts w:hint="eastAsia" w:ascii="宋体" w:hAnsi="宋体" w:cs="宋体"/>
          <w:color w:val="auto"/>
          <w:szCs w:val="21"/>
          <w:highlight w:val="none"/>
        </w:rPr>
        <w:t>份，具有同等法律效力，采购代理机构各一份，甲乙双方各</w:t>
      </w:r>
      <w:r>
        <w:rPr>
          <w:rFonts w:hint="eastAsia" w:ascii="宋体" w:hAnsi="宋体" w:cs="宋体"/>
          <w:color w:val="auto"/>
          <w:szCs w:val="21"/>
          <w:highlight w:val="none"/>
          <w:lang w:eastAsia="zh-CN"/>
        </w:rPr>
        <w:t>贰</w:t>
      </w:r>
      <w:r>
        <w:rPr>
          <w:rFonts w:hint="eastAsia" w:ascii="宋体" w:hAnsi="宋体" w:cs="宋体"/>
          <w:color w:val="auto"/>
          <w:szCs w:val="21"/>
          <w:highlight w:val="none"/>
        </w:rPr>
        <w:t>份（可根据需要另增加）。</w:t>
      </w:r>
    </w:p>
    <w:p w14:paraId="3F2D3C6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24"/>
        <w:tblpPr w:leftFromText="180" w:rightFromText="180" w:vertAnchor="text" w:horzAnchor="margin"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4CBA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364D360">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3655B899">
            <w:pPr>
              <w:snapToGrid w:val="0"/>
              <w:spacing w:line="360" w:lineRule="auto"/>
              <w:rPr>
                <w:rFonts w:hint="eastAsia" w:ascii="宋体" w:hAnsi="宋体" w:cs="宋体"/>
                <w:color w:val="auto"/>
                <w:szCs w:val="21"/>
                <w:highlight w:val="none"/>
              </w:rPr>
            </w:pPr>
          </w:p>
          <w:p w14:paraId="0E160583">
            <w:pPr>
              <w:snapToGrid w:val="0"/>
              <w:spacing w:line="360" w:lineRule="auto"/>
              <w:rPr>
                <w:rFonts w:hint="eastAsia" w:ascii="宋体" w:hAnsi="宋体" w:cs="宋体"/>
                <w:color w:val="auto"/>
                <w:szCs w:val="21"/>
                <w:highlight w:val="none"/>
              </w:rPr>
            </w:pPr>
          </w:p>
          <w:p w14:paraId="2FAF1932">
            <w:pPr>
              <w:snapToGrid w:val="0"/>
              <w:spacing w:line="360" w:lineRule="auto"/>
              <w:ind w:firstLine="945" w:firstLineChars="450"/>
              <w:jc w:val="right"/>
              <w:rPr>
                <w:rFonts w:hint="eastAsia" w:ascii="宋体" w:hAnsi="宋体" w:cs="宋体"/>
                <w:color w:val="auto"/>
                <w:szCs w:val="21"/>
                <w:highlight w:val="none"/>
              </w:rPr>
            </w:pPr>
          </w:p>
          <w:p w14:paraId="60F7A920">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777FBC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010193E9">
            <w:pPr>
              <w:snapToGrid w:val="0"/>
              <w:spacing w:line="360" w:lineRule="auto"/>
              <w:rPr>
                <w:rFonts w:hint="eastAsia" w:ascii="宋体" w:hAnsi="宋体" w:cs="宋体"/>
                <w:color w:val="auto"/>
                <w:szCs w:val="21"/>
                <w:highlight w:val="none"/>
              </w:rPr>
            </w:pPr>
          </w:p>
          <w:p w14:paraId="5941FCD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856F1A8">
            <w:pPr>
              <w:snapToGrid w:val="0"/>
              <w:spacing w:line="360" w:lineRule="auto"/>
              <w:jc w:val="right"/>
              <w:rPr>
                <w:rFonts w:hint="eastAsia" w:ascii="宋体" w:hAnsi="宋体" w:cs="宋体"/>
                <w:color w:val="auto"/>
                <w:szCs w:val="21"/>
                <w:highlight w:val="none"/>
              </w:rPr>
            </w:pPr>
          </w:p>
          <w:p w14:paraId="754494EE">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2570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406E62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7B3D61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6AD2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6B943C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5C55BF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2601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1F9471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795E46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5E4A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52CE16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E9B5B3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65C0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B45FF4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CECCFB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1A54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012B59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1A2201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7A1A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2CFA12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18F2F8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08349430">
      <w:pPr>
        <w:snapToGrid w:val="0"/>
        <w:spacing w:line="480" w:lineRule="exact"/>
        <w:ind w:right="480" w:firstLine="0" w:firstLineChars="0"/>
        <w:rPr>
          <w:rFonts w:hint="eastAsia" w:ascii="宋体" w:hAnsi="宋体" w:cs="宋体"/>
          <w:color w:val="auto"/>
          <w:sz w:val="6"/>
          <w:szCs w:val="6"/>
          <w:highlight w:val="none"/>
        </w:rPr>
      </w:pPr>
    </w:p>
    <w:sectPr>
      <w:footerReference r:id="rId9" w:type="first"/>
      <w:footerReference r:id="rId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EAE8B1-3AAE-483C-A639-30B5F55DCF72}"/>
  </w:font>
  <w:font w:name="黑体">
    <w:panose1 w:val="02010609060101010101"/>
    <w:charset w:val="86"/>
    <w:family w:val="auto"/>
    <w:pitch w:val="default"/>
    <w:sig w:usb0="800002BF" w:usb1="38CF7CFA" w:usb2="00000016" w:usb3="00000000" w:csb0="00040001" w:csb1="00000000"/>
    <w:embedRegular r:id="rId2" w:fontKey="{07520185-D5FC-421A-AC46-671D9DC53744}"/>
  </w:font>
  <w:font w:name="Courier New">
    <w:panose1 w:val="02070309020205020404"/>
    <w:charset w:val="01"/>
    <w:family w:val="modern"/>
    <w:pitch w:val="default"/>
    <w:sig w:usb0="E0002EFF" w:usb1="C0007843" w:usb2="00000009" w:usb3="00000000" w:csb0="400001FF" w:csb1="FFFF0000"/>
    <w:embedRegular r:id="rId3" w:fontKey="{108FE33F-FE07-4695-88CB-FC356F6897E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4" w:fontKey="{EAD6B3C2-CC1F-40E6-91AC-ED931080EC55}"/>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方正小标宋简体">
    <w:altName w:val="方正小标宋简体"/>
    <w:panose1 w:val="03000509000000000000"/>
    <w:charset w:val="86"/>
    <w:family w:val="script"/>
    <w:pitch w:val="default"/>
    <w:sig w:usb0="00000001" w:usb1="080E0000" w:usb2="00000000" w:usb3="00000000" w:csb0="00040000" w:csb1="00000000"/>
    <w:embedRegular r:id="rId5" w:fontKey="{2A1AA6F0-9E2D-4D3F-8537-10D74EBAED3E}"/>
  </w:font>
  <w:font w:name="华文新魏">
    <w:altName w:val="华文新魏"/>
    <w:panose1 w:val="02010800040101010101"/>
    <w:charset w:val="86"/>
    <w:family w:val="auto"/>
    <w:pitch w:val="default"/>
    <w:sig w:usb0="00000001" w:usb1="080F0000" w:usb2="00000000" w:usb3="00000000" w:csb0="00040000" w:csb1="00000000"/>
    <w:embedRegular r:id="rId6" w:fontKey="{72DB5634-303E-431B-B103-4FB841756EC1}"/>
  </w:font>
  <w:font w:name="微软雅黑">
    <w:panose1 w:val="020B0503020204020204"/>
    <w:charset w:val="86"/>
    <w:family w:val="auto"/>
    <w:pitch w:val="default"/>
    <w:sig w:usb0="80000287" w:usb1="2ACF3C50" w:usb2="00000016" w:usb3="00000000" w:csb0="0004001F" w:csb1="00000000"/>
    <w:embedRegular r:id="rId7" w:fontKey="{039F962C-A210-4A11-89F7-571307F1EC02}"/>
  </w:font>
  <w:font w:name="Wingdings 2">
    <w:altName w:val="Wingdings 2"/>
    <w:panose1 w:val="05020102010507070707"/>
    <w:charset w:val="02"/>
    <w:family w:val="roman"/>
    <w:pitch w:val="default"/>
    <w:sig w:usb0="00000000" w:usb1="00000000" w:usb2="00000000" w:usb3="00000000" w:csb0="80000000" w:csb1="00000000"/>
    <w:embedRegular r:id="rId8" w:fontKey="{97812749-0088-4342-A2E5-70BF5F6009C7}"/>
  </w:font>
  <w:font w:name="WPSEMBED1">
    <w:panose1 w:val="03000509000000000000"/>
    <w:charset w:val="86"/>
    <w:family w:val="auto"/>
    <w:pitch w:val="default"/>
    <w:sig w:usb0="00000001" w:usb1="080E0000" w:usb2="00000000" w:usb3="00000000" w:csb0="00040000" w:csb1="00000000"/>
  </w:font>
  <w:font w:name="WPSEMBED2">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WPSEMBED3">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8848F">
    <w:pPr>
      <w:pStyle w:val="17"/>
      <w:tabs>
        <w:tab w:val="center" w:pos="4439"/>
        <w:tab w:val="clear" w:pos="4153"/>
      </w:tabs>
      <w:jc w:val="both"/>
    </w:pPr>
  </w:p>
  <w:p w14:paraId="66ED7A37">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4D166">
    <w:pPr>
      <w:pStyle w:val="17"/>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8BEC2B"/>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iY91bLAQAAnAMAAA4AAAAAAAAAAQAgAAAAHgEAAGRycy9lMm9E&#10;b2MueG1sUEsFBgAAAAAGAAYAWQEAAFsFAAAAAA==&#10;">
              <v:fill on="f" focussize="0,0"/>
              <v:stroke on="f"/>
              <v:imagedata o:title=""/>
              <o:lock v:ext="edit" aspectratio="f"/>
              <v:textbox inset="0mm,0mm,0mm,0mm" style="mso-fit-shape-to-text:t;">
                <w:txbxContent>
                  <w:p w14:paraId="3E8BEC2B"/>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C6A1E">
    <w:pPr>
      <w:pStyle w:val="17"/>
      <w:tabs>
        <w:tab w:val="center" w:pos="4439"/>
        <w:tab w:val="clear" w:pos="4153"/>
      </w:tabs>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4AF931">
                          <w:pPr>
                            <w:pStyle w:val="17"/>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51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AwWum4QEAAMEDAAAOAAAA&#10;AAAAAAEAIAAAAB4BAABkcnMvZTJvRG9jLnhtbFBLBQYAAAAABgAGAFkBAABxBQAAAAA=&#10;">
              <v:fill on="f" focussize="0,0"/>
              <v:stroke on="f"/>
              <v:imagedata o:title=""/>
              <o:lock v:ext="edit" aspectratio="f"/>
              <v:textbox inset="0mm,0mm,0mm,0mm" style="mso-fit-shape-to-text:t;">
                <w:txbxContent>
                  <w:p w14:paraId="294AF931">
                    <w:pPr>
                      <w:pStyle w:val="17"/>
                    </w:pPr>
                    <w:r>
                      <w:fldChar w:fldCharType="begin"/>
                    </w:r>
                    <w:r>
                      <w:instrText xml:space="preserve"> PAGE  \* MERGEFORMAT </w:instrText>
                    </w:r>
                    <w:r>
                      <w:fldChar w:fldCharType="separate"/>
                    </w:r>
                    <w:r>
                      <w:t>2</w:t>
                    </w:r>
                    <w:r>
                      <w:fldChar w:fldCharType="end"/>
                    </w:r>
                  </w:p>
                </w:txbxContent>
              </v:textbox>
            </v:shape>
          </w:pict>
        </mc:Fallback>
      </mc:AlternateContent>
    </w:r>
  </w:p>
  <w:p w14:paraId="1ED31AB0">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7395F">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8A523C">
                          <w:pPr>
                            <w:pStyle w:val="17"/>
                          </w:pPr>
                          <w:r>
                            <w:fldChar w:fldCharType="begin"/>
                          </w:r>
                          <w:r>
                            <w:instrText xml:space="preserve"> PAGE  \* MERGEFORMAT </w:instrText>
                          </w:r>
                          <w:r>
                            <w:fldChar w:fldCharType="separate"/>
                          </w:r>
                          <w:r>
                            <w:t>76</w:t>
                          </w:r>
                          <w:r>
                            <w:fldChar w:fldCharType="end"/>
                          </w:r>
                        </w:p>
                      </w:txbxContent>
                    </wps:txbx>
                    <wps:bodyPr vert="horz" wrap="none" lIns="0" tIns="0" rIns="0" bIns="0" anchor="t" anchorCtr="0" upright="0">
                      <a:spAutoFit/>
                    </wps:bodyPr>
                  </wps:wsp>
                </a:graphicData>
              </a:graphic>
            </wp:anchor>
          </w:drawing>
        </mc:Choice>
        <mc:Fallback>
          <w:pict>
            <v:shape id="文本框 51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HO7we4QEAAMEDAAAOAAAA&#10;AAAAAAEAIAAAAB4BAABkcnMvZTJvRG9jLnhtbFBLBQYAAAAABgAGAFkBAABxBQAAAAA=&#10;">
              <v:fill on="f" focussize="0,0"/>
              <v:stroke on="f"/>
              <v:imagedata o:title=""/>
              <o:lock v:ext="edit" aspectratio="f"/>
              <v:textbox inset="0mm,0mm,0mm,0mm" style="mso-fit-shape-to-text:t;">
                <w:txbxContent>
                  <w:p w14:paraId="438A523C">
                    <w:pPr>
                      <w:pStyle w:val="17"/>
                    </w:pPr>
                    <w:r>
                      <w:fldChar w:fldCharType="begin"/>
                    </w:r>
                    <w:r>
                      <w:instrText xml:space="preserve"> PAGE  \* MERGEFORMAT </w:instrText>
                    </w:r>
                    <w:r>
                      <w:fldChar w:fldCharType="separate"/>
                    </w:r>
                    <w:r>
                      <w:t>76</w:t>
                    </w:r>
                    <w:r>
                      <w:fldChar w:fldCharType="end"/>
                    </w:r>
                  </w:p>
                </w:txbxContent>
              </v:textbox>
            </v:shape>
          </w:pict>
        </mc:Fallback>
      </mc:AlternateContent>
    </w:r>
  </w:p>
  <w:p w14:paraId="4C139011">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EF2C2">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7659E2">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7UoM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VO1KDLAQAAnAMAAA4AAAAAAAAAAQAgAAAAHgEAAGRycy9lMm9E&#10;b2MueG1sUEsFBgAAAAAGAAYAWQEAAFsFAAAAAA==&#10;">
              <v:fill on="f" focussize="0,0"/>
              <v:stroke on="f"/>
              <v:imagedata o:title=""/>
              <o:lock v:ext="edit" aspectratio="f"/>
              <v:textbox inset="0mm,0mm,0mm,0mm" style="mso-fit-shape-to-text:t;">
                <w:txbxContent>
                  <w:p w14:paraId="217659E2">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A0180">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568DB">
    <w:pPr>
      <w:pStyle w:val="1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5,6,7"/>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B14"/>
    <w:rsid w:val="000002E0"/>
    <w:rsid w:val="00000672"/>
    <w:rsid w:val="00000D1E"/>
    <w:rsid w:val="00000F29"/>
    <w:rsid w:val="00001013"/>
    <w:rsid w:val="00001799"/>
    <w:rsid w:val="00001AF2"/>
    <w:rsid w:val="00001ECA"/>
    <w:rsid w:val="00002D29"/>
    <w:rsid w:val="00003B93"/>
    <w:rsid w:val="0000474D"/>
    <w:rsid w:val="00005FDF"/>
    <w:rsid w:val="0000644A"/>
    <w:rsid w:val="000070B3"/>
    <w:rsid w:val="000076B8"/>
    <w:rsid w:val="000109DC"/>
    <w:rsid w:val="00010D39"/>
    <w:rsid w:val="0001172C"/>
    <w:rsid w:val="00011BC9"/>
    <w:rsid w:val="00012854"/>
    <w:rsid w:val="00012EA6"/>
    <w:rsid w:val="00013359"/>
    <w:rsid w:val="000139CF"/>
    <w:rsid w:val="00013AA4"/>
    <w:rsid w:val="00013DFE"/>
    <w:rsid w:val="000141EA"/>
    <w:rsid w:val="00016ABC"/>
    <w:rsid w:val="000177DB"/>
    <w:rsid w:val="000179C9"/>
    <w:rsid w:val="00017CCC"/>
    <w:rsid w:val="00020227"/>
    <w:rsid w:val="00020263"/>
    <w:rsid w:val="00020455"/>
    <w:rsid w:val="00020813"/>
    <w:rsid w:val="000215D0"/>
    <w:rsid w:val="000220B2"/>
    <w:rsid w:val="0002264C"/>
    <w:rsid w:val="00022731"/>
    <w:rsid w:val="00022792"/>
    <w:rsid w:val="00024463"/>
    <w:rsid w:val="0002516D"/>
    <w:rsid w:val="00025461"/>
    <w:rsid w:val="00025636"/>
    <w:rsid w:val="00025E36"/>
    <w:rsid w:val="00026855"/>
    <w:rsid w:val="00026886"/>
    <w:rsid w:val="0002785D"/>
    <w:rsid w:val="000307BE"/>
    <w:rsid w:val="000329E0"/>
    <w:rsid w:val="0003328A"/>
    <w:rsid w:val="000346A4"/>
    <w:rsid w:val="000352E9"/>
    <w:rsid w:val="00035494"/>
    <w:rsid w:val="00036125"/>
    <w:rsid w:val="00036A07"/>
    <w:rsid w:val="0003780B"/>
    <w:rsid w:val="00040571"/>
    <w:rsid w:val="00040973"/>
    <w:rsid w:val="0004156E"/>
    <w:rsid w:val="00041713"/>
    <w:rsid w:val="00041B22"/>
    <w:rsid w:val="0004440C"/>
    <w:rsid w:val="00046B5E"/>
    <w:rsid w:val="000470CB"/>
    <w:rsid w:val="0004783D"/>
    <w:rsid w:val="000509D9"/>
    <w:rsid w:val="000512AF"/>
    <w:rsid w:val="00051ACB"/>
    <w:rsid w:val="000533E7"/>
    <w:rsid w:val="000537F3"/>
    <w:rsid w:val="00055A87"/>
    <w:rsid w:val="00055D41"/>
    <w:rsid w:val="00056EF6"/>
    <w:rsid w:val="00057CD6"/>
    <w:rsid w:val="00060DCE"/>
    <w:rsid w:val="000610E3"/>
    <w:rsid w:val="000614F3"/>
    <w:rsid w:val="00061AC4"/>
    <w:rsid w:val="000623B4"/>
    <w:rsid w:val="00062405"/>
    <w:rsid w:val="000634A7"/>
    <w:rsid w:val="00063B0B"/>
    <w:rsid w:val="00063F81"/>
    <w:rsid w:val="00064847"/>
    <w:rsid w:val="00065E08"/>
    <w:rsid w:val="000673E2"/>
    <w:rsid w:val="00067E4D"/>
    <w:rsid w:val="00067EF1"/>
    <w:rsid w:val="0007063F"/>
    <w:rsid w:val="000707FD"/>
    <w:rsid w:val="00070949"/>
    <w:rsid w:val="000711E4"/>
    <w:rsid w:val="00071E9B"/>
    <w:rsid w:val="000720A1"/>
    <w:rsid w:val="000724D9"/>
    <w:rsid w:val="00072AED"/>
    <w:rsid w:val="00073F47"/>
    <w:rsid w:val="0007492F"/>
    <w:rsid w:val="00074ED8"/>
    <w:rsid w:val="00075B7E"/>
    <w:rsid w:val="00077ACA"/>
    <w:rsid w:val="00077C70"/>
    <w:rsid w:val="000813B5"/>
    <w:rsid w:val="0008191E"/>
    <w:rsid w:val="00081BA3"/>
    <w:rsid w:val="00081D2E"/>
    <w:rsid w:val="00081F89"/>
    <w:rsid w:val="00082619"/>
    <w:rsid w:val="00082D02"/>
    <w:rsid w:val="0008381A"/>
    <w:rsid w:val="00083871"/>
    <w:rsid w:val="00083B91"/>
    <w:rsid w:val="0008473C"/>
    <w:rsid w:val="0008520B"/>
    <w:rsid w:val="000857DE"/>
    <w:rsid w:val="000860BD"/>
    <w:rsid w:val="000871B8"/>
    <w:rsid w:val="00087B0A"/>
    <w:rsid w:val="0009125C"/>
    <w:rsid w:val="000916DA"/>
    <w:rsid w:val="00091AAB"/>
    <w:rsid w:val="00091F0A"/>
    <w:rsid w:val="00092442"/>
    <w:rsid w:val="000929EF"/>
    <w:rsid w:val="00092C26"/>
    <w:rsid w:val="000933BE"/>
    <w:rsid w:val="00094428"/>
    <w:rsid w:val="0009560F"/>
    <w:rsid w:val="000956F0"/>
    <w:rsid w:val="0009588E"/>
    <w:rsid w:val="000959EE"/>
    <w:rsid w:val="00096DB9"/>
    <w:rsid w:val="00097183"/>
    <w:rsid w:val="000972CB"/>
    <w:rsid w:val="00097608"/>
    <w:rsid w:val="000A0F35"/>
    <w:rsid w:val="000A1175"/>
    <w:rsid w:val="000A13F3"/>
    <w:rsid w:val="000A1C18"/>
    <w:rsid w:val="000A23B1"/>
    <w:rsid w:val="000A2B0E"/>
    <w:rsid w:val="000A398F"/>
    <w:rsid w:val="000A448C"/>
    <w:rsid w:val="000A509C"/>
    <w:rsid w:val="000A549B"/>
    <w:rsid w:val="000A54A7"/>
    <w:rsid w:val="000A5A17"/>
    <w:rsid w:val="000A6007"/>
    <w:rsid w:val="000A65A6"/>
    <w:rsid w:val="000A70E3"/>
    <w:rsid w:val="000A7275"/>
    <w:rsid w:val="000A7A12"/>
    <w:rsid w:val="000A7A72"/>
    <w:rsid w:val="000B1202"/>
    <w:rsid w:val="000B1801"/>
    <w:rsid w:val="000B1D0C"/>
    <w:rsid w:val="000B2273"/>
    <w:rsid w:val="000B2BC6"/>
    <w:rsid w:val="000B2D03"/>
    <w:rsid w:val="000B37F2"/>
    <w:rsid w:val="000B3815"/>
    <w:rsid w:val="000B3C7B"/>
    <w:rsid w:val="000B3E68"/>
    <w:rsid w:val="000B4321"/>
    <w:rsid w:val="000B6A6B"/>
    <w:rsid w:val="000B6C95"/>
    <w:rsid w:val="000B79FC"/>
    <w:rsid w:val="000C1679"/>
    <w:rsid w:val="000C1EE3"/>
    <w:rsid w:val="000C3AE7"/>
    <w:rsid w:val="000C3CC9"/>
    <w:rsid w:val="000C3EA9"/>
    <w:rsid w:val="000C59C6"/>
    <w:rsid w:val="000C6DE4"/>
    <w:rsid w:val="000C7202"/>
    <w:rsid w:val="000D0A89"/>
    <w:rsid w:val="000D1389"/>
    <w:rsid w:val="000D1798"/>
    <w:rsid w:val="000D1D20"/>
    <w:rsid w:val="000D2626"/>
    <w:rsid w:val="000D4016"/>
    <w:rsid w:val="000D411D"/>
    <w:rsid w:val="000D4589"/>
    <w:rsid w:val="000D4809"/>
    <w:rsid w:val="000D73DD"/>
    <w:rsid w:val="000E1C51"/>
    <w:rsid w:val="000E28AB"/>
    <w:rsid w:val="000E2E3E"/>
    <w:rsid w:val="000E3583"/>
    <w:rsid w:val="000E3AF0"/>
    <w:rsid w:val="000E4E04"/>
    <w:rsid w:val="000E693B"/>
    <w:rsid w:val="000E6D5C"/>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1D1B"/>
    <w:rsid w:val="00102676"/>
    <w:rsid w:val="00103646"/>
    <w:rsid w:val="00103918"/>
    <w:rsid w:val="00104897"/>
    <w:rsid w:val="00104EDE"/>
    <w:rsid w:val="00104F54"/>
    <w:rsid w:val="00105CDA"/>
    <w:rsid w:val="00106BEE"/>
    <w:rsid w:val="0010711C"/>
    <w:rsid w:val="00107368"/>
    <w:rsid w:val="00107BDF"/>
    <w:rsid w:val="00107C74"/>
    <w:rsid w:val="0011091C"/>
    <w:rsid w:val="00111266"/>
    <w:rsid w:val="001112EB"/>
    <w:rsid w:val="00111395"/>
    <w:rsid w:val="0011247D"/>
    <w:rsid w:val="00113678"/>
    <w:rsid w:val="00113A7D"/>
    <w:rsid w:val="00113C3E"/>
    <w:rsid w:val="00115E11"/>
    <w:rsid w:val="00115EEE"/>
    <w:rsid w:val="00115F56"/>
    <w:rsid w:val="00116999"/>
    <w:rsid w:val="00116CA9"/>
    <w:rsid w:val="00116F38"/>
    <w:rsid w:val="001170A4"/>
    <w:rsid w:val="00117AE7"/>
    <w:rsid w:val="00117B85"/>
    <w:rsid w:val="00117CBD"/>
    <w:rsid w:val="0012006A"/>
    <w:rsid w:val="00121979"/>
    <w:rsid w:val="00122064"/>
    <w:rsid w:val="00124341"/>
    <w:rsid w:val="00124492"/>
    <w:rsid w:val="00124B12"/>
    <w:rsid w:val="001250A0"/>
    <w:rsid w:val="001263B8"/>
    <w:rsid w:val="00130217"/>
    <w:rsid w:val="00130783"/>
    <w:rsid w:val="00130A47"/>
    <w:rsid w:val="00130FB0"/>
    <w:rsid w:val="00132B47"/>
    <w:rsid w:val="001337F8"/>
    <w:rsid w:val="001348B4"/>
    <w:rsid w:val="0013506E"/>
    <w:rsid w:val="001351CB"/>
    <w:rsid w:val="00135530"/>
    <w:rsid w:val="00135947"/>
    <w:rsid w:val="001359A2"/>
    <w:rsid w:val="00135F92"/>
    <w:rsid w:val="00136020"/>
    <w:rsid w:val="00136445"/>
    <w:rsid w:val="00136A9C"/>
    <w:rsid w:val="0013723F"/>
    <w:rsid w:val="00137389"/>
    <w:rsid w:val="00140132"/>
    <w:rsid w:val="00141C9C"/>
    <w:rsid w:val="0014277F"/>
    <w:rsid w:val="00142F71"/>
    <w:rsid w:val="001434BE"/>
    <w:rsid w:val="00143AAD"/>
    <w:rsid w:val="00144050"/>
    <w:rsid w:val="00144369"/>
    <w:rsid w:val="0014479F"/>
    <w:rsid w:val="001452B4"/>
    <w:rsid w:val="00145320"/>
    <w:rsid w:val="001476D3"/>
    <w:rsid w:val="001509CF"/>
    <w:rsid w:val="00150D1D"/>
    <w:rsid w:val="001525AA"/>
    <w:rsid w:val="00152A87"/>
    <w:rsid w:val="00152AC1"/>
    <w:rsid w:val="00153BB5"/>
    <w:rsid w:val="00153E7B"/>
    <w:rsid w:val="00154518"/>
    <w:rsid w:val="00156359"/>
    <w:rsid w:val="00156DD6"/>
    <w:rsid w:val="0015750A"/>
    <w:rsid w:val="0016086E"/>
    <w:rsid w:val="001609B9"/>
    <w:rsid w:val="00160D0C"/>
    <w:rsid w:val="00160DD1"/>
    <w:rsid w:val="00161172"/>
    <w:rsid w:val="001615A3"/>
    <w:rsid w:val="00161998"/>
    <w:rsid w:val="00161E65"/>
    <w:rsid w:val="00162597"/>
    <w:rsid w:val="001629AF"/>
    <w:rsid w:val="001629FD"/>
    <w:rsid w:val="00163D82"/>
    <w:rsid w:val="0016428A"/>
    <w:rsid w:val="001647C9"/>
    <w:rsid w:val="00165627"/>
    <w:rsid w:val="001661A3"/>
    <w:rsid w:val="00167226"/>
    <w:rsid w:val="0016782B"/>
    <w:rsid w:val="0016784D"/>
    <w:rsid w:val="00167853"/>
    <w:rsid w:val="00167887"/>
    <w:rsid w:val="00172CA8"/>
    <w:rsid w:val="00173256"/>
    <w:rsid w:val="00173B0E"/>
    <w:rsid w:val="00173E03"/>
    <w:rsid w:val="0017512C"/>
    <w:rsid w:val="001754EE"/>
    <w:rsid w:val="001756AF"/>
    <w:rsid w:val="0017586A"/>
    <w:rsid w:val="00175BA6"/>
    <w:rsid w:val="00175D6F"/>
    <w:rsid w:val="00176CA7"/>
    <w:rsid w:val="00176D0C"/>
    <w:rsid w:val="00176F8E"/>
    <w:rsid w:val="001778C5"/>
    <w:rsid w:val="00177E56"/>
    <w:rsid w:val="00177F0A"/>
    <w:rsid w:val="00180DA0"/>
    <w:rsid w:val="00181EAD"/>
    <w:rsid w:val="00182862"/>
    <w:rsid w:val="00183C7E"/>
    <w:rsid w:val="00184F57"/>
    <w:rsid w:val="00185091"/>
    <w:rsid w:val="00185544"/>
    <w:rsid w:val="00185617"/>
    <w:rsid w:val="00186FE1"/>
    <w:rsid w:val="00187A14"/>
    <w:rsid w:val="0019171E"/>
    <w:rsid w:val="00192368"/>
    <w:rsid w:val="001923A0"/>
    <w:rsid w:val="001928B1"/>
    <w:rsid w:val="00193537"/>
    <w:rsid w:val="00193846"/>
    <w:rsid w:val="00195424"/>
    <w:rsid w:val="001955FF"/>
    <w:rsid w:val="00197EDD"/>
    <w:rsid w:val="001A02B3"/>
    <w:rsid w:val="001A04BB"/>
    <w:rsid w:val="001A08D0"/>
    <w:rsid w:val="001A1304"/>
    <w:rsid w:val="001A1B39"/>
    <w:rsid w:val="001A2120"/>
    <w:rsid w:val="001A28C6"/>
    <w:rsid w:val="001A2D15"/>
    <w:rsid w:val="001A2E69"/>
    <w:rsid w:val="001A3C34"/>
    <w:rsid w:val="001A3EDE"/>
    <w:rsid w:val="001A4222"/>
    <w:rsid w:val="001A50EA"/>
    <w:rsid w:val="001A5E24"/>
    <w:rsid w:val="001A661D"/>
    <w:rsid w:val="001A6795"/>
    <w:rsid w:val="001A6B27"/>
    <w:rsid w:val="001A6D8B"/>
    <w:rsid w:val="001A6DAA"/>
    <w:rsid w:val="001A7717"/>
    <w:rsid w:val="001A793A"/>
    <w:rsid w:val="001B125A"/>
    <w:rsid w:val="001B1EBA"/>
    <w:rsid w:val="001B2142"/>
    <w:rsid w:val="001B2F2B"/>
    <w:rsid w:val="001B327A"/>
    <w:rsid w:val="001B35DE"/>
    <w:rsid w:val="001B3A13"/>
    <w:rsid w:val="001B3F5C"/>
    <w:rsid w:val="001B57C9"/>
    <w:rsid w:val="001B59FF"/>
    <w:rsid w:val="001B6512"/>
    <w:rsid w:val="001B65D7"/>
    <w:rsid w:val="001B6752"/>
    <w:rsid w:val="001B6768"/>
    <w:rsid w:val="001B6F1F"/>
    <w:rsid w:val="001B7ECC"/>
    <w:rsid w:val="001C025B"/>
    <w:rsid w:val="001C115F"/>
    <w:rsid w:val="001C1DED"/>
    <w:rsid w:val="001C1EAB"/>
    <w:rsid w:val="001C25A7"/>
    <w:rsid w:val="001C2775"/>
    <w:rsid w:val="001C318C"/>
    <w:rsid w:val="001C35C4"/>
    <w:rsid w:val="001C4287"/>
    <w:rsid w:val="001C4479"/>
    <w:rsid w:val="001C5190"/>
    <w:rsid w:val="001C6081"/>
    <w:rsid w:val="001C73EB"/>
    <w:rsid w:val="001C7B48"/>
    <w:rsid w:val="001D0CFB"/>
    <w:rsid w:val="001D1A0D"/>
    <w:rsid w:val="001D343C"/>
    <w:rsid w:val="001D4405"/>
    <w:rsid w:val="001D56E2"/>
    <w:rsid w:val="001D58A1"/>
    <w:rsid w:val="001D58C2"/>
    <w:rsid w:val="001D5A8A"/>
    <w:rsid w:val="001D61CA"/>
    <w:rsid w:val="001D6E87"/>
    <w:rsid w:val="001D735E"/>
    <w:rsid w:val="001D73C8"/>
    <w:rsid w:val="001D7BC6"/>
    <w:rsid w:val="001E129E"/>
    <w:rsid w:val="001E175C"/>
    <w:rsid w:val="001E1B0E"/>
    <w:rsid w:val="001E3B63"/>
    <w:rsid w:val="001E5A94"/>
    <w:rsid w:val="001F13FD"/>
    <w:rsid w:val="001F2A2E"/>
    <w:rsid w:val="001F3356"/>
    <w:rsid w:val="001F3C63"/>
    <w:rsid w:val="001F4460"/>
    <w:rsid w:val="001F6C96"/>
    <w:rsid w:val="001F711A"/>
    <w:rsid w:val="001F75B0"/>
    <w:rsid w:val="0020057C"/>
    <w:rsid w:val="0020083C"/>
    <w:rsid w:val="00200CE5"/>
    <w:rsid w:val="00200F7C"/>
    <w:rsid w:val="002014DB"/>
    <w:rsid w:val="0020150B"/>
    <w:rsid w:val="00201E12"/>
    <w:rsid w:val="00202295"/>
    <w:rsid w:val="00202A2A"/>
    <w:rsid w:val="002033B5"/>
    <w:rsid w:val="0020382C"/>
    <w:rsid w:val="0020437A"/>
    <w:rsid w:val="0020454C"/>
    <w:rsid w:val="00204740"/>
    <w:rsid w:val="00205129"/>
    <w:rsid w:val="00205202"/>
    <w:rsid w:val="0020521F"/>
    <w:rsid w:val="0020532C"/>
    <w:rsid w:val="0020747E"/>
    <w:rsid w:val="002114C7"/>
    <w:rsid w:val="00211AEB"/>
    <w:rsid w:val="0021302C"/>
    <w:rsid w:val="00213B1C"/>
    <w:rsid w:val="00213F1E"/>
    <w:rsid w:val="00214202"/>
    <w:rsid w:val="002148E3"/>
    <w:rsid w:val="0021552D"/>
    <w:rsid w:val="002156AE"/>
    <w:rsid w:val="0021597C"/>
    <w:rsid w:val="00215E99"/>
    <w:rsid w:val="00217565"/>
    <w:rsid w:val="00217DCA"/>
    <w:rsid w:val="0022054D"/>
    <w:rsid w:val="0022107B"/>
    <w:rsid w:val="00223DDB"/>
    <w:rsid w:val="00223FA4"/>
    <w:rsid w:val="00223FB0"/>
    <w:rsid w:val="0022405A"/>
    <w:rsid w:val="00224067"/>
    <w:rsid w:val="0022421C"/>
    <w:rsid w:val="00224C4A"/>
    <w:rsid w:val="00224E83"/>
    <w:rsid w:val="00225664"/>
    <w:rsid w:val="0022663D"/>
    <w:rsid w:val="00227C56"/>
    <w:rsid w:val="00227F2D"/>
    <w:rsid w:val="00231851"/>
    <w:rsid w:val="002319FB"/>
    <w:rsid w:val="00231B89"/>
    <w:rsid w:val="00231F11"/>
    <w:rsid w:val="00231F5E"/>
    <w:rsid w:val="002346B4"/>
    <w:rsid w:val="00234F6E"/>
    <w:rsid w:val="002355BE"/>
    <w:rsid w:val="002358EA"/>
    <w:rsid w:val="00236578"/>
    <w:rsid w:val="00236DE9"/>
    <w:rsid w:val="00237342"/>
    <w:rsid w:val="00237D5A"/>
    <w:rsid w:val="002404E9"/>
    <w:rsid w:val="00240D75"/>
    <w:rsid w:val="002415AE"/>
    <w:rsid w:val="00241D3C"/>
    <w:rsid w:val="00242109"/>
    <w:rsid w:val="00243189"/>
    <w:rsid w:val="002439AB"/>
    <w:rsid w:val="00243C19"/>
    <w:rsid w:val="00244AE8"/>
    <w:rsid w:val="00244DC9"/>
    <w:rsid w:val="00245587"/>
    <w:rsid w:val="00245F2B"/>
    <w:rsid w:val="002466CD"/>
    <w:rsid w:val="0024730E"/>
    <w:rsid w:val="00247F3A"/>
    <w:rsid w:val="00250122"/>
    <w:rsid w:val="0025024D"/>
    <w:rsid w:val="00250755"/>
    <w:rsid w:val="002508B7"/>
    <w:rsid w:val="00251043"/>
    <w:rsid w:val="00251C4A"/>
    <w:rsid w:val="0025271C"/>
    <w:rsid w:val="0025277A"/>
    <w:rsid w:val="002533CD"/>
    <w:rsid w:val="002535EA"/>
    <w:rsid w:val="00254EAB"/>
    <w:rsid w:val="002557AF"/>
    <w:rsid w:val="0025589C"/>
    <w:rsid w:val="00255B62"/>
    <w:rsid w:val="002566B1"/>
    <w:rsid w:val="00256E57"/>
    <w:rsid w:val="002575E3"/>
    <w:rsid w:val="00257A74"/>
    <w:rsid w:val="00257C5D"/>
    <w:rsid w:val="002603C1"/>
    <w:rsid w:val="002609A1"/>
    <w:rsid w:val="002612B1"/>
    <w:rsid w:val="002638A7"/>
    <w:rsid w:val="00265A12"/>
    <w:rsid w:val="00266165"/>
    <w:rsid w:val="00266F2C"/>
    <w:rsid w:val="0027125E"/>
    <w:rsid w:val="00271767"/>
    <w:rsid w:val="00272293"/>
    <w:rsid w:val="002723C8"/>
    <w:rsid w:val="00273633"/>
    <w:rsid w:val="00273C2A"/>
    <w:rsid w:val="00273CBE"/>
    <w:rsid w:val="002746B1"/>
    <w:rsid w:val="00274BAD"/>
    <w:rsid w:val="002807B0"/>
    <w:rsid w:val="00282D56"/>
    <w:rsid w:val="002835B0"/>
    <w:rsid w:val="00283C74"/>
    <w:rsid w:val="0028407E"/>
    <w:rsid w:val="0028410F"/>
    <w:rsid w:val="00284572"/>
    <w:rsid w:val="002850AA"/>
    <w:rsid w:val="00285221"/>
    <w:rsid w:val="00286FB5"/>
    <w:rsid w:val="00287763"/>
    <w:rsid w:val="00290606"/>
    <w:rsid w:val="002909B2"/>
    <w:rsid w:val="00291D6D"/>
    <w:rsid w:val="00291FF1"/>
    <w:rsid w:val="00292AA2"/>
    <w:rsid w:val="00293361"/>
    <w:rsid w:val="00294F10"/>
    <w:rsid w:val="002952B1"/>
    <w:rsid w:val="00295D11"/>
    <w:rsid w:val="00296FB6"/>
    <w:rsid w:val="002A0001"/>
    <w:rsid w:val="002A0BD9"/>
    <w:rsid w:val="002A0C3A"/>
    <w:rsid w:val="002A0DF8"/>
    <w:rsid w:val="002A0F1C"/>
    <w:rsid w:val="002A1130"/>
    <w:rsid w:val="002A1880"/>
    <w:rsid w:val="002A23B7"/>
    <w:rsid w:val="002A3A57"/>
    <w:rsid w:val="002A4B4F"/>
    <w:rsid w:val="002A57A8"/>
    <w:rsid w:val="002A6DEF"/>
    <w:rsid w:val="002A770B"/>
    <w:rsid w:val="002B013E"/>
    <w:rsid w:val="002B058D"/>
    <w:rsid w:val="002B0C16"/>
    <w:rsid w:val="002B2456"/>
    <w:rsid w:val="002B2AC5"/>
    <w:rsid w:val="002B3528"/>
    <w:rsid w:val="002B3539"/>
    <w:rsid w:val="002B4395"/>
    <w:rsid w:val="002B4532"/>
    <w:rsid w:val="002B4DD9"/>
    <w:rsid w:val="002B5042"/>
    <w:rsid w:val="002B69CC"/>
    <w:rsid w:val="002B6D71"/>
    <w:rsid w:val="002C03AE"/>
    <w:rsid w:val="002C0C1C"/>
    <w:rsid w:val="002C41BF"/>
    <w:rsid w:val="002C50F8"/>
    <w:rsid w:val="002C54C2"/>
    <w:rsid w:val="002C5D34"/>
    <w:rsid w:val="002C60BB"/>
    <w:rsid w:val="002C661A"/>
    <w:rsid w:val="002D0D6F"/>
    <w:rsid w:val="002D25FC"/>
    <w:rsid w:val="002D4AC6"/>
    <w:rsid w:val="002D59BF"/>
    <w:rsid w:val="002D5BF5"/>
    <w:rsid w:val="002D5EE8"/>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F016E"/>
    <w:rsid w:val="002F0522"/>
    <w:rsid w:val="002F16DD"/>
    <w:rsid w:val="002F199D"/>
    <w:rsid w:val="002F213C"/>
    <w:rsid w:val="002F2308"/>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2EFC"/>
    <w:rsid w:val="00303243"/>
    <w:rsid w:val="00303BCC"/>
    <w:rsid w:val="00303F2B"/>
    <w:rsid w:val="00303F8D"/>
    <w:rsid w:val="0030572D"/>
    <w:rsid w:val="0030586A"/>
    <w:rsid w:val="0030622D"/>
    <w:rsid w:val="00306811"/>
    <w:rsid w:val="00306F32"/>
    <w:rsid w:val="003074C5"/>
    <w:rsid w:val="00307A3C"/>
    <w:rsid w:val="00307B0A"/>
    <w:rsid w:val="00307FA4"/>
    <w:rsid w:val="00310290"/>
    <w:rsid w:val="00310CC1"/>
    <w:rsid w:val="00312504"/>
    <w:rsid w:val="00312B89"/>
    <w:rsid w:val="00313026"/>
    <w:rsid w:val="00313913"/>
    <w:rsid w:val="0031421F"/>
    <w:rsid w:val="00314B31"/>
    <w:rsid w:val="00315502"/>
    <w:rsid w:val="00315A65"/>
    <w:rsid w:val="003165D7"/>
    <w:rsid w:val="0031666B"/>
    <w:rsid w:val="00316ABE"/>
    <w:rsid w:val="00317BA7"/>
    <w:rsid w:val="00320BE2"/>
    <w:rsid w:val="00321886"/>
    <w:rsid w:val="00321EDC"/>
    <w:rsid w:val="00323694"/>
    <w:rsid w:val="00323BE7"/>
    <w:rsid w:val="00324C3A"/>
    <w:rsid w:val="00324D63"/>
    <w:rsid w:val="003255AF"/>
    <w:rsid w:val="003256EB"/>
    <w:rsid w:val="003259DB"/>
    <w:rsid w:val="00326052"/>
    <w:rsid w:val="0032795B"/>
    <w:rsid w:val="003303CD"/>
    <w:rsid w:val="003314D9"/>
    <w:rsid w:val="00331653"/>
    <w:rsid w:val="00331A48"/>
    <w:rsid w:val="00331BCC"/>
    <w:rsid w:val="003330C9"/>
    <w:rsid w:val="0033364C"/>
    <w:rsid w:val="00334415"/>
    <w:rsid w:val="00334B8B"/>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4AE9"/>
    <w:rsid w:val="00355C0D"/>
    <w:rsid w:val="003566A9"/>
    <w:rsid w:val="00356988"/>
    <w:rsid w:val="003569D3"/>
    <w:rsid w:val="00356CE9"/>
    <w:rsid w:val="003570BB"/>
    <w:rsid w:val="00357128"/>
    <w:rsid w:val="0035755E"/>
    <w:rsid w:val="00357868"/>
    <w:rsid w:val="00357A80"/>
    <w:rsid w:val="00357E3C"/>
    <w:rsid w:val="00361441"/>
    <w:rsid w:val="00361B8B"/>
    <w:rsid w:val="00363F39"/>
    <w:rsid w:val="003640FC"/>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91A"/>
    <w:rsid w:val="00374E79"/>
    <w:rsid w:val="0037529A"/>
    <w:rsid w:val="00375388"/>
    <w:rsid w:val="00375559"/>
    <w:rsid w:val="00375FB9"/>
    <w:rsid w:val="00376170"/>
    <w:rsid w:val="00376851"/>
    <w:rsid w:val="00376FA2"/>
    <w:rsid w:val="00377133"/>
    <w:rsid w:val="00377A3B"/>
    <w:rsid w:val="00377E3C"/>
    <w:rsid w:val="00380874"/>
    <w:rsid w:val="00380BBE"/>
    <w:rsid w:val="00381D70"/>
    <w:rsid w:val="0038235E"/>
    <w:rsid w:val="003829D0"/>
    <w:rsid w:val="0038326A"/>
    <w:rsid w:val="0038444F"/>
    <w:rsid w:val="003861F0"/>
    <w:rsid w:val="00387051"/>
    <w:rsid w:val="00387ECF"/>
    <w:rsid w:val="0039021B"/>
    <w:rsid w:val="00390429"/>
    <w:rsid w:val="003906A0"/>
    <w:rsid w:val="003923D5"/>
    <w:rsid w:val="003931AF"/>
    <w:rsid w:val="0039366C"/>
    <w:rsid w:val="00393EC8"/>
    <w:rsid w:val="00395E42"/>
    <w:rsid w:val="00396409"/>
    <w:rsid w:val="003967F5"/>
    <w:rsid w:val="00396A2D"/>
    <w:rsid w:val="00396FC3"/>
    <w:rsid w:val="003A1431"/>
    <w:rsid w:val="003A1A94"/>
    <w:rsid w:val="003A204E"/>
    <w:rsid w:val="003A2D25"/>
    <w:rsid w:val="003A5101"/>
    <w:rsid w:val="003A5728"/>
    <w:rsid w:val="003A60E7"/>
    <w:rsid w:val="003A7092"/>
    <w:rsid w:val="003A72A1"/>
    <w:rsid w:val="003A7611"/>
    <w:rsid w:val="003A7D1F"/>
    <w:rsid w:val="003B0B6A"/>
    <w:rsid w:val="003B22F7"/>
    <w:rsid w:val="003B29CF"/>
    <w:rsid w:val="003B3A90"/>
    <w:rsid w:val="003B3D01"/>
    <w:rsid w:val="003B534F"/>
    <w:rsid w:val="003B7A79"/>
    <w:rsid w:val="003C08FB"/>
    <w:rsid w:val="003C0FE1"/>
    <w:rsid w:val="003C151A"/>
    <w:rsid w:val="003C350C"/>
    <w:rsid w:val="003C3733"/>
    <w:rsid w:val="003C3903"/>
    <w:rsid w:val="003C3BA0"/>
    <w:rsid w:val="003C4580"/>
    <w:rsid w:val="003C5C5E"/>
    <w:rsid w:val="003C6746"/>
    <w:rsid w:val="003C7555"/>
    <w:rsid w:val="003C7898"/>
    <w:rsid w:val="003D0C85"/>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0F4"/>
    <w:rsid w:val="003E59BB"/>
    <w:rsid w:val="003E6225"/>
    <w:rsid w:val="003E65AC"/>
    <w:rsid w:val="003E66AE"/>
    <w:rsid w:val="003E72B9"/>
    <w:rsid w:val="003E7612"/>
    <w:rsid w:val="003E7ED4"/>
    <w:rsid w:val="003F0CAA"/>
    <w:rsid w:val="003F0E52"/>
    <w:rsid w:val="003F0F6B"/>
    <w:rsid w:val="003F1FC6"/>
    <w:rsid w:val="003F1FE3"/>
    <w:rsid w:val="003F2359"/>
    <w:rsid w:val="003F3232"/>
    <w:rsid w:val="003F3865"/>
    <w:rsid w:val="003F38AC"/>
    <w:rsid w:val="003F3D55"/>
    <w:rsid w:val="003F44E2"/>
    <w:rsid w:val="003F4632"/>
    <w:rsid w:val="003F47BA"/>
    <w:rsid w:val="003F4FE6"/>
    <w:rsid w:val="003F5638"/>
    <w:rsid w:val="003F6617"/>
    <w:rsid w:val="00401890"/>
    <w:rsid w:val="00402332"/>
    <w:rsid w:val="004025C2"/>
    <w:rsid w:val="00403195"/>
    <w:rsid w:val="004033A9"/>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368"/>
    <w:rsid w:val="0041582F"/>
    <w:rsid w:val="00416112"/>
    <w:rsid w:val="00417A18"/>
    <w:rsid w:val="00417AE0"/>
    <w:rsid w:val="00417BAA"/>
    <w:rsid w:val="0042042B"/>
    <w:rsid w:val="00420B45"/>
    <w:rsid w:val="00420D7A"/>
    <w:rsid w:val="00421052"/>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8D7"/>
    <w:rsid w:val="00432A94"/>
    <w:rsid w:val="00432C95"/>
    <w:rsid w:val="00433827"/>
    <w:rsid w:val="00433A40"/>
    <w:rsid w:val="00434B70"/>
    <w:rsid w:val="004360C8"/>
    <w:rsid w:val="00436823"/>
    <w:rsid w:val="004371D5"/>
    <w:rsid w:val="0044006B"/>
    <w:rsid w:val="0044033F"/>
    <w:rsid w:val="00440630"/>
    <w:rsid w:val="00441F0F"/>
    <w:rsid w:val="00442965"/>
    <w:rsid w:val="004432B6"/>
    <w:rsid w:val="004437B6"/>
    <w:rsid w:val="00444157"/>
    <w:rsid w:val="0044417C"/>
    <w:rsid w:val="00444DB3"/>
    <w:rsid w:val="00445617"/>
    <w:rsid w:val="00445A2F"/>
    <w:rsid w:val="00445E2D"/>
    <w:rsid w:val="00446270"/>
    <w:rsid w:val="0044684E"/>
    <w:rsid w:val="00446F22"/>
    <w:rsid w:val="0045019F"/>
    <w:rsid w:val="004503A4"/>
    <w:rsid w:val="00450555"/>
    <w:rsid w:val="004506FA"/>
    <w:rsid w:val="00450DC6"/>
    <w:rsid w:val="004516A5"/>
    <w:rsid w:val="00451E9C"/>
    <w:rsid w:val="0045280F"/>
    <w:rsid w:val="004535AE"/>
    <w:rsid w:val="00453FA1"/>
    <w:rsid w:val="0045444D"/>
    <w:rsid w:val="0045463A"/>
    <w:rsid w:val="00454AC9"/>
    <w:rsid w:val="00455050"/>
    <w:rsid w:val="004554A3"/>
    <w:rsid w:val="00455A6E"/>
    <w:rsid w:val="00455EAD"/>
    <w:rsid w:val="004578EB"/>
    <w:rsid w:val="004604D5"/>
    <w:rsid w:val="00460697"/>
    <w:rsid w:val="0046117B"/>
    <w:rsid w:val="00461FC2"/>
    <w:rsid w:val="00464AB7"/>
    <w:rsid w:val="00465DE5"/>
    <w:rsid w:val="00467EF8"/>
    <w:rsid w:val="00471AC3"/>
    <w:rsid w:val="00472429"/>
    <w:rsid w:val="004725E5"/>
    <w:rsid w:val="00472751"/>
    <w:rsid w:val="00473128"/>
    <w:rsid w:val="0047315B"/>
    <w:rsid w:val="00475078"/>
    <w:rsid w:val="00475767"/>
    <w:rsid w:val="004779A0"/>
    <w:rsid w:val="004808E3"/>
    <w:rsid w:val="00480D34"/>
    <w:rsid w:val="00481016"/>
    <w:rsid w:val="00481DDC"/>
    <w:rsid w:val="0048204C"/>
    <w:rsid w:val="004821BB"/>
    <w:rsid w:val="0048237A"/>
    <w:rsid w:val="004826FE"/>
    <w:rsid w:val="004827D5"/>
    <w:rsid w:val="00482AF2"/>
    <w:rsid w:val="004830C9"/>
    <w:rsid w:val="00483347"/>
    <w:rsid w:val="00483E2E"/>
    <w:rsid w:val="00484930"/>
    <w:rsid w:val="00484B69"/>
    <w:rsid w:val="00485406"/>
    <w:rsid w:val="0048590F"/>
    <w:rsid w:val="00486D60"/>
    <w:rsid w:val="00487E71"/>
    <w:rsid w:val="00491FA1"/>
    <w:rsid w:val="00492A25"/>
    <w:rsid w:val="004938A3"/>
    <w:rsid w:val="0049558B"/>
    <w:rsid w:val="00495DF2"/>
    <w:rsid w:val="00496350"/>
    <w:rsid w:val="0049797C"/>
    <w:rsid w:val="004A1405"/>
    <w:rsid w:val="004A15BD"/>
    <w:rsid w:val="004A1E28"/>
    <w:rsid w:val="004A1FC6"/>
    <w:rsid w:val="004A200E"/>
    <w:rsid w:val="004A2E5F"/>
    <w:rsid w:val="004A38C2"/>
    <w:rsid w:val="004A3C03"/>
    <w:rsid w:val="004A3DB7"/>
    <w:rsid w:val="004A463B"/>
    <w:rsid w:val="004A5088"/>
    <w:rsid w:val="004A5255"/>
    <w:rsid w:val="004A6B28"/>
    <w:rsid w:val="004A6CB0"/>
    <w:rsid w:val="004A70FF"/>
    <w:rsid w:val="004A7EDE"/>
    <w:rsid w:val="004B0D93"/>
    <w:rsid w:val="004B1FA4"/>
    <w:rsid w:val="004B2152"/>
    <w:rsid w:val="004B29AC"/>
    <w:rsid w:val="004B2C2D"/>
    <w:rsid w:val="004B2D1E"/>
    <w:rsid w:val="004B35DF"/>
    <w:rsid w:val="004B3627"/>
    <w:rsid w:val="004B3DB5"/>
    <w:rsid w:val="004B4922"/>
    <w:rsid w:val="004B57DF"/>
    <w:rsid w:val="004B5976"/>
    <w:rsid w:val="004B722E"/>
    <w:rsid w:val="004B72E8"/>
    <w:rsid w:val="004C01A5"/>
    <w:rsid w:val="004C0412"/>
    <w:rsid w:val="004C2138"/>
    <w:rsid w:val="004C3940"/>
    <w:rsid w:val="004C51FD"/>
    <w:rsid w:val="004C65A8"/>
    <w:rsid w:val="004C6689"/>
    <w:rsid w:val="004C7F66"/>
    <w:rsid w:val="004D139A"/>
    <w:rsid w:val="004D14DC"/>
    <w:rsid w:val="004D17C6"/>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FC3"/>
    <w:rsid w:val="004D7476"/>
    <w:rsid w:val="004D7716"/>
    <w:rsid w:val="004E005C"/>
    <w:rsid w:val="004E0306"/>
    <w:rsid w:val="004E0572"/>
    <w:rsid w:val="004E1641"/>
    <w:rsid w:val="004E1818"/>
    <w:rsid w:val="004E1990"/>
    <w:rsid w:val="004E25A8"/>
    <w:rsid w:val="004E3930"/>
    <w:rsid w:val="004E3ED9"/>
    <w:rsid w:val="004E5866"/>
    <w:rsid w:val="004E6097"/>
    <w:rsid w:val="004E61EF"/>
    <w:rsid w:val="004E63C6"/>
    <w:rsid w:val="004E66A3"/>
    <w:rsid w:val="004E76A7"/>
    <w:rsid w:val="004E7B03"/>
    <w:rsid w:val="004F0064"/>
    <w:rsid w:val="004F06AC"/>
    <w:rsid w:val="004F0E50"/>
    <w:rsid w:val="004F1D2A"/>
    <w:rsid w:val="004F243F"/>
    <w:rsid w:val="004F252C"/>
    <w:rsid w:val="004F2A29"/>
    <w:rsid w:val="004F36A3"/>
    <w:rsid w:val="004F3E0C"/>
    <w:rsid w:val="004F4308"/>
    <w:rsid w:val="004F6398"/>
    <w:rsid w:val="004F7160"/>
    <w:rsid w:val="00500258"/>
    <w:rsid w:val="00500B2D"/>
    <w:rsid w:val="0050108F"/>
    <w:rsid w:val="00501A99"/>
    <w:rsid w:val="005028C8"/>
    <w:rsid w:val="00503180"/>
    <w:rsid w:val="005038A4"/>
    <w:rsid w:val="00504CD4"/>
    <w:rsid w:val="0050524B"/>
    <w:rsid w:val="00505450"/>
    <w:rsid w:val="00505FC6"/>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608F"/>
    <w:rsid w:val="00516480"/>
    <w:rsid w:val="00520EF8"/>
    <w:rsid w:val="005210F7"/>
    <w:rsid w:val="00521753"/>
    <w:rsid w:val="0052239D"/>
    <w:rsid w:val="005224EE"/>
    <w:rsid w:val="00522879"/>
    <w:rsid w:val="00523BB1"/>
    <w:rsid w:val="00524B23"/>
    <w:rsid w:val="0052570E"/>
    <w:rsid w:val="005260CD"/>
    <w:rsid w:val="00526265"/>
    <w:rsid w:val="0052655D"/>
    <w:rsid w:val="005265E0"/>
    <w:rsid w:val="00526BC3"/>
    <w:rsid w:val="00527D35"/>
    <w:rsid w:val="00530064"/>
    <w:rsid w:val="00531761"/>
    <w:rsid w:val="0053248F"/>
    <w:rsid w:val="005327AB"/>
    <w:rsid w:val="0053332A"/>
    <w:rsid w:val="0053358A"/>
    <w:rsid w:val="00534668"/>
    <w:rsid w:val="00534A6E"/>
    <w:rsid w:val="00534DDD"/>
    <w:rsid w:val="00535291"/>
    <w:rsid w:val="00535A94"/>
    <w:rsid w:val="00537874"/>
    <w:rsid w:val="0053795F"/>
    <w:rsid w:val="00537D3D"/>
    <w:rsid w:val="005403DA"/>
    <w:rsid w:val="00540511"/>
    <w:rsid w:val="00540578"/>
    <w:rsid w:val="00540604"/>
    <w:rsid w:val="00540808"/>
    <w:rsid w:val="0054080E"/>
    <w:rsid w:val="00540D1A"/>
    <w:rsid w:val="00540DE5"/>
    <w:rsid w:val="00540EA1"/>
    <w:rsid w:val="00541E5A"/>
    <w:rsid w:val="0054358E"/>
    <w:rsid w:val="00543AF4"/>
    <w:rsid w:val="00543F53"/>
    <w:rsid w:val="00544191"/>
    <w:rsid w:val="0054440C"/>
    <w:rsid w:val="005448EC"/>
    <w:rsid w:val="00544C0A"/>
    <w:rsid w:val="00544F39"/>
    <w:rsid w:val="005457FB"/>
    <w:rsid w:val="00546B96"/>
    <w:rsid w:val="00546F90"/>
    <w:rsid w:val="00547EFB"/>
    <w:rsid w:val="00550192"/>
    <w:rsid w:val="005522F2"/>
    <w:rsid w:val="005531DF"/>
    <w:rsid w:val="00553874"/>
    <w:rsid w:val="00553984"/>
    <w:rsid w:val="00553DCE"/>
    <w:rsid w:val="005541E0"/>
    <w:rsid w:val="00554577"/>
    <w:rsid w:val="00554AD8"/>
    <w:rsid w:val="00554F78"/>
    <w:rsid w:val="005556BE"/>
    <w:rsid w:val="00555DA1"/>
    <w:rsid w:val="00556BF7"/>
    <w:rsid w:val="00556E53"/>
    <w:rsid w:val="00557F60"/>
    <w:rsid w:val="00561730"/>
    <w:rsid w:val="00561B97"/>
    <w:rsid w:val="00562149"/>
    <w:rsid w:val="005640EB"/>
    <w:rsid w:val="00565500"/>
    <w:rsid w:val="005666A4"/>
    <w:rsid w:val="00567B5D"/>
    <w:rsid w:val="00570757"/>
    <w:rsid w:val="00573733"/>
    <w:rsid w:val="00573F8B"/>
    <w:rsid w:val="00574554"/>
    <w:rsid w:val="00574E06"/>
    <w:rsid w:val="005751BB"/>
    <w:rsid w:val="00576089"/>
    <w:rsid w:val="005764B1"/>
    <w:rsid w:val="00576852"/>
    <w:rsid w:val="00576D06"/>
    <w:rsid w:val="005779E4"/>
    <w:rsid w:val="00580EC7"/>
    <w:rsid w:val="0058289C"/>
    <w:rsid w:val="005836C7"/>
    <w:rsid w:val="0058408E"/>
    <w:rsid w:val="005844C3"/>
    <w:rsid w:val="00585374"/>
    <w:rsid w:val="005854CA"/>
    <w:rsid w:val="00585FAB"/>
    <w:rsid w:val="00590B77"/>
    <w:rsid w:val="00590D9A"/>
    <w:rsid w:val="005913A3"/>
    <w:rsid w:val="00591A5A"/>
    <w:rsid w:val="005940D4"/>
    <w:rsid w:val="00594A7B"/>
    <w:rsid w:val="0059580E"/>
    <w:rsid w:val="00595D90"/>
    <w:rsid w:val="00596A6F"/>
    <w:rsid w:val="00596FCE"/>
    <w:rsid w:val="005A11BC"/>
    <w:rsid w:val="005A1525"/>
    <w:rsid w:val="005A1E17"/>
    <w:rsid w:val="005A252B"/>
    <w:rsid w:val="005A2A8F"/>
    <w:rsid w:val="005A3008"/>
    <w:rsid w:val="005A3204"/>
    <w:rsid w:val="005A3341"/>
    <w:rsid w:val="005A3C3D"/>
    <w:rsid w:val="005A46EC"/>
    <w:rsid w:val="005A493F"/>
    <w:rsid w:val="005A5EAE"/>
    <w:rsid w:val="005A6407"/>
    <w:rsid w:val="005A726C"/>
    <w:rsid w:val="005B07EC"/>
    <w:rsid w:val="005B2B11"/>
    <w:rsid w:val="005B32A4"/>
    <w:rsid w:val="005B3371"/>
    <w:rsid w:val="005B338D"/>
    <w:rsid w:val="005B33A1"/>
    <w:rsid w:val="005B3852"/>
    <w:rsid w:val="005B3BAF"/>
    <w:rsid w:val="005B4DA3"/>
    <w:rsid w:val="005B5BEE"/>
    <w:rsid w:val="005B77D2"/>
    <w:rsid w:val="005C0195"/>
    <w:rsid w:val="005C019B"/>
    <w:rsid w:val="005C08D0"/>
    <w:rsid w:val="005C1550"/>
    <w:rsid w:val="005C1AED"/>
    <w:rsid w:val="005C2136"/>
    <w:rsid w:val="005C30F5"/>
    <w:rsid w:val="005C3840"/>
    <w:rsid w:val="005C51A5"/>
    <w:rsid w:val="005C557A"/>
    <w:rsid w:val="005C566F"/>
    <w:rsid w:val="005C5C47"/>
    <w:rsid w:val="005C61DD"/>
    <w:rsid w:val="005C6438"/>
    <w:rsid w:val="005C6B8B"/>
    <w:rsid w:val="005C727F"/>
    <w:rsid w:val="005D02E3"/>
    <w:rsid w:val="005D1F34"/>
    <w:rsid w:val="005D2C1F"/>
    <w:rsid w:val="005D34B2"/>
    <w:rsid w:val="005D3B54"/>
    <w:rsid w:val="005D40CD"/>
    <w:rsid w:val="005D6B59"/>
    <w:rsid w:val="005D784B"/>
    <w:rsid w:val="005E03E4"/>
    <w:rsid w:val="005E0454"/>
    <w:rsid w:val="005E05F6"/>
    <w:rsid w:val="005E1B9D"/>
    <w:rsid w:val="005E1BDA"/>
    <w:rsid w:val="005E2442"/>
    <w:rsid w:val="005E3111"/>
    <w:rsid w:val="005E3CA0"/>
    <w:rsid w:val="005E3F85"/>
    <w:rsid w:val="005E4A5F"/>
    <w:rsid w:val="005E4B48"/>
    <w:rsid w:val="005E516A"/>
    <w:rsid w:val="005E57B0"/>
    <w:rsid w:val="005E5B01"/>
    <w:rsid w:val="005E6D3B"/>
    <w:rsid w:val="005F009E"/>
    <w:rsid w:val="005F0DF1"/>
    <w:rsid w:val="005F1516"/>
    <w:rsid w:val="005F1A6F"/>
    <w:rsid w:val="005F1F0E"/>
    <w:rsid w:val="005F229E"/>
    <w:rsid w:val="005F2564"/>
    <w:rsid w:val="005F3822"/>
    <w:rsid w:val="005F4635"/>
    <w:rsid w:val="005F4900"/>
    <w:rsid w:val="005F4E52"/>
    <w:rsid w:val="005F6D58"/>
    <w:rsid w:val="005F7383"/>
    <w:rsid w:val="005F7F11"/>
    <w:rsid w:val="0060058E"/>
    <w:rsid w:val="00602A3C"/>
    <w:rsid w:val="00603EFD"/>
    <w:rsid w:val="0060475B"/>
    <w:rsid w:val="00604BED"/>
    <w:rsid w:val="00604FB6"/>
    <w:rsid w:val="00605387"/>
    <w:rsid w:val="00606302"/>
    <w:rsid w:val="0060762C"/>
    <w:rsid w:val="006076FD"/>
    <w:rsid w:val="00610811"/>
    <w:rsid w:val="0061143F"/>
    <w:rsid w:val="006114D8"/>
    <w:rsid w:val="00613553"/>
    <w:rsid w:val="00613601"/>
    <w:rsid w:val="00613791"/>
    <w:rsid w:val="006150D6"/>
    <w:rsid w:val="00615245"/>
    <w:rsid w:val="0061590D"/>
    <w:rsid w:val="00616BDF"/>
    <w:rsid w:val="00617699"/>
    <w:rsid w:val="00617EEE"/>
    <w:rsid w:val="00620A1F"/>
    <w:rsid w:val="0062169D"/>
    <w:rsid w:val="0062181E"/>
    <w:rsid w:val="0062211B"/>
    <w:rsid w:val="00622BB7"/>
    <w:rsid w:val="00622C1E"/>
    <w:rsid w:val="00623389"/>
    <w:rsid w:val="00623DAA"/>
    <w:rsid w:val="00623FAF"/>
    <w:rsid w:val="006265C4"/>
    <w:rsid w:val="0062678A"/>
    <w:rsid w:val="006270AF"/>
    <w:rsid w:val="006329BF"/>
    <w:rsid w:val="00634367"/>
    <w:rsid w:val="00636CE3"/>
    <w:rsid w:val="00640082"/>
    <w:rsid w:val="00640291"/>
    <w:rsid w:val="00640EFE"/>
    <w:rsid w:val="00641D6D"/>
    <w:rsid w:val="00641FAC"/>
    <w:rsid w:val="00642FE1"/>
    <w:rsid w:val="00643664"/>
    <w:rsid w:val="00643CAA"/>
    <w:rsid w:val="00644F16"/>
    <w:rsid w:val="006455EB"/>
    <w:rsid w:val="006456C2"/>
    <w:rsid w:val="00645A65"/>
    <w:rsid w:val="00646959"/>
    <w:rsid w:val="00647729"/>
    <w:rsid w:val="006477F0"/>
    <w:rsid w:val="006478E4"/>
    <w:rsid w:val="0065171A"/>
    <w:rsid w:val="00652532"/>
    <w:rsid w:val="00652680"/>
    <w:rsid w:val="006536E6"/>
    <w:rsid w:val="00653CDE"/>
    <w:rsid w:val="00654585"/>
    <w:rsid w:val="0065566E"/>
    <w:rsid w:val="00655AB6"/>
    <w:rsid w:val="00655EFA"/>
    <w:rsid w:val="00656061"/>
    <w:rsid w:val="00656281"/>
    <w:rsid w:val="0065636A"/>
    <w:rsid w:val="00657003"/>
    <w:rsid w:val="00657F73"/>
    <w:rsid w:val="00660238"/>
    <w:rsid w:val="006602EF"/>
    <w:rsid w:val="00661277"/>
    <w:rsid w:val="006619E0"/>
    <w:rsid w:val="00663FEA"/>
    <w:rsid w:val="00664803"/>
    <w:rsid w:val="006657C5"/>
    <w:rsid w:val="00665D7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364"/>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1EB8"/>
    <w:rsid w:val="006A21DD"/>
    <w:rsid w:val="006A26C6"/>
    <w:rsid w:val="006A3302"/>
    <w:rsid w:val="006A3B28"/>
    <w:rsid w:val="006A4FEE"/>
    <w:rsid w:val="006A5549"/>
    <w:rsid w:val="006A703E"/>
    <w:rsid w:val="006A7BE3"/>
    <w:rsid w:val="006A7D32"/>
    <w:rsid w:val="006B01D1"/>
    <w:rsid w:val="006B0DF4"/>
    <w:rsid w:val="006B16EA"/>
    <w:rsid w:val="006B1780"/>
    <w:rsid w:val="006B21DC"/>
    <w:rsid w:val="006B224E"/>
    <w:rsid w:val="006B376E"/>
    <w:rsid w:val="006B4589"/>
    <w:rsid w:val="006B5157"/>
    <w:rsid w:val="006B610E"/>
    <w:rsid w:val="006B6805"/>
    <w:rsid w:val="006B6C07"/>
    <w:rsid w:val="006B6DE0"/>
    <w:rsid w:val="006C16C3"/>
    <w:rsid w:val="006C2187"/>
    <w:rsid w:val="006C2402"/>
    <w:rsid w:val="006C27D9"/>
    <w:rsid w:val="006C32F4"/>
    <w:rsid w:val="006C3C54"/>
    <w:rsid w:val="006C4B6B"/>
    <w:rsid w:val="006C4CE1"/>
    <w:rsid w:val="006C4F9F"/>
    <w:rsid w:val="006C6DFB"/>
    <w:rsid w:val="006C71A2"/>
    <w:rsid w:val="006C73EC"/>
    <w:rsid w:val="006D0C1D"/>
    <w:rsid w:val="006D100F"/>
    <w:rsid w:val="006D28F3"/>
    <w:rsid w:val="006D2E9D"/>
    <w:rsid w:val="006D4A4E"/>
    <w:rsid w:val="006D4C42"/>
    <w:rsid w:val="006D5389"/>
    <w:rsid w:val="006D53A2"/>
    <w:rsid w:val="006D5809"/>
    <w:rsid w:val="006D607E"/>
    <w:rsid w:val="006D6E12"/>
    <w:rsid w:val="006D70CB"/>
    <w:rsid w:val="006D715C"/>
    <w:rsid w:val="006D7363"/>
    <w:rsid w:val="006D774E"/>
    <w:rsid w:val="006E0754"/>
    <w:rsid w:val="006E2668"/>
    <w:rsid w:val="006E2D39"/>
    <w:rsid w:val="006E2FE9"/>
    <w:rsid w:val="006E32B0"/>
    <w:rsid w:val="006E348E"/>
    <w:rsid w:val="006E396A"/>
    <w:rsid w:val="006E3D63"/>
    <w:rsid w:val="006E43CA"/>
    <w:rsid w:val="006E58BF"/>
    <w:rsid w:val="006E5DD8"/>
    <w:rsid w:val="006E5EA1"/>
    <w:rsid w:val="006E6DEE"/>
    <w:rsid w:val="006E7D4B"/>
    <w:rsid w:val="006F018A"/>
    <w:rsid w:val="006F0760"/>
    <w:rsid w:val="006F11E2"/>
    <w:rsid w:val="006F2574"/>
    <w:rsid w:val="006F3231"/>
    <w:rsid w:val="006F3DE3"/>
    <w:rsid w:val="006F4787"/>
    <w:rsid w:val="006F61D8"/>
    <w:rsid w:val="006F62B7"/>
    <w:rsid w:val="006F70BC"/>
    <w:rsid w:val="006F726C"/>
    <w:rsid w:val="006F7E7C"/>
    <w:rsid w:val="0070174E"/>
    <w:rsid w:val="007018DB"/>
    <w:rsid w:val="00701DE6"/>
    <w:rsid w:val="00702740"/>
    <w:rsid w:val="0070381B"/>
    <w:rsid w:val="0070796C"/>
    <w:rsid w:val="007109BB"/>
    <w:rsid w:val="00710EBF"/>
    <w:rsid w:val="007110B8"/>
    <w:rsid w:val="0071209F"/>
    <w:rsid w:val="007125A2"/>
    <w:rsid w:val="00713DD9"/>
    <w:rsid w:val="00713F79"/>
    <w:rsid w:val="007148A8"/>
    <w:rsid w:val="00716AC8"/>
    <w:rsid w:val="00716E54"/>
    <w:rsid w:val="0072033C"/>
    <w:rsid w:val="00720B1B"/>
    <w:rsid w:val="00721062"/>
    <w:rsid w:val="00721E5D"/>
    <w:rsid w:val="007229D4"/>
    <w:rsid w:val="007230F8"/>
    <w:rsid w:val="007233F4"/>
    <w:rsid w:val="00724044"/>
    <w:rsid w:val="007243F2"/>
    <w:rsid w:val="007248D3"/>
    <w:rsid w:val="00724C53"/>
    <w:rsid w:val="00724DF8"/>
    <w:rsid w:val="00725137"/>
    <w:rsid w:val="00725378"/>
    <w:rsid w:val="00727A43"/>
    <w:rsid w:val="00727FF2"/>
    <w:rsid w:val="00730263"/>
    <w:rsid w:val="00730550"/>
    <w:rsid w:val="00730C2A"/>
    <w:rsid w:val="00731434"/>
    <w:rsid w:val="00731E59"/>
    <w:rsid w:val="007323E0"/>
    <w:rsid w:val="00732911"/>
    <w:rsid w:val="00733721"/>
    <w:rsid w:val="00733DE2"/>
    <w:rsid w:val="00734142"/>
    <w:rsid w:val="007352EA"/>
    <w:rsid w:val="007356AC"/>
    <w:rsid w:val="0073792F"/>
    <w:rsid w:val="00737A15"/>
    <w:rsid w:val="00740881"/>
    <w:rsid w:val="00740C81"/>
    <w:rsid w:val="00740DA6"/>
    <w:rsid w:val="00741B4B"/>
    <w:rsid w:val="00741D1E"/>
    <w:rsid w:val="00741DD6"/>
    <w:rsid w:val="00741EE2"/>
    <w:rsid w:val="0074207F"/>
    <w:rsid w:val="00742367"/>
    <w:rsid w:val="00742EAA"/>
    <w:rsid w:val="00743360"/>
    <w:rsid w:val="00743818"/>
    <w:rsid w:val="00743857"/>
    <w:rsid w:val="00743A88"/>
    <w:rsid w:val="007441FB"/>
    <w:rsid w:val="00744517"/>
    <w:rsid w:val="0074522A"/>
    <w:rsid w:val="00747295"/>
    <w:rsid w:val="00747829"/>
    <w:rsid w:val="0074789C"/>
    <w:rsid w:val="00747DE2"/>
    <w:rsid w:val="0075003F"/>
    <w:rsid w:val="007502D0"/>
    <w:rsid w:val="007504BF"/>
    <w:rsid w:val="007506CD"/>
    <w:rsid w:val="0075267F"/>
    <w:rsid w:val="007526EC"/>
    <w:rsid w:val="00753C48"/>
    <w:rsid w:val="00754250"/>
    <w:rsid w:val="00754FE4"/>
    <w:rsid w:val="00755216"/>
    <w:rsid w:val="00756236"/>
    <w:rsid w:val="00756271"/>
    <w:rsid w:val="00756348"/>
    <w:rsid w:val="00756521"/>
    <w:rsid w:val="00756AB7"/>
    <w:rsid w:val="00760BDA"/>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153"/>
    <w:rsid w:val="007777CC"/>
    <w:rsid w:val="00777B32"/>
    <w:rsid w:val="0078051E"/>
    <w:rsid w:val="00781089"/>
    <w:rsid w:val="00781CB6"/>
    <w:rsid w:val="007838F3"/>
    <w:rsid w:val="007856FE"/>
    <w:rsid w:val="00785F46"/>
    <w:rsid w:val="007865F4"/>
    <w:rsid w:val="00786D5C"/>
    <w:rsid w:val="00786E96"/>
    <w:rsid w:val="00787BB6"/>
    <w:rsid w:val="00787DFF"/>
    <w:rsid w:val="00787F93"/>
    <w:rsid w:val="00791E6D"/>
    <w:rsid w:val="00791EB5"/>
    <w:rsid w:val="0079343F"/>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3BF0"/>
    <w:rsid w:val="007B4954"/>
    <w:rsid w:val="007B515E"/>
    <w:rsid w:val="007B7490"/>
    <w:rsid w:val="007C0525"/>
    <w:rsid w:val="007C13F7"/>
    <w:rsid w:val="007C1D77"/>
    <w:rsid w:val="007C218D"/>
    <w:rsid w:val="007C2D28"/>
    <w:rsid w:val="007C3E22"/>
    <w:rsid w:val="007C58C1"/>
    <w:rsid w:val="007C6218"/>
    <w:rsid w:val="007C6484"/>
    <w:rsid w:val="007C67C6"/>
    <w:rsid w:val="007C78BE"/>
    <w:rsid w:val="007C7A5D"/>
    <w:rsid w:val="007C7E59"/>
    <w:rsid w:val="007D0476"/>
    <w:rsid w:val="007D0B91"/>
    <w:rsid w:val="007D0FE7"/>
    <w:rsid w:val="007D1452"/>
    <w:rsid w:val="007D1563"/>
    <w:rsid w:val="007D3DCB"/>
    <w:rsid w:val="007D460C"/>
    <w:rsid w:val="007D4996"/>
    <w:rsid w:val="007D4AD3"/>
    <w:rsid w:val="007D5D19"/>
    <w:rsid w:val="007D5FDC"/>
    <w:rsid w:val="007D6176"/>
    <w:rsid w:val="007D69CD"/>
    <w:rsid w:val="007D6D68"/>
    <w:rsid w:val="007D7A3C"/>
    <w:rsid w:val="007D7EC6"/>
    <w:rsid w:val="007E194F"/>
    <w:rsid w:val="007E32DA"/>
    <w:rsid w:val="007E4998"/>
    <w:rsid w:val="007E4A9C"/>
    <w:rsid w:val="007E6914"/>
    <w:rsid w:val="007E7F78"/>
    <w:rsid w:val="007F0179"/>
    <w:rsid w:val="007F2C13"/>
    <w:rsid w:val="007F2CEC"/>
    <w:rsid w:val="007F2ED1"/>
    <w:rsid w:val="007F3435"/>
    <w:rsid w:val="007F505D"/>
    <w:rsid w:val="007F5106"/>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0E6"/>
    <w:rsid w:val="0081010F"/>
    <w:rsid w:val="00810BB6"/>
    <w:rsid w:val="00810E8E"/>
    <w:rsid w:val="00812C44"/>
    <w:rsid w:val="008135E1"/>
    <w:rsid w:val="00813779"/>
    <w:rsid w:val="00813E26"/>
    <w:rsid w:val="0081481D"/>
    <w:rsid w:val="00814BE8"/>
    <w:rsid w:val="00814F6E"/>
    <w:rsid w:val="00815B84"/>
    <w:rsid w:val="00816342"/>
    <w:rsid w:val="008166F6"/>
    <w:rsid w:val="00816BE9"/>
    <w:rsid w:val="00817D10"/>
    <w:rsid w:val="00821BE3"/>
    <w:rsid w:val="00822518"/>
    <w:rsid w:val="008226F5"/>
    <w:rsid w:val="00823FC6"/>
    <w:rsid w:val="00824306"/>
    <w:rsid w:val="008252F5"/>
    <w:rsid w:val="00825C74"/>
    <w:rsid w:val="00825CFA"/>
    <w:rsid w:val="00826AB9"/>
    <w:rsid w:val="00826E0E"/>
    <w:rsid w:val="00827D11"/>
    <w:rsid w:val="00827E0F"/>
    <w:rsid w:val="00827F6E"/>
    <w:rsid w:val="00831758"/>
    <w:rsid w:val="008317D9"/>
    <w:rsid w:val="00831AEC"/>
    <w:rsid w:val="0083279F"/>
    <w:rsid w:val="00832CE9"/>
    <w:rsid w:val="008334DB"/>
    <w:rsid w:val="00833B7F"/>
    <w:rsid w:val="00833E8E"/>
    <w:rsid w:val="00834906"/>
    <w:rsid w:val="008351E1"/>
    <w:rsid w:val="00836075"/>
    <w:rsid w:val="00836417"/>
    <w:rsid w:val="00836D47"/>
    <w:rsid w:val="00837526"/>
    <w:rsid w:val="008407A7"/>
    <w:rsid w:val="0084322B"/>
    <w:rsid w:val="00843F81"/>
    <w:rsid w:val="00844087"/>
    <w:rsid w:val="008448F1"/>
    <w:rsid w:val="0084519E"/>
    <w:rsid w:val="00845CAE"/>
    <w:rsid w:val="008462C5"/>
    <w:rsid w:val="008462FA"/>
    <w:rsid w:val="00846370"/>
    <w:rsid w:val="00846873"/>
    <w:rsid w:val="008477E7"/>
    <w:rsid w:val="00847C2B"/>
    <w:rsid w:val="00850272"/>
    <w:rsid w:val="008506B9"/>
    <w:rsid w:val="0085086F"/>
    <w:rsid w:val="00851822"/>
    <w:rsid w:val="00851C16"/>
    <w:rsid w:val="008532BF"/>
    <w:rsid w:val="008539B2"/>
    <w:rsid w:val="00853BF4"/>
    <w:rsid w:val="00854294"/>
    <w:rsid w:val="00854295"/>
    <w:rsid w:val="0085572E"/>
    <w:rsid w:val="0085788B"/>
    <w:rsid w:val="00857A9E"/>
    <w:rsid w:val="00857DE2"/>
    <w:rsid w:val="0086003D"/>
    <w:rsid w:val="00863A8E"/>
    <w:rsid w:val="0086407F"/>
    <w:rsid w:val="008645E3"/>
    <w:rsid w:val="0086486A"/>
    <w:rsid w:val="00864E79"/>
    <w:rsid w:val="0086572B"/>
    <w:rsid w:val="00866615"/>
    <w:rsid w:val="0086661F"/>
    <w:rsid w:val="00866A0D"/>
    <w:rsid w:val="00866DB5"/>
    <w:rsid w:val="0086701D"/>
    <w:rsid w:val="0086702B"/>
    <w:rsid w:val="008672E2"/>
    <w:rsid w:val="0086784E"/>
    <w:rsid w:val="00870E55"/>
    <w:rsid w:val="0087121C"/>
    <w:rsid w:val="00871FD2"/>
    <w:rsid w:val="00872084"/>
    <w:rsid w:val="00872827"/>
    <w:rsid w:val="00872A32"/>
    <w:rsid w:val="00874911"/>
    <w:rsid w:val="008754E4"/>
    <w:rsid w:val="00875EF1"/>
    <w:rsid w:val="00876721"/>
    <w:rsid w:val="00876EAE"/>
    <w:rsid w:val="00880106"/>
    <w:rsid w:val="00880F95"/>
    <w:rsid w:val="00882B44"/>
    <w:rsid w:val="008838AD"/>
    <w:rsid w:val="00885210"/>
    <w:rsid w:val="00885BC9"/>
    <w:rsid w:val="008864B3"/>
    <w:rsid w:val="008865E5"/>
    <w:rsid w:val="008871B0"/>
    <w:rsid w:val="00890B57"/>
    <w:rsid w:val="008916BA"/>
    <w:rsid w:val="00891795"/>
    <w:rsid w:val="0089217C"/>
    <w:rsid w:val="00892790"/>
    <w:rsid w:val="00893671"/>
    <w:rsid w:val="00895838"/>
    <w:rsid w:val="00895A1E"/>
    <w:rsid w:val="00895A72"/>
    <w:rsid w:val="00895CDF"/>
    <w:rsid w:val="00896679"/>
    <w:rsid w:val="008967E3"/>
    <w:rsid w:val="00896D8C"/>
    <w:rsid w:val="008A0FC9"/>
    <w:rsid w:val="008A1956"/>
    <w:rsid w:val="008A1A7C"/>
    <w:rsid w:val="008A2CE2"/>
    <w:rsid w:val="008A40D3"/>
    <w:rsid w:val="008A469C"/>
    <w:rsid w:val="008A50FB"/>
    <w:rsid w:val="008A51D1"/>
    <w:rsid w:val="008A5DCE"/>
    <w:rsid w:val="008A75D3"/>
    <w:rsid w:val="008B05DD"/>
    <w:rsid w:val="008B07B8"/>
    <w:rsid w:val="008B17E8"/>
    <w:rsid w:val="008B2C45"/>
    <w:rsid w:val="008B2E7C"/>
    <w:rsid w:val="008B399A"/>
    <w:rsid w:val="008B45F0"/>
    <w:rsid w:val="008B4A70"/>
    <w:rsid w:val="008B502F"/>
    <w:rsid w:val="008B6DFC"/>
    <w:rsid w:val="008B7227"/>
    <w:rsid w:val="008C02FB"/>
    <w:rsid w:val="008C04E0"/>
    <w:rsid w:val="008C191C"/>
    <w:rsid w:val="008C1DA4"/>
    <w:rsid w:val="008C1DC2"/>
    <w:rsid w:val="008C2138"/>
    <w:rsid w:val="008C29B0"/>
    <w:rsid w:val="008C2CD5"/>
    <w:rsid w:val="008C33AE"/>
    <w:rsid w:val="008C3618"/>
    <w:rsid w:val="008C39E7"/>
    <w:rsid w:val="008C43AD"/>
    <w:rsid w:val="008C6118"/>
    <w:rsid w:val="008C6341"/>
    <w:rsid w:val="008C653D"/>
    <w:rsid w:val="008C731F"/>
    <w:rsid w:val="008C74D9"/>
    <w:rsid w:val="008D2050"/>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227"/>
    <w:rsid w:val="008E562C"/>
    <w:rsid w:val="008E6540"/>
    <w:rsid w:val="008E6FBE"/>
    <w:rsid w:val="008E77D4"/>
    <w:rsid w:val="008E7ADD"/>
    <w:rsid w:val="008F091F"/>
    <w:rsid w:val="008F17B2"/>
    <w:rsid w:val="008F22B3"/>
    <w:rsid w:val="008F357B"/>
    <w:rsid w:val="008F44CA"/>
    <w:rsid w:val="008F49D3"/>
    <w:rsid w:val="008F6519"/>
    <w:rsid w:val="008F7012"/>
    <w:rsid w:val="008F7ADA"/>
    <w:rsid w:val="008F7B17"/>
    <w:rsid w:val="00900042"/>
    <w:rsid w:val="0090034B"/>
    <w:rsid w:val="0090087C"/>
    <w:rsid w:val="00901121"/>
    <w:rsid w:val="00902623"/>
    <w:rsid w:val="00902A67"/>
    <w:rsid w:val="00902C5E"/>
    <w:rsid w:val="00904BE4"/>
    <w:rsid w:val="0090504A"/>
    <w:rsid w:val="009051F5"/>
    <w:rsid w:val="00905221"/>
    <w:rsid w:val="00905664"/>
    <w:rsid w:val="00905A7C"/>
    <w:rsid w:val="00905D7E"/>
    <w:rsid w:val="00907037"/>
    <w:rsid w:val="00907259"/>
    <w:rsid w:val="00910C5D"/>
    <w:rsid w:val="0091112C"/>
    <w:rsid w:val="0091160A"/>
    <w:rsid w:val="00912E04"/>
    <w:rsid w:val="00913258"/>
    <w:rsid w:val="00913851"/>
    <w:rsid w:val="00913BB0"/>
    <w:rsid w:val="0091456C"/>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21B1"/>
    <w:rsid w:val="009327F0"/>
    <w:rsid w:val="00932ED7"/>
    <w:rsid w:val="0093422D"/>
    <w:rsid w:val="0093483B"/>
    <w:rsid w:val="00934CF9"/>
    <w:rsid w:val="00934DD7"/>
    <w:rsid w:val="00935CB2"/>
    <w:rsid w:val="00935CE6"/>
    <w:rsid w:val="009369A9"/>
    <w:rsid w:val="00936CF7"/>
    <w:rsid w:val="00937783"/>
    <w:rsid w:val="00937EAD"/>
    <w:rsid w:val="00937F28"/>
    <w:rsid w:val="00940FE1"/>
    <w:rsid w:val="00941474"/>
    <w:rsid w:val="00942306"/>
    <w:rsid w:val="009424B8"/>
    <w:rsid w:val="009432E2"/>
    <w:rsid w:val="00944668"/>
    <w:rsid w:val="00944DC6"/>
    <w:rsid w:val="009458B0"/>
    <w:rsid w:val="00945B52"/>
    <w:rsid w:val="00945B7A"/>
    <w:rsid w:val="00945F05"/>
    <w:rsid w:val="00946348"/>
    <w:rsid w:val="00947224"/>
    <w:rsid w:val="00947797"/>
    <w:rsid w:val="009478A2"/>
    <w:rsid w:val="009533BD"/>
    <w:rsid w:val="009536FB"/>
    <w:rsid w:val="00953808"/>
    <w:rsid w:val="009539A6"/>
    <w:rsid w:val="00954032"/>
    <w:rsid w:val="00954537"/>
    <w:rsid w:val="0095472D"/>
    <w:rsid w:val="00955342"/>
    <w:rsid w:val="00955FBB"/>
    <w:rsid w:val="0095694B"/>
    <w:rsid w:val="00956BD5"/>
    <w:rsid w:val="00956D84"/>
    <w:rsid w:val="009577B5"/>
    <w:rsid w:val="009608E6"/>
    <w:rsid w:val="00960F57"/>
    <w:rsid w:val="009616D2"/>
    <w:rsid w:val="00961C90"/>
    <w:rsid w:val="00965443"/>
    <w:rsid w:val="00965954"/>
    <w:rsid w:val="00965A21"/>
    <w:rsid w:val="00965E55"/>
    <w:rsid w:val="0096608E"/>
    <w:rsid w:val="00966522"/>
    <w:rsid w:val="00966C33"/>
    <w:rsid w:val="00970F18"/>
    <w:rsid w:val="00971CF1"/>
    <w:rsid w:val="00971E69"/>
    <w:rsid w:val="00971F5D"/>
    <w:rsid w:val="009721E9"/>
    <w:rsid w:val="0097260B"/>
    <w:rsid w:val="00973772"/>
    <w:rsid w:val="009747AF"/>
    <w:rsid w:val="0097560A"/>
    <w:rsid w:val="00975E1E"/>
    <w:rsid w:val="00975E70"/>
    <w:rsid w:val="009761DE"/>
    <w:rsid w:val="009766FA"/>
    <w:rsid w:val="00977CD6"/>
    <w:rsid w:val="00977EF4"/>
    <w:rsid w:val="0098048B"/>
    <w:rsid w:val="00980908"/>
    <w:rsid w:val="00980D04"/>
    <w:rsid w:val="00980DF9"/>
    <w:rsid w:val="00981CD8"/>
    <w:rsid w:val="0098243D"/>
    <w:rsid w:val="00982D26"/>
    <w:rsid w:val="00983B6E"/>
    <w:rsid w:val="00983FE5"/>
    <w:rsid w:val="009849E9"/>
    <w:rsid w:val="00984AFF"/>
    <w:rsid w:val="009859E4"/>
    <w:rsid w:val="00985D7F"/>
    <w:rsid w:val="0098601B"/>
    <w:rsid w:val="00987812"/>
    <w:rsid w:val="00990225"/>
    <w:rsid w:val="00990623"/>
    <w:rsid w:val="00991307"/>
    <w:rsid w:val="00991FAA"/>
    <w:rsid w:val="00992A13"/>
    <w:rsid w:val="00994AAD"/>
    <w:rsid w:val="00995150"/>
    <w:rsid w:val="00995D67"/>
    <w:rsid w:val="00997613"/>
    <w:rsid w:val="009A004F"/>
    <w:rsid w:val="009A013B"/>
    <w:rsid w:val="009A02F4"/>
    <w:rsid w:val="009A06BF"/>
    <w:rsid w:val="009A0A5C"/>
    <w:rsid w:val="009A0D17"/>
    <w:rsid w:val="009A2494"/>
    <w:rsid w:val="009A32B1"/>
    <w:rsid w:val="009A33A3"/>
    <w:rsid w:val="009A36F2"/>
    <w:rsid w:val="009A40C3"/>
    <w:rsid w:val="009A40D5"/>
    <w:rsid w:val="009A5268"/>
    <w:rsid w:val="009A57D0"/>
    <w:rsid w:val="009A6559"/>
    <w:rsid w:val="009A68FC"/>
    <w:rsid w:val="009A6CE4"/>
    <w:rsid w:val="009A7514"/>
    <w:rsid w:val="009A7E7A"/>
    <w:rsid w:val="009B0925"/>
    <w:rsid w:val="009B1584"/>
    <w:rsid w:val="009B18F0"/>
    <w:rsid w:val="009B1F4C"/>
    <w:rsid w:val="009B2471"/>
    <w:rsid w:val="009B314F"/>
    <w:rsid w:val="009B439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03C"/>
    <w:rsid w:val="009C6606"/>
    <w:rsid w:val="009C6CE5"/>
    <w:rsid w:val="009C6D50"/>
    <w:rsid w:val="009C72B2"/>
    <w:rsid w:val="009C7547"/>
    <w:rsid w:val="009D05EC"/>
    <w:rsid w:val="009D0E68"/>
    <w:rsid w:val="009D18D4"/>
    <w:rsid w:val="009D1FCF"/>
    <w:rsid w:val="009D2F60"/>
    <w:rsid w:val="009D3A2E"/>
    <w:rsid w:val="009D5ADE"/>
    <w:rsid w:val="009D5BAC"/>
    <w:rsid w:val="009D5C56"/>
    <w:rsid w:val="009D6265"/>
    <w:rsid w:val="009D64BD"/>
    <w:rsid w:val="009D6CB1"/>
    <w:rsid w:val="009E0286"/>
    <w:rsid w:val="009E153F"/>
    <w:rsid w:val="009E18C5"/>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4DF"/>
    <w:rsid w:val="00A00FD5"/>
    <w:rsid w:val="00A012C0"/>
    <w:rsid w:val="00A019A8"/>
    <w:rsid w:val="00A01B03"/>
    <w:rsid w:val="00A01B89"/>
    <w:rsid w:val="00A02C66"/>
    <w:rsid w:val="00A02C84"/>
    <w:rsid w:val="00A0464C"/>
    <w:rsid w:val="00A050BB"/>
    <w:rsid w:val="00A0521B"/>
    <w:rsid w:val="00A054E0"/>
    <w:rsid w:val="00A05D91"/>
    <w:rsid w:val="00A0740B"/>
    <w:rsid w:val="00A07ED3"/>
    <w:rsid w:val="00A10CA8"/>
    <w:rsid w:val="00A11042"/>
    <w:rsid w:val="00A12579"/>
    <w:rsid w:val="00A12CDC"/>
    <w:rsid w:val="00A133D8"/>
    <w:rsid w:val="00A15655"/>
    <w:rsid w:val="00A160B0"/>
    <w:rsid w:val="00A1740C"/>
    <w:rsid w:val="00A17904"/>
    <w:rsid w:val="00A20069"/>
    <w:rsid w:val="00A2244D"/>
    <w:rsid w:val="00A2253D"/>
    <w:rsid w:val="00A2267F"/>
    <w:rsid w:val="00A227FD"/>
    <w:rsid w:val="00A22CDB"/>
    <w:rsid w:val="00A24220"/>
    <w:rsid w:val="00A247B8"/>
    <w:rsid w:val="00A2495A"/>
    <w:rsid w:val="00A24C7A"/>
    <w:rsid w:val="00A24D8F"/>
    <w:rsid w:val="00A25B8B"/>
    <w:rsid w:val="00A2689F"/>
    <w:rsid w:val="00A26ECA"/>
    <w:rsid w:val="00A27461"/>
    <w:rsid w:val="00A27D67"/>
    <w:rsid w:val="00A30ABC"/>
    <w:rsid w:val="00A30E6C"/>
    <w:rsid w:val="00A33B74"/>
    <w:rsid w:val="00A3467F"/>
    <w:rsid w:val="00A34B4C"/>
    <w:rsid w:val="00A35030"/>
    <w:rsid w:val="00A3551A"/>
    <w:rsid w:val="00A366A0"/>
    <w:rsid w:val="00A37209"/>
    <w:rsid w:val="00A37584"/>
    <w:rsid w:val="00A376E8"/>
    <w:rsid w:val="00A37F8E"/>
    <w:rsid w:val="00A41188"/>
    <w:rsid w:val="00A41537"/>
    <w:rsid w:val="00A41737"/>
    <w:rsid w:val="00A42B8F"/>
    <w:rsid w:val="00A42D8E"/>
    <w:rsid w:val="00A43254"/>
    <w:rsid w:val="00A43896"/>
    <w:rsid w:val="00A43951"/>
    <w:rsid w:val="00A43A26"/>
    <w:rsid w:val="00A447A0"/>
    <w:rsid w:val="00A459F5"/>
    <w:rsid w:val="00A45FC0"/>
    <w:rsid w:val="00A46B74"/>
    <w:rsid w:val="00A47BF7"/>
    <w:rsid w:val="00A47ECC"/>
    <w:rsid w:val="00A50171"/>
    <w:rsid w:val="00A504FA"/>
    <w:rsid w:val="00A505C7"/>
    <w:rsid w:val="00A5102E"/>
    <w:rsid w:val="00A5132E"/>
    <w:rsid w:val="00A51375"/>
    <w:rsid w:val="00A51533"/>
    <w:rsid w:val="00A531D4"/>
    <w:rsid w:val="00A54572"/>
    <w:rsid w:val="00A54CB9"/>
    <w:rsid w:val="00A56D4D"/>
    <w:rsid w:val="00A575B8"/>
    <w:rsid w:val="00A619BB"/>
    <w:rsid w:val="00A61C60"/>
    <w:rsid w:val="00A61ECB"/>
    <w:rsid w:val="00A6410C"/>
    <w:rsid w:val="00A647B1"/>
    <w:rsid w:val="00A64DEF"/>
    <w:rsid w:val="00A654D2"/>
    <w:rsid w:val="00A665DF"/>
    <w:rsid w:val="00A67FCC"/>
    <w:rsid w:val="00A70198"/>
    <w:rsid w:val="00A705F5"/>
    <w:rsid w:val="00A70AA5"/>
    <w:rsid w:val="00A70C03"/>
    <w:rsid w:val="00A7112A"/>
    <w:rsid w:val="00A71256"/>
    <w:rsid w:val="00A7217B"/>
    <w:rsid w:val="00A722D7"/>
    <w:rsid w:val="00A723A3"/>
    <w:rsid w:val="00A73861"/>
    <w:rsid w:val="00A739A6"/>
    <w:rsid w:val="00A740ED"/>
    <w:rsid w:val="00A74C29"/>
    <w:rsid w:val="00A74C62"/>
    <w:rsid w:val="00A75EF9"/>
    <w:rsid w:val="00A75F77"/>
    <w:rsid w:val="00A7657C"/>
    <w:rsid w:val="00A8311C"/>
    <w:rsid w:val="00A835D0"/>
    <w:rsid w:val="00A84C5F"/>
    <w:rsid w:val="00A85930"/>
    <w:rsid w:val="00A863F7"/>
    <w:rsid w:val="00A86604"/>
    <w:rsid w:val="00A87519"/>
    <w:rsid w:val="00A9246D"/>
    <w:rsid w:val="00A92CCA"/>
    <w:rsid w:val="00A9399C"/>
    <w:rsid w:val="00A93BD0"/>
    <w:rsid w:val="00A93CC2"/>
    <w:rsid w:val="00A94769"/>
    <w:rsid w:val="00A94D4B"/>
    <w:rsid w:val="00A974CC"/>
    <w:rsid w:val="00A97889"/>
    <w:rsid w:val="00AA05FB"/>
    <w:rsid w:val="00AA2001"/>
    <w:rsid w:val="00AA2B5C"/>
    <w:rsid w:val="00AA32D2"/>
    <w:rsid w:val="00AA3B8B"/>
    <w:rsid w:val="00AA4016"/>
    <w:rsid w:val="00AA4C1F"/>
    <w:rsid w:val="00AA5328"/>
    <w:rsid w:val="00AA5393"/>
    <w:rsid w:val="00AA63D4"/>
    <w:rsid w:val="00AA721A"/>
    <w:rsid w:val="00AA7A21"/>
    <w:rsid w:val="00AB03FD"/>
    <w:rsid w:val="00AB2000"/>
    <w:rsid w:val="00AB38CB"/>
    <w:rsid w:val="00AB3BEC"/>
    <w:rsid w:val="00AB44E4"/>
    <w:rsid w:val="00AB4AEB"/>
    <w:rsid w:val="00AB4E5F"/>
    <w:rsid w:val="00AB5352"/>
    <w:rsid w:val="00AB56AE"/>
    <w:rsid w:val="00AB62D5"/>
    <w:rsid w:val="00AB65B5"/>
    <w:rsid w:val="00AB6DCD"/>
    <w:rsid w:val="00AB6EE0"/>
    <w:rsid w:val="00AC007C"/>
    <w:rsid w:val="00AC17A2"/>
    <w:rsid w:val="00AC2410"/>
    <w:rsid w:val="00AC40B7"/>
    <w:rsid w:val="00AC531F"/>
    <w:rsid w:val="00AC5B36"/>
    <w:rsid w:val="00AC6377"/>
    <w:rsid w:val="00AC66A4"/>
    <w:rsid w:val="00AC6CB1"/>
    <w:rsid w:val="00AC75E9"/>
    <w:rsid w:val="00AC7641"/>
    <w:rsid w:val="00AC7D6D"/>
    <w:rsid w:val="00AD0091"/>
    <w:rsid w:val="00AD23EF"/>
    <w:rsid w:val="00AD2662"/>
    <w:rsid w:val="00AD307B"/>
    <w:rsid w:val="00AD4014"/>
    <w:rsid w:val="00AD41B3"/>
    <w:rsid w:val="00AD5721"/>
    <w:rsid w:val="00AD69F0"/>
    <w:rsid w:val="00AD7127"/>
    <w:rsid w:val="00AD730C"/>
    <w:rsid w:val="00AE123A"/>
    <w:rsid w:val="00AE1539"/>
    <w:rsid w:val="00AE264D"/>
    <w:rsid w:val="00AE26A6"/>
    <w:rsid w:val="00AE28A7"/>
    <w:rsid w:val="00AE2A98"/>
    <w:rsid w:val="00AE2CF2"/>
    <w:rsid w:val="00AE3012"/>
    <w:rsid w:val="00AE3297"/>
    <w:rsid w:val="00AE33A6"/>
    <w:rsid w:val="00AE3513"/>
    <w:rsid w:val="00AE3729"/>
    <w:rsid w:val="00AE434C"/>
    <w:rsid w:val="00AE4A3E"/>
    <w:rsid w:val="00AE4CCE"/>
    <w:rsid w:val="00AE5C6A"/>
    <w:rsid w:val="00AE7280"/>
    <w:rsid w:val="00AE7F1E"/>
    <w:rsid w:val="00AF01FA"/>
    <w:rsid w:val="00AF033A"/>
    <w:rsid w:val="00AF1658"/>
    <w:rsid w:val="00AF1699"/>
    <w:rsid w:val="00AF1FD3"/>
    <w:rsid w:val="00AF2910"/>
    <w:rsid w:val="00AF34B8"/>
    <w:rsid w:val="00AF3896"/>
    <w:rsid w:val="00AF39C9"/>
    <w:rsid w:val="00AF3FC2"/>
    <w:rsid w:val="00AF4DEC"/>
    <w:rsid w:val="00B003FF"/>
    <w:rsid w:val="00B0098A"/>
    <w:rsid w:val="00B00A5F"/>
    <w:rsid w:val="00B029B8"/>
    <w:rsid w:val="00B02F60"/>
    <w:rsid w:val="00B02F94"/>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CDE"/>
    <w:rsid w:val="00B21D23"/>
    <w:rsid w:val="00B21F62"/>
    <w:rsid w:val="00B22CE0"/>
    <w:rsid w:val="00B23738"/>
    <w:rsid w:val="00B23BEF"/>
    <w:rsid w:val="00B24253"/>
    <w:rsid w:val="00B247BB"/>
    <w:rsid w:val="00B2504A"/>
    <w:rsid w:val="00B25EE6"/>
    <w:rsid w:val="00B3115A"/>
    <w:rsid w:val="00B3178B"/>
    <w:rsid w:val="00B31825"/>
    <w:rsid w:val="00B31A5C"/>
    <w:rsid w:val="00B32265"/>
    <w:rsid w:val="00B3276D"/>
    <w:rsid w:val="00B33B06"/>
    <w:rsid w:val="00B33C19"/>
    <w:rsid w:val="00B35A15"/>
    <w:rsid w:val="00B35B45"/>
    <w:rsid w:val="00B36165"/>
    <w:rsid w:val="00B36A99"/>
    <w:rsid w:val="00B42264"/>
    <w:rsid w:val="00B42EF9"/>
    <w:rsid w:val="00B434B2"/>
    <w:rsid w:val="00B43D45"/>
    <w:rsid w:val="00B459AF"/>
    <w:rsid w:val="00B468F2"/>
    <w:rsid w:val="00B469DE"/>
    <w:rsid w:val="00B47286"/>
    <w:rsid w:val="00B47EB4"/>
    <w:rsid w:val="00B50234"/>
    <w:rsid w:val="00B51BF4"/>
    <w:rsid w:val="00B52C68"/>
    <w:rsid w:val="00B5372B"/>
    <w:rsid w:val="00B542FE"/>
    <w:rsid w:val="00B55A1B"/>
    <w:rsid w:val="00B561DB"/>
    <w:rsid w:val="00B56DF9"/>
    <w:rsid w:val="00B56E80"/>
    <w:rsid w:val="00B571F1"/>
    <w:rsid w:val="00B600BD"/>
    <w:rsid w:val="00B60E4E"/>
    <w:rsid w:val="00B61274"/>
    <w:rsid w:val="00B61DCE"/>
    <w:rsid w:val="00B62188"/>
    <w:rsid w:val="00B62F79"/>
    <w:rsid w:val="00B62F82"/>
    <w:rsid w:val="00B6306A"/>
    <w:rsid w:val="00B635E3"/>
    <w:rsid w:val="00B662FF"/>
    <w:rsid w:val="00B66679"/>
    <w:rsid w:val="00B70145"/>
    <w:rsid w:val="00B71A92"/>
    <w:rsid w:val="00B721D8"/>
    <w:rsid w:val="00B730CA"/>
    <w:rsid w:val="00B732EA"/>
    <w:rsid w:val="00B73661"/>
    <w:rsid w:val="00B73747"/>
    <w:rsid w:val="00B747C5"/>
    <w:rsid w:val="00B74F2F"/>
    <w:rsid w:val="00B753ED"/>
    <w:rsid w:val="00B7665F"/>
    <w:rsid w:val="00B769BC"/>
    <w:rsid w:val="00B770F7"/>
    <w:rsid w:val="00B77349"/>
    <w:rsid w:val="00B7761E"/>
    <w:rsid w:val="00B80A3D"/>
    <w:rsid w:val="00B80B04"/>
    <w:rsid w:val="00B81216"/>
    <w:rsid w:val="00B821E4"/>
    <w:rsid w:val="00B823E0"/>
    <w:rsid w:val="00B8260D"/>
    <w:rsid w:val="00B82B78"/>
    <w:rsid w:val="00B845B4"/>
    <w:rsid w:val="00B84662"/>
    <w:rsid w:val="00B84C74"/>
    <w:rsid w:val="00B84CE9"/>
    <w:rsid w:val="00B85191"/>
    <w:rsid w:val="00B858A1"/>
    <w:rsid w:val="00B85FEC"/>
    <w:rsid w:val="00B864A3"/>
    <w:rsid w:val="00B86C2A"/>
    <w:rsid w:val="00B902A5"/>
    <w:rsid w:val="00B90420"/>
    <w:rsid w:val="00B90848"/>
    <w:rsid w:val="00B91146"/>
    <w:rsid w:val="00B913E4"/>
    <w:rsid w:val="00B91DB9"/>
    <w:rsid w:val="00B91FF3"/>
    <w:rsid w:val="00B925F8"/>
    <w:rsid w:val="00B93EFE"/>
    <w:rsid w:val="00B944B9"/>
    <w:rsid w:val="00B94956"/>
    <w:rsid w:val="00B94C7F"/>
    <w:rsid w:val="00B94E93"/>
    <w:rsid w:val="00B956B5"/>
    <w:rsid w:val="00B95956"/>
    <w:rsid w:val="00B96DF2"/>
    <w:rsid w:val="00B96E18"/>
    <w:rsid w:val="00B96F5A"/>
    <w:rsid w:val="00BA0B39"/>
    <w:rsid w:val="00BA0CB2"/>
    <w:rsid w:val="00BA0E26"/>
    <w:rsid w:val="00BA138B"/>
    <w:rsid w:val="00BA1853"/>
    <w:rsid w:val="00BA305B"/>
    <w:rsid w:val="00BA31BF"/>
    <w:rsid w:val="00BA3C0F"/>
    <w:rsid w:val="00BA3FC7"/>
    <w:rsid w:val="00BA478B"/>
    <w:rsid w:val="00BA5224"/>
    <w:rsid w:val="00BA575E"/>
    <w:rsid w:val="00BA76B7"/>
    <w:rsid w:val="00BA7E3B"/>
    <w:rsid w:val="00BB078D"/>
    <w:rsid w:val="00BB079C"/>
    <w:rsid w:val="00BB0D7A"/>
    <w:rsid w:val="00BB10E1"/>
    <w:rsid w:val="00BB2471"/>
    <w:rsid w:val="00BB3035"/>
    <w:rsid w:val="00BB39C1"/>
    <w:rsid w:val="00BB3DF5"/>
    <w:rsid w:val="00BB3EA7"/>
    <w:rsid w:val="00BB5909"/>
    <w:rsid w:val="00BB5D16"/>
    <w:rsid w:val="00BB6180"/>
    <w:rsid w:val="00BB69E6"/>
    <w:rsid w:val="00BB7323"/>
    <w:rsid w:val="00BB7687"/>
    <w:rsid w:val="00BB7BE5"/>
    <w:rsid w:val="00BC08BD"/>
    <w:rsid w:val="00BC11E8"/>
    <w:rsid w:val="00BC1B7A"/>
    <w:rsid w:val="00BC2C17"/>
    <w:rsid w:val="00BC3ACD"/>
    <w:rsid w:val="00BC3B20"/>
    <w:rsid w:val="00BC3EE4"/>
    <w:rsid w:val="00BC588C"/>
    <w:rsid w:val="00BC6E73"/>
    <w:rsid w:val="00BC74D3"/>
    <w:rsid w:val="00BD0014"/>
    <w:rsid w:val="00BD01D8"/>
    <w:rsid w:val="00BD255F"/>
    <w:rsid w:val="00BD2895"/>
    <w:rsid w:val="00BD4236"/>
    <w:rsid w:val="00BD483B"/>
    <w:rsid w:val="00BD51F9"/>
    <w:rsid w:val="00BD5CD4"/>
    <w:rsid w:val="00BD65D9"/>
    <w:rsid w:val="00BD6DF3"/>
    <w:rsid w:val="00BD6E09"/>
    <w:rsid w:val="00BD6EF9"/>
    <w:rsid w:val="00BE04BC"/>
    <w:rsid w:val="00BE0ACB"/>
    <w:rsid w:val="00BE2260"/>
    <w:rsid w:val="00BE3917"/>
    <w:rsid w:val="00BE50FD"/>
    <w:rsid w:val="00BE51CA"/>
    <w:rsid w:val="00BE537F"/>
    <w:rsid w:val="00BE5D77"/>
    <w:rsid w:val="00BE6D47"/>
    <w:rsid w:val="00BE7032"/>
    <w:rsid w:val="00BE7330"/>
    <w:rsid w:val="00BE7B60"/>
    <w:rsid w:val="00BF01C5"/>
    <w:rsid w:val="00BF061A"/>
    <w:rsid w:val="00BF066A"/>
    <w:rsid w:val="00BF14CC"/>
    <w:rsid w:val="00BF1821"/>
    <w:rsid w:val="00BF22E9"/>
    <w:rsid w:val="00BF4342"/>
    <w:rsid w:val="00BF4704"/>
    <w:rsid w:val="00BF4FFC"/>
    <w:rsid w:val="00BF5050"/>
    <w:rsid w:val="00BF50D1"/>
    <w:rsid w:val="00BF5422"/>
    <w:rsid w:val="00BF59B1"/>
    <w:rsid w:val="00BF6625"/>
    <w:rsid w:val="00BF6A78"/>
    <w:rsid w:val="00BF7695"/>
    <w:rsid w:val="00BF79B4"/>
    <w:rsid w:val="00BF7C61"/>
    <w:rsid w:val="00C00C7A"/>
    <w:rsid w:val="00C01427"/>
    <w:rsid w:val="00C014C7"/>
    <w:rsid w:val="00C031CF"/>
    <w:rsid w:val="00C047AB"/>
    <w:rsid w:val="00C058AF"/>
    <w:rsid w:val="00C075B6"/>
    <w:rsid w:val="00C11B50"/>
    <w:rsid w:val="00C124C1"/>
    <w:rsid w:val="00C128AE"/>
    <w:rsid w:val="00C12BA8"/>
    <w:rsid w:val="00C13094"/>
    <w:rsid w:val="00C136D6"/>
    <w:rsid w:val="00C13D5B"/>
    <w:rsid w:val="00C141D7"/>
    <w:rsid w:val="00C1711B"/>
    <w:rsid w:val="00C17AE2"/>
    <w:rsid w:val="00C20140"/>
    <w:rsid w:val="00C20848"/>
    <w:rsid w:val="00C20F27"/>
    <w:rsid w:val="00C215CF"/>
    <w:rsid w:val="00C2244B"/>
    <w:rsid w:val="00C22711"/>
    <w:rsid w:val="00C2280A"/>
    <w:rsid w:val="00C22A04"/>
    <w:rsid w:val="00C22B0D"/>
    <w:rsid w:val="00C22BFF"/>
    <w:rsid w:val="00C23522"/>
    <w:rsid w:val="00C240C1"/>
    <w:rsid w:val="00C244A1"/>
    <w:rsid w:val="00C24AED"/>
    <w:rsid w:val="00C250D0"/>
    <w:rsid w:val="00C252AC"/>
    <w:rsid w:val="00C25C0F"/>
    <w:rsid w:val="00C26567"/>
    <w:rsid w:val="00C26923"/>
    <w:rsid w:val="00C27214"/>
    <w:rsid w:val="00C27597"/>
    <w:rsid w:val="00C2775A"/>
    <w:rsid w:val="00C27E5E"/>
    <w:rsid w:val="00C30382"/>
    <w:rsid w:val="00C30772"/>
    <w:rsid w:val="00C30D6F"/>
    <w:rsid w:val="00C31063"/>
    <w:rsid w:val="00C31B7E"/>
    <w:rsid w:val="00C322D1"/>
    <w:rsid w:val="00C3242A"/>
    <w:rsid w:val="00C33201"/>
    <w:rsid w:val="00C33A39"/>
    <w:rsid w:val="00C34619"/>
    <w:rsid w:val="00C348D9"/>
    <w:rsid w:val="00C35D01"/>
    <w:rsid w:val="00C360B3"/>
    <w:rsid w:val="00C37027"/>
    <w:rsid w:val="00C373BF"/>
    <w:rsid w:val="00C37B19"/>
    <w:rsid w:val="00C41349"/>
    <w:rsid w:val="00C413CB"/>
    <w:rsid w:val="00C42752"/>
    <w:rsid w:val="00C42973"/>
    <w:rsid w:val="00C437B0"/>
    <w:rsid w:val="00C46B95"/>
    <w:rsid w:val="00C4712A"/>
    <w:rsid w:val="00C5034F"/>
    <w:rsid w:val="00C50830"/>
    <w:rsid w:val="00C52479"/>
    <w:rsid w:val="00C5266E"/>
    <w:rsid w:val="00C52C59"/>
    <w:rsid w:val="00C5349E"/>
    <w:rsid w:val="00C539FF"/>
    <w:rsid w:val="00C544BD"/>
    <w:rsid w:val="00C54D3D"/>
    <w:rsid w:val="00C55A30"/>
    <w:rsid w:val="00C5605B"/>
    <w:rsid w:val="00C56384"/>
    <w:rsid w:val="00C60F8C"/>
    <w:rsid w:val="00C61424"/>
    <w:rsid w:val="00C61794"/>
    <w:rsid w:val="00C62A48"/>
    <w:rsid w:val="00C62AC4"/>
    <w:rsid w:val="00C62B59"/>
    <w:rsid w:val="00C62C3D"/>
    <w:rsid w:val="00C62F96"/>
    <w:rsid w:val="00C631E1"/>
    <w:rsid w:val="00C638D8"/>
    <w:rsid w:val="00C63A43"/>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23C"/>
    <w:rsid w:val="00C827B4"/>
    <w:rsid w:val="00C83214"/>
    <w:rsid w:val="00C8329F"/>
    <w:rsid w:val="00C84F8A"/>
    <w:rsid w:val="00C85BA4"/>
    <w:rsid w:val="00C8618F"/>
    <w:rsid w:val="00C8625D"/>
    <w:rsid w:val="00C90372"/>
    <w:rsid w:val="00C9041F"/>
    <w:rsid w:val="00C90A64"/>
    <w:rsid w:val="00C9166B"/>
    <w:rsid w:val="00C91945"/>
    <w:rsid w:val="00C91A45"/>
    <w:rsid w:val="00C91FB4"/>
    <w:rsid w:val="00C92150"/>
    <w:rsid w:val="00C92328"/>
    <w:rsid w:val="00C92D42"/>
    <w:rsid w:val="00C938C2"/>
    <w:rsid w:val="00C93F8A"/>
    <w:rsid w:val="00C94EA1"/>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010"/>
    <w:rsid w:val="00CB53E8"/>
    <w:rsid w:val="00CB594A"/>
    <w:rsid w:val="00CB5B38"/>
    <w:rsid w:val="00CB5CB2"/>
    <w:rsid w:val="00CB6979"/>
    <w:rsid w:val="00CB7DDE"/>
    <w:rsid w:val="00CC0A3D"/>
    <w:rsid w:val="00CC2FF0"/>
    <w:rsid w:val="00CC3C53"/>
    <w:rsid w:val="00CC3D24"/>
    <w:rsid w:val="00CC3F91"/>
    <w:rsid w:val="00CC47EE"/>
    <w:rsid w:val="00CC4ACD"/>
    <w:rsid w:val="00CC4B0A"/>
    <w:rsid w:val="00CC544A"/>
    <w:rsid w:val="00CC57EA"/>
    <w:rsid w:val="00CC5954"/>
    <w:rsid w:val="00CC629B"/>
    <w:rsid w:val="00CC6C4E"/>
    <w:rsid w:val="00CC77E1"/>
    <w:rsid w:val="00CD009D"/>
    <w:rsid w:val="00CD05A2"/>
    <w:rsid w:val="00CD29D4"/>
    <w:rsid w:val="00CD2B5C"/>
    <w:rsid w:val="00CD2FF3"/>
    <w:rsid w:val="00CD3323"/>
    <w:rsid w:val="00CD38F5"/>
    <w:rsid w:val="00CD3BF2"/>
    <w:rsid w:val="00CD437E"/>
    <w:rsid w:val="00CD5DAD"/>
    <w:rsid w:val="00CD72C5"/>
    <w:rsid w:val="00CD79A7"/>
    <w:rsid w:val="00CD7FAD"/>
    <w:rsid w:val="00CE0789"/>
    <w:rsid w:val="00CE0E8D"/>
    <w:rsid w:val="00CE1A03"/>
    <w:rsid w:val="00CE2346"/>
    <w:rsid w:val="00CE25B2"/>
    <w:rsid w:val="00CE3529"/>
    <w:rsid w:val="00CE35C8"/>
    <w:rsid w:val="00CE3962"/>
    <w:rsid w:val="00CE3B16"/>
    <w:rsid w:val="00CE4D0A"/>
    <w:rsid w:val="00CE4D1A"/>
    <w:rsid w:val="00CE4E8A"/>
    <w:rsid w:val="00CE5105"/>
    <w:rsid w:val="00CE56BD"/>
    <w:rsid w:val="00CE5EC0"/>
    <w:rsid w:val="00CE68AD"/>
    <w:rsid w:val="00CE6F9F"/>
    <w:rsid w:val="00CE781A"/>
    <w:rsid w:val="00CE7B08"/>
    <w:rsid w:val="00CE7D52"/>
    <w:rsid w:val="00CF0AB7"/>
    <w:rsid w:val="00CF1D74"/>
    <w:rsid w:val="00CF2BE2"/>
    <w:rsid w:val="00CF3DEB"/>
    <w:rsid w:val="00CF55F9"/>
    <w:rsid w:val="00CF7074"/>
    <w:rsid w:val="00CF711B"/>
    <w:rsid w:val="00CF7495"/>
    <w:rsid w:val="00D01996"/>
    <w:rsid w:val="00D01CF9"/>
    <w:rsid w:val="00D02E2F"/>
    <w:rsid w:val="00D0334D"/>
    <w:rsid w:val="00D0374D"/>
    <w:rsid w:val="00D06D7B"/>
    <w:rsid w:val="00D06DA5"/>
    <w:rsid w:val="00D07191"/>
    <w:rsid w:val="00D07F1D"/>
    <w:rsid w:val="00D10558"/>
    <w:rsid w:val="00D11D4D"/>
    <w:rsid w:val="00D11DB1"/>
    <w:rsid w:val="00D126DC"/>
    <w:rsid w:val="00D12B03"/>
    <w:rsid w:val="00D13E70"/>
    <w:rsid w:val="00D13EE7"/>
    <w:rsid w:val="00D1572F"/>
    <w:rsid w:val="00D15FCD"/>
    <w:rsid w:val="00D16C58"/>
    <w:rsid w:val="00D17019"/>
    <w:rsid w:val="00D17FC8"/>
    <w:rsid w:val="00D2015B"/>
    <w:rsid w:val="00D20245"/>
    <w:rsid w:val="00D20B44"/>
    <w:rsid w:val="00D21168"/>
    <w:rsid w:val="00D2385D"/>
    <w:rsid w:val="00D2438C"/>
    <w:rsid w:val="00D2585A"/>
    <w:rsid w:val="00D259B0"/>
    <w:rsid w:val="00D259C2"/>
    <w:rsid w:val="00D26C3F"/>
    <w:rsid w:val="00D27185"/>
    <w:rsid w:val="00D3028A"/>
    <w:rsid w:val="00D33488"/>
    <w:rsid w:val="00D33AB3"/>
    <w:rsid w:val="00D33F24"/>
    <w:rsid w:val="00D34160"/>
    <w:rsid w:val="00D346B8"/>
    <w:rsid w:val="00D34DCA"/>
    <w:rsid w:val="00D35AC8"/>
    <w:rsid w:val="00D36F87"/>
    <w:rsid w:val="00D37E4E"/>
    <w:rsid w:val="00D4032D"/>
    <w:rsid w:val="00D417D8"/>
    <w:rsid w:val="00D41F78"/>
    <w:rsid w:val="00D42E6C"/>
    <w:rsid w:val="00D4351C"/>
    <w:rsid w:val="00D43B80"/>
    <w:rsid w:val="00D44988"/>
    <w:rsid w:val="00D45B4C"/>
    <w:rsid w:val="00D45BA4"/>
    <w:rsid w:val="00D471AF"/>
    <w:rsid w:val="00D471E2"/>
    <w:rsid w:val="00D4724F"/>
    <w:rsid w:val="00D50519"/>
    <w:rsid w:val="00D50779"/>
    <w:rsid w:val="00D51601"/>
    <w:rsid w:val="00D51ECB"/>
    <w:rsid w:val="00D5264C"/>
    <w:rsid w:val="00D52BBC"/>
    <w:rsid w:val="00D537FE"/>
    <w:rsid w:val="00D53CC9"/>
    <w:rsid w:val="00D54A6A"/>
    <w:rsid w:val="00D54B8F"/>
    <w:rsid w:val="00D55848"/>
    <w:rsid w:val="00D55951"/>
    <w:rsid w:val="00D559F0"/>
    <w:rsid w:val="00D5650F"/>
    <w:rsid w:val="00D57EB6"/>
    <w:rsid w:val="00D608C0"/>
    <w:rsid w:val="00D60D6D"/>
    <w:rsid w:val="00D6128C"/>
    <w:rsid w:val="00D63B22"/>
    <w:rsid w:val="00D66D8B"/>
    <w:rsid w:val="00D70849"/>
    <w:rsid w:val="00D72297"/>
    <w:rsid w:val="00D72A1C"/>
    <w:rsid w:val="00D7308F"/>
    <w:rsid w:val="00D7313E"/>
    <w:rsid w:val="00D73580"/>
    <w:rsid w:val="00D73802"/>
    <w:rsid w:val="00D73C2C"/>
    <w:rsid w:val="00D73D52"/>
    <w:rsid w:val="00D745E7"/>
    <w:rsid w:val="00D75FDA"/>
    <w:rsid w:val="00D774ED"/>
    <w:rsid w:val="00D777C3"/>
    <w:rsid w:val="00D7797C"/>
    <w:rsid w:val="00D77C44"/>
    <w:rsid w:val="00D77F88"/>
    <w:rsid w:val="00D81AFA"/>
    <w:rsid w:val="00D81EAA"/>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0485"/>
    <w:rsid w:val="00DA1A3A"/>
    <w:rsid w:val="00DA2351"/>
    <w:rsid w:val="00DA249E"/>
    <w:rsid w:val="00DA2D3D"/>
    <w:rsid w:val="00DA2DC8"/>
    <w:rsid w:val="00DA3855"/>
    <w:rsid w:val="00DA39BA"/>
    <w:rsid w:val="00DA4C30"/>
    <w:rsid w:val="00DA6A44"/>
    <w:rsid w:val="00DA7A3C"/>
    <w:rsid w:val="00DB145E"/>
    <w:rsid w:val="00DB1A94"/>
    <w:rsid w:val="00DB1D52"/>
    <w:rsid w:val="00DB1E2B"/>
    <w:rsid w:val="00DB1F62"/>
    <w:rsid w:val="00DB21E7"/>
    <w:rsid w:val="00DB230B"/>
    <w:rsid w:val="00DB2E03"/>
    <w:rsid w:val="00DB3742"/>
    <w:rsid w:val="00DB3E9B"/>
    <w:rsid w:val="00DB3F4B"/>
    <w:rsid w:val="00DB5375"/>
    <w:rsid w:val="00DB67C1"/>
    <w:rsid w:val="00DB6C0B"/>
    <w:rsid w:val="00DB70F4"/>
    <w:rsid w:val="00DB748A"/>
    <w:rsid w:val="00DC1056"/>
    <w:rsid w:val="00DC1442"/>
    <w:rsid w:val="00DC21D8"/>
    <w:rsid w:val="00DC282A"/>
    <w:rsid w:val="00DC2DE8"/>
    <w:rsid w:val="00DC34DC"/>
    <w:rsid w:val="00DC3780"/>
    <w:rsid w:val="00DC3ADA"/>
    <w:rsid w:val="00DC3CC6"/>
    <w:rsid w:val="00DC3F55"/>
    <w:rsid w:val="00DC4782"/>
    <w:rsid w:val="00DC514A"/>
    <w:rsid w:val="00DC5955"/>
    <w:rsid w:val="00DC67B1"/>
    <w:rsid w:val="00DC7FBC"/>
    <w:rsid w:val="00DD0019"/>
    <w:rsid w:val="00DD132B"/>
    <w:rsid w:val="00DD1725"/>
    <w:rsid w:val="00DD2159"/>
    <w:rsid w:val="00DD218B"/>
    <w:rsid w:val="00DD28BA"/>
    <w:rsid w:val="00DD2A18"/>
    <w:rsid w:val="00DD3044"/>
    <w:rsid w:val="00DD3985"/>
    <w:rsid w:val="00DD61E8"/>
    <w:rsid w:val="00DD62C0"/>
    <w:rsid w:val="00DD64DE"/>
    <w:rsid w:val="00DD66DE"/>
    <w:rsid w:val="00DD7859"/>
    <w:rsid w:val="00DD7B41"/>
    <w:rsid w:val="00DD7DB0"/>
    <w:rsid w:val="00DE0784"/>
    <w:rsid w:val="00DE0A1D"/>
    <w:rsid w:val="00DE15B2"/>
    <w:rsid w:val="00DE1A9A"/>
    <w:rsid w:val="00DE324E"/>
    <w:rsid w:val="00DE3D2C"/>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384"/>
    <w:rsid w:val="00DF7549"/>
    <w:rsid w:val="00DF7B8A"/>
    <w:rsid w:val="00DF7C87"/>
    <w:rsid w:val="00E009B0"/>
    <w:rsid w:val="00E00A12"/>
    <w:rsid w:val="00E00AB7"/>
    <w:rsid w:val="00E00B39"/>
    <w:rsid w:val="00E00C49"/>
    <w:rsid w:val="00E01C9C"/>
    <w:rsid w:val="00E0219D"/>
    <w:rsid w:val="00E04C0F"/>
    <w:rsid w:val="00E0570B"/>
    <w:rsid w:val="00E069C5"/>
    <w:rsid w:val="00E10913"/>
    <w:rsid w:val="00E10B87"/>
    <w:rsid w:val="00E121CE"/>
    <w:rsid w:val="00E12209"/>
    <w:rsid w:val="00E1478B"/>
    <w:rsid w:val="00E14FAC"/>
    <w:rsid w:val="00E15007"/>
    <w:rsid w:val="00E16277"/>
    <w:rsid w:val="00E16EC7"/>
    <w:rsid w:val="00E17330"/>
    <w:rsid w:val="00E17DCC"/>
    <w:rsid w:val="00E219CE"/>
    <w:rsid w:val="00E21D93"/>
    <w:rsid w:val="00E228CB"/>
    <w:rsid w:val="00E22D2A"/>
    <w:rsid w:val="00E24071"/>
    <w:rsid w:val="00E24DCA"/>
    <w:rsid w:val="00E24EBC"/>
    <w:rsid w:val="00E2522C"/>
    <w:rsid w:val="00E2552F"/>
    <w:rsid w:val="00E2599B"/>
    <w:rsid w:val="00E2710C"/>
    <w:rsid w:val="00E272BD"/>
    <w:rsid w:val="00E27428"/>
    <w:rsid w:val="00E305B4"/>
    <w:rsid w:val="00E31AFA"/>
    <w:rsid w:val="00E31CB7"/>
    <w:rsid w:val="00E324EE"/>
    <w:rsid w:val="00E34DB1"/>
    <w:rsid w:val="00E35931"/>
    <w:rsid w:val="00E359FF"/>
    <w:rsid w:val="00E3699A"/>
    <w:rsid w:val="00E402C5"/>
    <w:rsid w:val="00E402F4"/>
    <w:rsid w:val="00E405F1"/>
    <w:rsid w:val="00E417DB"/>
    <w:rsid w:val="00E43054"/>
    <w:rsid w:val="00E43655"/>
    <w:rsid w:val="00E44440"/>
    <w:rsid w:val="00E46013"/>
    <w:rsid w:val="00E47099"/>
    <w:rsid w:val="00E47284"/>
    <w:rsid w:val="00E477C3"/>
    <w:rsid w:val="00E506F1"/>
    <w:rsid w:val="00E51E16"/>
    <w:rsid w:val="00E52DED"/>
    <w:rsid w:val="00E53730"/>
    <w:rsid w:val="00E5438D"/>
    <w:rsid w:val="00E54511"/>
    <w:rsid w:val="00E54E50"/>
    <w:rsid w:val="00E55288"/>
    <w:rsid w:val="00E57577"/>
    <w:rsid w:val="00E62043"/>
    <w:rsid w:val="00E6268F"/>
    <w:rsid w:val="00E626B9"/>
    <w:rsid w:val="00E627C9"/>
    <w:rsid w:val="00E630F3"/>
    <w:rsid w:val="00E6332F"/>
    <w:rsid w:val="00E637C9"/>
    <w:rsid w:val="00E63B54"/>
    <w:rsid w:val="00E6402D"/>
    <w:rsid w:val="00E64C3D"/>
    <w:rsid w:val="00E6680A"/>
    <w:rsid w:val="00E66F0D"/>
    <w:rsid w:val="00E70615"/>
    <w:rsid w:val="00E7161E"/>
    <w:rsid w:val="00E7207B"/>
    <w:rsid w:val="00E72DCE"/>
    <w:rsid w:val="00E7347A"/>
    <w:rsid w:val="00E74BD0"/>
    <w:rsid w:val="00E75A47"/>
    <w:rsid w:val="00E75BB6"/>
    <w:rsid w:val="00E75D8C"/>
    <w:rsid w:val="00E777F2"/>
    <w:rsid w:val="00E802C9"/>
    <w:rsid w:val="00E80BFB"/>
    <w:rsid w:val="00E80EC2"/>
    <w:rsid w:val="00E80F0A"/>
    <w:rsid w:val="00E815D4"/>
    <w:rsid w:val="00E8291B"/>
    <w:rsid w:val="00E82E70"/>
    <w:rsid w:val="00E82F92"/>
    <w:rsid w:val="00E8395F"/>
    <w:rsid w:val="00E8410F"/>
    <w:rsid w:val="00E849D7"/>
    <w:rsid w:val="00E85E41"/>
    <w:rsid w:val="00E85EA1"/>
    <w:rsid w:val="00E86703"/>
    <w:rsid w:val="00E900DA"/>
    <w:rsid w:val="00E91044"/>
    <w:rsid w:val="00E910D3"/>
    <w:rsid w:val="00E91F53"/>
    <w:rsid w:val="00E92097"/>
    <w:rsid w:val="00E92154"/>
    <w:rsid w:val="00E923CF"/>
    <w:rsid w:val="00E93685"/>
    <w:rsid w:val="00E9378A"/>
    <w:rsid w:val="00E93B65"/>
    <w:rsid w:val="00E93C8C"/>
    <w:rsid w:val="00E95111"/>
    <w:rsid w:val="00E95FDF"/>
    <w:rsid w:val="00EA138D"/>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430A"/>
    <w:rsid w:val="00EB559F"/>
    <w:rsid w:val="00EB566C"/>
    <w:rsid w:val="00EB5A18"/>
    <w:rsid w:val="00EB5F3D"/>
    <w:rsid w:val="00EB6C97"/>
    <w:rsid w:val="00EC13B4"/>
    <w:rsid w:val="00EC1CEB"/>
    <w:rsid w:val="00EC1DC0"/>
    <w:rsid w:val="00EC1DC2"/>
    <w:rsid w:val="00EC1E09"/>
    <w:rsid w:val="00EC210E"/>
    <w:rsid w:val="00EC21EC"/>
    <w:rsid w:val="00EC24B8"/>
    <w:rsid w:val="00EC268C"/>
    <w:rsid w:val="00EC3613"/>
    <w:rsid w:val="00EC3753"/>
    <w:rsid w:val="00EC4E71"/>
    <w:rsid w:val="00EC5F1C"/>
    <w:rsid w:val="00ED0365"/>
    <w:rsid w:val="00ED0865"/>
    <w:rsid w:val="00ED0C1C"/>
    <w:rsid w:val="00ED1C60"/>
    <w:rsid w:val="00ED2EB9"/>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73D0"/>
    <w:rsid w:val="00EE7CB0"/>
    <w:rsid w:val="00EF08A8"/>
    <w:rsid w:val="00EF167B"/>
    <w:rsid w:val="00EF2496"/>
    <w:rsid w:val="00EF41A8"/>
    <w:rsid w:val="00EF44FB"/>
    <w:rsid w:val="00EF5122"/>
    <w:rsid w:val="00EF5554"/>
    <w:rsid w:val="00EF5AD8"/>
    <w:rsid w:val="00EF6B90"/>
    <w:rsid w:val="00EF7807"/>
    <w:rsid w:val="00EF79F7"/>
    <w:rsid w:val="00EF7A08"/>
    <w:rsid w:val="00F002C6"/>
    <w:rsid w:val="00F006C0"/>
    <w:rsid w:val="00F0125F"/>
    <w:rsid w:val="00F019AA"/>
    <w:rsid w:val="00F0267E"/>
    <w:rsid w:val="00F02686"/>
    <w:rsid w:val="00F026B0"/>
    <w:rsid w:val="00F030C0"/>
    <w:rsid w:val="00F03291"/>
    <w:rsid w:val="00F0353A"/>
    <w:rsid w:val="00F03A85"/>
    <w:rsid w:val="00F0459B"/>
    <w:rsid w:val="00F04DA4"/>
    <w:rsid w:val="00F04E15"/>
    <w:rsid w:val="00F05DF3"/>
    <w:rsid w:val="00F06829"/>
    <w:rsid w:val="00F069EA"/>
    <w:rsid w:val="00F070E5"/>
    <w:rsid w:val="00F07DDE"/>
    <w:rsid w:val="00F11675"/>
    <w:rsid w:val="00F123DA"/>
    <w:rsid w:val="00F12557"/>
    <w:rsid w:val="00F13599"/>
    <w:rsid w:val="00F13B28"/>
    <w:rsid w:val="00F156A0"/>
    <w:rsid w:val="00F15730"/>
    <w:rsid w:val="00F176A6"/>
    <w:rsid w:val="00F202C2"/>
    <w:rsid w:val="00F212F6"/>
    <w:rsid w:val="00F21EA7"/>
    <w:rsid w:val="00F224B0"/>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433"/>
    <w:rsid w:val="00F34B14"/>
    <w:rsid w:val="00F34F58"/>
    <w:rsid w:val="00F35DA7"/>
    <w:rsid w:val="00F36A6A"/>
    <w:rsid w:val="00F40101"/>
    <w:rsid w:val="00F404F7"/>
    <w:rsid w:val="00F40CCA"/>
    <w:rsid w:val="00F42D97"/>
    <w:rsid w:val="00F42FCF"/>
    <w:rsid w:val="00F436B2"/>
    <w:rsid w:val="00F43813"/>
    <w:rsid w:val="00F43FEE"/>
    <w:rsid w:val="00F4492F"/>
    <w:rsid w:val="00F45A72"/>
    <w:rsid w:val="00F46723"/>
    <w:rsid w:val="00F4706D"/>
    <w:rsid w:val="00F476E1"/>
    <w:rsid w:val="00F47D1D"/>
    <w:rsid w:val="00F47F29"/>
    <w:rsid w:val="00F50016"/>
    <w:rsid w:val="00F5118A"/>
    <w:rsid w:val="00F51A21"/>
    <w:rsid w:val="00F522F7"/>
    <w:rsid w:val="00F52614"/>
    <w:rsid w:val="00F5276E"/>
    <w:rsid w:val="00F52E9F"/>
    <w:rsid w:val="00F53304"/>
    <w:rsid w:val="00F53B81"/>
    <w:rsid w:val="00F540FE"/>
    <w:rsid w:val="00F5459A"/>
    <w:rsid w:val="00F556FF"/>
    <w:rsid w:val="00F55D12"/>
    <w:rsid w:val="00F5687F"/>
    <w:rsid w:val="00F56D3F"/>
    <w:rsid w:val="00F575C7"/>
    <w:rsid w:val="00F57FD0"/>
    <w:rsid w:val="00F60305"/>
    <w:rsid w:val="00F6166D"/>
    <w:rsid w:val="00F61B12"/>
    <w:rsid w:val="00F61C70"/>
    <w:rsid w:val="00F6221F"/>
    <w:rsid w:val="00F63264"/>
    <w:rsid w:val="00F634E4"/>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3F"/>
    <w:rsid w:val="00F81587"/>
    <w:rsid w:val="00F8288F"/>
    <w:rsid w:val="00F8376E"/>
    <w:rsid w:val="00F83C52"/>
    <w:rsid w:val="00F84802"/>
    <w:rsid w:val="00F85721"/>
    <w:rsid w:val="00F85B72"/>
    <w:rsid w:val="00F86540"/>
    <w:rsid w:val="00F865CE"/>
    <w:rsid w:val="00F87517"/>
    <w:rsid w:val="00F8766F"/>
    <w:rsid w:val="00F90282"/>
    <w:rsid w:val="00F9035C"/>
    <w:rsid w:val="00F91082"/>
    <w:rsid w:val="00F9116D"/>
    <w:rsid w:val="00F91342"/>
    <w:rsid w:val="00F91A9A"/>
    <w:rsid w:val="00F92634"/>
    <w:rsid w:val="00F933F3"/>
    <w:rsid w:val="00F93ABB"/>
    <w:rsid w:val="00F94861"/>
    <w:rsid w:val="00F94D79"/>
    <w:rsid w:val="00F9658C"/>
    <w:rsid w:val="00F96EEB"/>
    <w:rsid w:val="00F97A7F"/>
    <w:rsid w:val="00F97CD0"/>
    <w:rsid w:val="00FA0889"/>
    <w:rsid w:val="00FA1320"/>
    <w:rsid w:val="00FA16E7"/>
    <w:rsid w:val="00FA31C7"/>
    <w:rsid w:val="00FA472D"/>
    <w:rsid w:val="00FA681F"/>
    <w:rsid w:val="00FB0CBF"/>
    <w:rsid w:val="00FB18F6"/>
    <w:rsid w:val="00FB2A52"/>
    <w:rsid w:val="00FB3F92"/>
    <w:rsid w:val="00FB52C7"/>
    <w:rsid w:val="00FB57DC"/>
    <w:rsid w:val="00FB6E19"/>
    <w:rsid w:val="00FB71F6"/>
    <w:rsid w:val="00FC07AF"/>
    <w:rsid w:val="00FC0AF8"/>
    <w:rsid w:val="00FC0B69"/>
    <w:rsid w:val="00FC1483"/>
    <w:rsid w:val="00FC1C47"/>
    <w:rsid w:val="00FC1C53"/>
    <w:rsid w:val="00FC3102"/>
    <w:rsid w:val="00FC39ED"/>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6071"/>
    <w:rsid w:val="00FD633B"/>
    <w:rsid w:val="00FE0794"/>
    <w:rsid w:val="00FE1041"/>
    <w:rsid w:val="00FE24CB"/>
    <w:rsid w:val="00FE2B09"/>
    <w:rsid w:val="00FE323F"/>
    <w:rsid w:val="00FE3473"/>
    <w:rsid w:val="00FE4049"/>
    <w:rsid w:val="00FE4794"/>
    <w:rsid w:val="00FE480F"/>
    <w:rsid w:val="00FE4998"/>
    <w:rsid w:val="00FE57DE"/>
    <w:rsid w:val="00FE7A68"/>
    <w:rsid w:val="00FF0231"/>
    <w:rsid w:val="00FF11AE"/>
    <w:rsid w:val="00FF15CE"/>
    <w:rsid w:val="00FF1C9B"/>
    <w:rsid w:val="00FF1D49"/>
    <w:rsid w:val="00FF203B"/>
    <w:rsid w:val="00FF2562"/>
    <w:rsid w:val="00FF3A41"/>
    <w:rsid w:val="00FF3E5B"/>
    <w:rsid w:val="00FF57E4"/>
    <w:rsid w:val="00FF78E5"/>
    <w:rsid w:val="012C5FAF"/>
    <w:rsid w:val="01835CCA"/>
    <w:rsid w:val="01A8508C"/>
    <w:rsid w:val="01AF3D99"/>
    <w:rsid w:val="02025461"/>
    <w:rsid w:val="02511F9D"/>
    <w:rsid w:val="03A314B8"/>
    <w:rsid w:val="03D82B98"/>
    <w:rsid w:val="03F83E8B"/>
    <w:rsid w:val="04270F7A"/>
    <w:rsid w:val="04661AE1"/>
    <w:rsid w:val="04AB751A"/>
    <w:rsid w:val="04E330F7"/>
    <w:rsid w:val="04FA58E5"/>
    <w:rsid w:val="05A37437"/>
    <w:rsid w:val="05C56868"/>
    <w:rsid w:val="06D50788"/>
    <w:rsid w:val="07A539BD"/>
    <w:rsid w:val="07B72767"/>
    <w:rsid w:val="08077E72"/>
    <w:rsid w:val="08882DD0"/>
    <w:rsid w:val="08F45A9D"/>
    <w:rsid w:val="09CC2AAC"/>
    <w:rsid w:val="09D403DB"/>
    <w:rsid w:val="0A571743"/>
    <w:rsid w:val="0A5F470C"/>
    <w:rsid w:val="0A652D3E"/>
    <w:rsid w:val="0A6F5F47"/>
    <w:rsid w:val="0AE0286D"/>
    <w:rsid w:val="0AFE6240"/>
    <w:rsid w:val="0B326F2A"/>
    <w:rsid w:val="0BF93EBA"/>
    <w:rsid w:val="0C1E2888"/>
    <w:rsid w:val="0C374865"/>
    <w:rsid w:val="0C581959"/>
    <w:rsid w:val="0C5D38DF"/>
    <w:rsid w:val="0C692CAD"/>
    <w:rsid w:val="0C92213C"/>
    <w:rsid w:val="0CBE467B"/>
    <w:rsid w:val="0CC2027E"/>
    <w:rsid w:val="0CCA7175"/>
    <w:rsid w:val="0D84032B"/>
    <w:rsid w:val="0DC76478"/>
    <w:rsid w:val="0F2A74C4"/>
    <w:rsid w:val="0F5204C2"/>
    <w:rsid w:val="0FBE2419"/>
    <w:rsid w:val="10A27F31"/>
    <w:rsid w:val="10A305EE"/>
    <w:rsid w:val="10FA5159"/>
    <w:rsid w:val="11927058"/>
    <w:rsid w:val="119F01D5"/>
    <w:rsid w:val="120E171E"/>
    <w:rsid w:val="12703773"/>
    <w:rsid w:val="12817A3E"/>
    <w:rsid w:val="12F42BA4"/>
    <w:rsid w:val="137F1718"/>
    <w:rsid w:val="13AF4F03"/>
    <w:rsid w:val="13B6035F"/>
    <w:rsid w:val="13BD3FFE"/>
    <w:rsid w:val="13D73D07"/>
    <w:rsid w:val="14736E66"/>
    <w:rsid w:val="147F458F"/>
    <w:rsid w:val="1534169A"/>
    <w:rsid w:val="15C03E03"/>
    <w:rsid w:val="160C5AE6"/>
    <w:rsid w:val="162A25EB"/>
    <w:rsid w:val="162C4310"/>
    <w:rsid w:val="16735895"/>
    <w:rsid w:val="169E678F"/>
    <w:rsid w:val="16C77784"/>
    <w:rsid w:val="16FD2A55"/>
    <w:rsid w:val="17067C1A"/>
    <w:rsid w:val="17366761"/>
    <w:rsid w:val="177C01F0"/>
    <w:rsid w:val="179E3EFA"/>
    <w:rsid w:val="17CE6630"/>
    <w:rsid w:val="18607849"/>
    <w:rsid w:val="18F9516C"/>
    <w:rsid w:val="18FE652B"/>
    <w:rsid w:val="1AFF0AFE"/>
    <w:rsid w:val="1B317922"/>
    <w:rsid w:val="1B3A6EE4"/>
    <w:rsid w:val="1B4F19F8"/>
    <w:rsid w:val="1BC31554"/>
    <w:rsid w:val="1D613643"/>
    <w:rsid w:val="1DE00AFD"/>
    <w:rsid w:val="1E02504B"/>
    <w:rsid w:val="1ECC44FA"/>
    <w:rsid w:val="1F063325"/>
    <w:rsid w:val="1FBC5DF5"/>
    <w:rsid w:val="1FF90588"/>
    <w:rsid w:val="20A30FB8"/>
    <w:rsid w:val="20C3623F"/>
    <w:rsid w:val="21781212"/>
    <w:rsid w:val="21B83F86"/>
    <w:rsid w:val="21BF0821"/>
    <w:rsid w:val="221178A8"/>
    <w:rsid w:val="221213CF"/>
    <w:rsid w:val="22327A92"/>
    <w:rsid w:val="225F6BCA"/>
    <w:rsid w:val="231D53A2"/>
    <w:rsid w:val="235C6C70"/>
    <w:rsid w:val="23603619"/>
    <w:rsid w:val="23650062"/>
    <w:rsid w:val="236D5383"/>
    <w:rsid w:val="23B7504C"/>
    <w:rsid w:val="24571307"/>
    <w:rsid w:val="25110A2A"/>
    <w:rsid w:val="2535779F"/>
    <w:rsid w:val="256C0944"/>
    <w:rsid w:val="25D35A24"/>
    <w:rsid w:val="25EB12CC"/>
    <w:rsid w:val="262D48F3"/>
    <w:rsid w:val="26446DE3"/>
    <w:rsid w:val="26877DFE"/>
    <w:rsid w:val="269669E7"/>
    <w:rsid w:val="26A270C1"/>
    <w:rsid w:val="26D7699F"/>
    <w:rsid w:val="270B76BD"/>
    <w:rsid w:val="27FB4BA3"/>
    <w:rsid w:val="28723F0E"/>
    <w:rsid w:val="29794E27"/>
    <w:rsid w:val="29D75F7F"/>
    <w:rsid w:val="2B774624"/>
    <w:rsid w:val="2C7A72BE"/>
    <w:rsid w:val="2C9A7D75"/>
    <w:rsid w:val="2CC17412"/>
    <w:rsid w:val="2D7C1E99"/>
    <w:rsid w:val="2E8928E3"/>
    <w:rsid w:val="2E9976CE"/>
    <w:rsid w:val="2EF01DEE"/>
    <w:rsid w:val="2EF6790B"/>
    <w:rsid w:val="2F05414A"/>
    <w:rsid w:val="2F401D3C"/>
    <w:rsid w:val="2F5B24E1"/>
    <w:rsid w:val="2FA95C88"/>
    <w:rsid w:val="2FE14059"/>
    <w:rsid w:val="3041370F"/>
    <w:rsid w:val="304B5F26"/>
    <w:rsid w:val="306D73A3"/>
    <w:rsid w:val="30B87FED"/>
    <w:rsid w:val="312B50A3"/>
    <w:rsid w:val="31894FD2"/>
    <w:rsid w:val="319F3EA2"/>
    <w:rsid w:val="322F3062"/>
    <w:rsid w:val="32453A27"/>
    <w:rsid w:val="32586510"/>
    <w:rsid w:val="3263064A"/>
    <w:rsid w:val="32A43132"/>
    <w:rsid w:val="32AC0C06"/>
    <w:rsid w:val="33344EF5"/>
    <w:rsid w:val="34FE4B75"/>
    <w:rsid w:val="3537750C"/>
    <w:rsid w:val="3537798C"/>
    <w:rsid w:val="353D7328"/>
    <w:rsid w:val="35C13FC9"/>
    <w:rsid w:val="35D52605"/>
    <w:rsid w:val="36372B05"/>
    <w:rsid w:val="364257B6"/>
    <w:rsid w:val="372740EA"/>
    <w:rsid w:val="376D7295"/>
    <w:rsid w:val="37CD7564"/>
    <w:rsid w:val="37EA5922"/>
    <w:rsid w:val="38276B93"/>
    <w:rsid w:val="382E58B8"/>
    <w:rsid w:val="38AC3431"/>
    <w:rsid w:val="39032C3D"/>
    <w:rsid w:val="392A6261"/>
    <w:rsid w:val="392F2E16"/>
    <w:rsid w:val="39E00529"/>
    <w:rsid w:val="3A0B64A7"/>
    <w:rsid w:val="3A24657A"/>
    <w:rsid w:val="3A574DDA"/>
    <w:rsid w:val="3AA050E7"/>
    <w:rsid w:val="3AD3075A"/>
    <w:rsid w:val="3AF74C02"/>
    <w:rsid w:val="3BBB17DC"/>
    <w:rsid w:val="3C0059A5"/>
    <w:rsid w:val="3C134E78"/>
    <w:rsid w:val="3C334EEB"/>
    <w:rsid w:val="3C42353F"/>
    <w:rsid w:val="3C677638"/>
    <w:rsid w:val="3C8967A4"/>
    <w:rsid w:val="3D0277D9"/>
    <w:rsid w:val="3DF6345D"/>
    <w:rsid w:val="3E2B5515"/>
    <w:rsid w:val="3E4D4F28"/>
    <w:rsid w:val="3ED7221E"/>
    <w:rsid w:val="3ED92EC4"/>
    <w:rsid w:val="3EE13701"/>
    <w:rsid w:val="3F1A4BB3"/>
    <w:rsid w:val="40192BA6"/>
    <w:rsid w:val="409937FA"/>
    <w:rsid w:val="41766EA9"/>
    <w:rsid w:val="42550A18"/>
    <w:rsid w:val="429D496A"/>
    <w:rsid w:val="42F473A1"/>
    <w:rsid w:val="43536B83"/>
    <w:rsid w:val="437217EA"/>
    <w:rsid w:val="43AB7156"/>
    <w:rsid w:val="43B3751D"/>
    <w:rsid w:val="441E62C0"/>
    <w:rsid w:val="45325D14"/>
    <w:rsid w:val="45811C7C"/>
    <w:rsid w:val="45906116"/>
    <w:rsid w:val="45931B8C"/>
    <w:rsid w:val="45EF2552"/>
    <w:rsid w:val="46263377"/>
    <w:rsid w:val="468B3EFB"/>
    <w:rsid w:val="46C434BA"/>
    <w:rsid w:val="470A6193"/>
    <w:rsid w:val="47385210"/>
    <w:rsid w:val="475510F8"/>
    <w:rsid w:val="47DC4F5C"/>
    <w:rsid w:val="483667DA"/>
    <w:rsid w:val="48B40671"/>
    <w:rsid w:val="499B5738"/>
    <w:rsid w:val="499F244D"/>
    <w:rsid w:val="4A1A4C51"/>
    <w:rsid w:val="4A973F3F"/>
    <w:rsid w:val="4AF96BC7"/>
    <w:rsid w:val="4B862A85"/>
    <w:rsid w:val="4CEF36E2"/>
    <w:rsid w:val="4CEF4DC5"/>
    <w:rsid w:val="4D8A2DB4"/>
    <w:rsid w:val="4DA020A5"/>
    <w:rsid w:val="4E257655"/>
    <w:rsid w:val="4E3F66C2"/>
    <w:rsid w:val="4F2202C5"/>
    <w:rsid w:val="4F372380"/>
    <w:rsid w:val="4F372FFB"/>
    <w:rsid w:val="5025116D"/>
    <w:rsid w:val="51C372D6"/>
    <w:rsid w:val="52395ECD"/>
    <w:rsid w:val="52984C43"/>
    <w:rsid w:val="52C10D75"/>
    <w:rsid w:val="535C4AA9"/>
    <w:rsid w:val="538B23ED"/>
    <w:rsid w:val="53C27FF8"/>
    <w:rsid w:val="540E28F4"/>
    <w:rsid w:val="54806794"/>
    <w:rsid w:val="549E1A80"/>
    <w:rsid w:val="54C658F4"/>
    <w:rsid w:val="54D12B3C"/>
    <w:rsid w:val="550C4BD7"/>
    <w:rsid w:val="554C1D56"/>
    <w:rsid w:val="55572986"/>
    <w:rsid w:val="5591749D"/>
    <w:rsid w:val="565340FA"/>
    <w:rsid w:val="56AD5F59"/>
    <w:rsid w:val="56C60774"/>
    <w:rsid w:val="56EC5168"/>
    <w:rsid w:val="57B12A52"/>
    <w:rsid w:val="57E5652D"/>
    <w:rsid w:val="582E1BEA"/>
    <w:rsid w:val="592B226D"/>
    <w:rsid w:val="59583222"/>
    <w:rsid w:val="59DC6DC8"/>
    <w:rsid w:val="5A2F2CC8"/>
    <w:rsid w:val="5B226EC0"/>
    <w:rsid w:val="5C10702D"/>
    <w:rsid w:val="5C152601"/>
    <w:rsid w:val="5C360B1C"/>
    <w:rsid w:val="5C591F03"/>
    <w:rsid w:val="5C6C4B26"/>
    <w:rsid w:val="5C7368BB"/>
    <w:rsid w:val="5C8A1B2F"/>
    <w:rsid w:val="5DD469F9"/>
    <w:rsid w:val="5F15543F"/>
    <w:rsid w:val="5F561B72"/>
    <w:rsid w:val="60121E89"/>
    <w:rsid w:val="606007BB"/>
    <w:rsid w:val="60AC7F66"/>
    <w:rsid w:val="610B47F5"/>
    <w:rsid w:val="61BF10D9"/>
    <w:rsid w:val="61C40EDD"/>
    <w:rsid w:val="629C19BE"/>
    <w:rsid w:val="62AC22DC"/>
    <w:rsid w:val="63A22BFD"/>
    <w:rsid w:val="63BA40FF"/>
    <w:rsid w:val="646459BF"/>
    <w:rsid w:val="64E45EF7"/>
    <w:rsid w:val="66216A17"/>
    <w:rsid w:val="6691014E"/>
    <w:rsid w:val="66C87CCE"/>
    <w:rsid w:val="673D622C"/>
    <w:rsid w:val="677435B2"/>
    <w:rsid w:val="67BB643F"/>
    <w:rsid w:val="67EF75F1"/>
    <w:rsid w:val="68386614"/>
    <w:rsid w:val="684D7F02"/>
    <w:rsid w:val="684F4F11"/>
    <w:rsid w:val="68F46EF2"/>
    <w:rsid w:val="69124F16"/>
    <w:rsid w:val="699B1B9F"/>
    <w:rsid w:val="69CD5C14"/>
    <w:rsid w:val="69CF0D33"/>
    <w:rsid w:val="6A2A4CA1"/>
    <w:rsid w:val="6A302F36"/>
    <w:rsid w:val="6A324068"/>
    <w:rsid w:val="6A4D4B79"/>
    <w:rsid w:val="6A4E3ABD"/>
    <w:rsid w:val="6B0C5E52"/>
    <w:rsid w:val="6B9946B3"/>
    <w:rsid w:val="6BE518DA"/>
    <w:rsid w:val="6C276F3A"/>
    <w:rsid w:val="6C3546B3"/>
    <w:rsid w:val="6C7007C7"/>
    <w:rsid w:val="6D723262"/>
    <w:rsid w:val="6DDC54A7"/>
    <w:rsid w:val="6DE76850"/>
    <w:rsid w:val="6E66399A"/>
    <w:rsid w:val="6EE63398"/>
    <w:rsid w:val="6F4369DC"/>
    <w:rsid w:val="6FB20BD4"/>
    <w:rsid w:val="6FBA07C9"/>
    <w:rsid w:val="6FBA59BE"/>
    <w:rsid w:val="70296B3E"/>
    <w:rsid w:val="70611204"/>
    <w:rsid w:val="70AD3D97"/>
    <w:rsid w:val="7165620F"/>
    <w:rsid w:val="716E798F"/>
    <w:rsid w:val="717039F8"/>
    <w:rsid w:val="72200435"/>
    <w:rsid w:val="72425539"/>
    <w:rsid w:val="72785B7B"/>
    <w:rsid w:val="72991E7D"/>
    <w:rsid w:val="72A40D6A"/>
    <w:rsid w:val="73927111"/>
    <w:rsid w:val="73972979"/>
    <w:rsid w:val="73BF205F"/>
    <w:rsid w:val="7429423E"/>
    <w:rsid w:val="74795BDB"/>
    <w:rsid w:val="74D13AD5"/>
    <w:rsid w:val="74FA2C30"/>
    <w:rsid w:val="754D5C4B"/>
    <w:rsid w:val="75954E65"/>
    <w:rsid w:val="768E1A31"/>
    <w:rsid w:val="76C240A7"/>
    <w:rsid w:val="76DA416A"/>
    <w:rsid w:val="775246B7"/>
    <w:rsid w:val="781E69D1"/>
    <w:rsid w:val="78462278"/>
    <w:rsid w:val="78A273F4"/>
    <w:rsid w:val="78D43D28"/>
    <w:rsid w:val="7901747F"/>
    <w:rsid w:val="7A263B6B"/>
    <w:rsid w:val="7A644C9E"/>
    <w:rsid w:val="7A9A27B8"/>
    <w:rsid w:val="7AD922C8"/>
    <w:rsid w:val="7AF46346"/>
    <w:rsid w:val="7B0F5EBF"/>
    <w:rsid w:val="7B130FB9"/>
    <w:rsid w:val="7BD71E38"/>
    <w:rsid w:val="7BF64EDE"/>
    <w:rsid w:val="7C400C1E"/>
    <w:rsid w:val="7D5778C2"/>
    <w:rsid w:val="7DD11708"/>
    <w:rsid w:val="7DEE4A4F"/>
    <w:rsid w:val="7E747BD5"/>
    <w:rsid w:val="7EAE6230"/>
    <w:rsid w:val="7EBD579E"/>
    <w:rsid w:val="7EC167BD"/>
    <w:rsid w:val="7EC363D0"/>
    <w:rsid w:val="7F272D9E"/>
    <w:rsid w:val="7FB3644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sz w:val="32"/>
      <w:szCs w:val="32"/>
    </w:rPr>
  </w:style>
  <w:style w:type="paragraph" w:styleId="4">
    <w:name w:val="heading 5"/>
    <w:basedOn w:val="1"/>
    <w:next w:val="5"/>
    <w:link w:val="33"/>
    <w:qFormat/>
    <w:uiPriority w:val="9"/>
    <w:pPr>
      <w:keepNext/>
      <w:keepLines/>
      <w:spacing w:before="280" w:after="290" w:line="376" w:lineRule="auto"/>
      <w:outlineLvl w:val="4"/>
    </w:pPr>
    <w:rPr>
      <w:b/>
      <w:bCs/>
      <w:sz w:val="28"/>
      <w:szCs w:val="28"/>
    </w:rPr>
  </w:style>
  <w:style w:type="paragraph" w:styleId="6">
    <w:name w:val="heading 8"/>
    <w:basedOn w:val="1"/>
    <w:next w:val="1"/>
    <w:link w:val="34"/>
    <w:qFormat/>
    <w:uiPriority w:val="9"/>
    <w:pPr>
      <w:keepNext/>
      <w:keepLines/>
      <w:spacing w:before="240" w:after="64" w:line="320" w:lineRule="auto"/>
      <w:outlineLvl w:val="7"/>
    </w:pPr>
    <w:rPr>
      <w:rFonts w:ascii="等线 Light" w:hAnsi="等线 Light" w:eastAsia="等线 Light"/>
      <w:sz w:val="24"/>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7">
    <w:name w:val="index 8"/>
    <w:basedOn w:val="1"/>
    <w:next w:val="1"/>
    <w:qFormat/>
    <w:uiPriority w:val="0"/>
    <w:pPr>
      <w:ind w:left="2940"/>
    </w:pPr>
  </w:style>
  <w:style w:type="paragraph" w:styleId="8">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9">
    <w:name w:val="annotation text"/>
    <w:basedOn w:val="1"/>
    <w:link w:val="35"/>
    <w:qFormat/>
    <w:uiPriority w:val="0"/>
    <w:pPr>
      <w:jc w:val="left"/>
    </w:pPr>
  </w:style>
  <w:style w:type="paragraph" w:styleId="10">
    <w:name w:val="Body Text 3"/>
    <w:basedOn w:val="1"/>
    <w:link w:val="36"/>
    <w:unhideWhenUsed/>
    <w:qFormat/>
    <w:uiPriority w:val="99"/>
    <w:pPr>
      <w:spacing w:after="120"/>
    </w:pPr>
    <w:rPr>
      <w:sz w:val="16"/>
      <w:szCs w:val="16"/>
    </w:rPr>
  </w:style>
  <w:style w:type="paragraph" w:styleId="11">
    <w:name w:val="Body Text"/>
    <w:basedOn w:val="1"/>
    <w:link w:val="37"/>
    <w:unhideWhenUsed/>
    <w:qFormat/>
    <w:uiPriority w:val="0"/>
    <w:pPr>
      <w:spacing w:after="120"/>
    </w:pPr>
  </w:style>
  <w:style w:type="paragraph" w:styleId="12">
    <w:name w:val="Body Text Indent"/>
    <w:basedOn w:val="1"/>
    <w:link w:val="38"/>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Plain Text"/>
    <w:basedOn w:val="1"/>
    <w:next w:val="7"/>
    <w:link w:val="39"/>
    <w:qFormat/>
    <w:uiPriority w:val="99"/>
    <w:rPr>
      <w:rFonts w:ascii="宋体" w:hAnsi="Courier New"/>
      <w:kern w:val="0"/>
      <w:sz w:val="20"/>
      <w:szCs w:val="21"/>
    </w:rPr>
  </w:style>
  <w:style w:type="paragraph" w:styleId="15">
    <w:name w:val="Date"/>
    <w:basedOn w:val="1"/>
    <w:next w:val="1"/>
    <w:link w:val="40"/>
    <w:unhideWhenUsed/>
    <w:qFormat/>
    <w:uiPriority w:val="99"/>
    <w:pPr>
      <w:ind w:left="100" w:leftChars="2500"/>
    </w:pPr>
  </w:style>
  <w:style w:type="paragraph" w:styleId="16">
    <w:name w:val="Balloon Text"/>
    <w:basedOn w:val="1"/>
    <w:semiHidden/>
    <w:qFormat/>
    <w:uiPriority w:val="0"/>
    <w:rPr>
      <w:sz w:val="18"/>
      <w:szCs w:val="18"/>
    </w:rPr>
  </w:style>
  <w:style w:type="paragraph" w:styleId="17">
    <w:name w:val="footer"/>
    <w:basedOn w:val="1"/>
    <w:link w:val="41"/>
    <w:unhideWhenUsed/>
    <w:qFormat/>
    <w:uiPriority w:val="99"/>
    <w:pPr>
      <w:tabs>
        <w:tab w:val="center" w:pos="4153"/>
        <w:tab w:val="right" w:pos="8306"/>
      </w:tabs>
      <w:snapToGrid w:val="0"/>
      <w:jc w:val="left"/>
    </w:pPr>
    <w:rPr>
      <w:kern w:val="0"/>
      <w:sz w:val="18"/>
      <w:szCs w:val="18"/>
    </w:rPr>
  </w:style>
  <w:style w:type="paragraph" w:styleId="18">
    <w:name w:val="header"/>
    <w:basedOn w:val="1"/>
    <w:link w:val="4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toc 2"/>
    <w:basedOn w:val="1"/>
    <w:next w:val="1"/>
    <w:unhideWhenUsed/>
    <w:qFormat/>
    <w:uiPriority w:val="39"/>
    <w:pPr>
      <w:tabs>
        <w:tab w:val="right" w:leader="dot" w:pos="8296"/>
      </w:tabs>
      <w:ind w:left="420" w:leftChars="200"/>
    </w:pPr>
  </w:style>
  <w:style w:type="paragraph" w:styleId="21">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2">
    <w:name w:val="annotation subject"/>
    <w:basedOn w:val="9"/>
    <w:next w:val="9"/>
    <w:link w:val="43"/>
    <w:qFormat/>
    <w:uiPriority w:val="99"/>
    <w:rPr>
      <w:b/>
      <w:bCs/>
    </w:rPr>
  </w:style>
  <w:style w:type="paragraph" w:styleId="23">
    <w:name w:val="Body Text First Indent"/>
    <w:basedOn w:val="11"/>
    <w:link w:val="44"/>
    <w:unhideWhenUsed/>
    <w:qFormat/>
    <w:uiPriority w:val="99"/>
    <w:pPr>
      <w:ind w:firstLine="420" w:firstLineChars="100"/>
    </w:pPr>
    <w:rPr>
      <w:lang w:val="en-US" w:eastAsia="zh-CN"/>
    </w:rPr>
  </w:style>
  <w:style w:type="table" w:styleId="25">
    <w:name w:val="Table Grid"/>
    <w:basedOn w:val="2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qFormat/>
    <w:uiPriority w:val="22"/>
    <w:rPr>
      <w:b/>
      <w:bCs/>
    </w:rPr>
  </w:style>
  <w:style w:type="character" w:styleId="28">
    <w:name w:val="endnote reference"/>
    <w:unhideWhenUsed/>
    <w:qFormat/>
    <w:uiPriority w:val="99"/>
    <w:rPr>
      <w:vertAlign w:val="superscript"/>
    </w:rPr>
  </w:style>
  <w:style w:type="character" w:styleId="29">
    <w:name w:val="Hyperlink"/>
    <w:unhideWhenUsed/>
    <w:qFormat/>
    <w:uiPriority w:val="99"/>
    <w:rPr>
      <w:color w:val="0000FF"/>
      <w:u w:val="single"/>
    </w:rPr>
  </w:style>
  <w:style w:type="character" w:styleId="30">
    <w:name w:val="annotation reference"/>
    <w:basedOn w:val="26"/>
    <w:qFormat/>
    <w:uiPriority w:val="0"/>
    <w:rPr>
      <w:sz w:val="21"/>
      <w:szCs w:val="21"/>
    </w:rPr>
  </w:style>
  <w:style w:type="character" w:customStyle="1" w:styleId="31">
    <w:name w:val="标题 1 Char"/>
    <w:link w:val="2"/>
    <w:qFormat/>
    <w:uiPriority w:val="9"/>
    <w:rPr>
      <w:b/>
      <w:bCs/>
      <w:kern w:val="44"/>
      <w:sz w:val="44"/>
      <w:szCs w:val="44"/>
    </w:rPr>
  </w:style>
  <w:style w:type="character" w:customStyle="1" w:styleId="32">
    <w:name w:val="标题 2 Char1"/>
    <w:link w:val="3"/>
    <w:qFormat/>
    <w:uiPriority w:val="9"/>
    <w:rPr>
      <w:rFonts w:ascii="Cambria" w:hAnsi="Cambria" w:eastAsia="宋体" w:cs="Times New Roman"/>
      <w:b/>
      <w:bCs/>
      <w:kern w:val="2"/>
      <w:sz w:val="32"/>
      <w:szCs w:val="32"/>
    </w:rPr>
  </w:style>
  <w:style w:type="character" w:customStyle="1" w:styleId="33">
    <w:name w:val="标题 5 Char"/>
    <w:link w:val="4"/>
    <w:semiHidden/>
    <w:qFormat/>
    <w:uiPriority w:val="9"/>
    <w:rPr>
      <w:rFonts w:ascii="Times New Roman" w:hAnsi="Times New Roman"/>
      <w:b/>
      <w:bCs/>
      <w:kern w:val="2"/>
      <w:sz w:val="28"/>
      <w:szCs w:val="28"/>
    </w:rPr>
  </w:style>
  <w:style w:type="character" w:customStyle="1" w:styleId="34">
    <w:name w:val="标题 8 Char1"/>
    <w:link w:val="6"/>
    <w:semiHidden/>
    <w:qFormat/>
    <w:uiPriority w:val="9"/>
    <w:rPr>
      <w:rFonts w:ascii="等线 Light" w:hAnsi="等线 Light" w:eastAsia="等线 Light" w:cs="Times New Roman"/>
      <w:kern w:val="2"/>
      <w:sz w:val="24"/>
      <w:szCs w:val="24"/>
    </w:rPr>
  </w:style>
  <w:style w:type="character" w:customStyle="1" w:styleId="35">
    <w:name w:val="批注文字 Char1"/>
    <w:link w:val="9"/>
    <w:qFormat/>
    <w:uiPriority w:val="0"/>
    <w:rPr>
      <w:rFonts w:ascii="Times New Roman" w:hAnsi="Times New Roman"/>
      <w:kern w:val="2"/>
      <w:sz w:val="21"/>
      <w:szCs w:val="24"/>
    </w:rPr>
  </w:style>
  <w:style w:type="character" w:customStyle="1" w:styleId="36">
    <w:name w:val="正文文本 3 Char"/>
    <w:link w:val="10"/>
    <w:semiHidden/>
    <w:qFormat/>
    <w:uiPriority w:val="99"/>
    <w:rPr>
      <w:kern w:val="2"/>
      <w:sz w:val="16"/>
      <w:szCs w:val="16"/>
    </w:rPr>
  </w:style>
  <w:style w:type="character" w:customStyle="1" w:styleId="37">
    <w:name w:val="正文文本 Char1"/>
    <w:link w:val="11"/>
    <w:qFormat/>
    <w:uiPriority w:val="0"/>
    <w:rPr>
      <w:rFonts w:ascii="Times New Roman" w:hAnsi="Times New Roman"/>
      <w:kern w:val="2"/>
      <w:sz w:val="21"/>
      <w:szCs w:val="24"/>
    </w:rPr>
  </w:style>
  <w:style w:type="character" w:customStyle="1" w:styleId="38">
    <w:name w:val="正文文本缩进 Char"/>
    <w:link w:val="12"/>
    <w:qFormat/>
    <w:uiPriority w:val="0"/>
    <w:rPr>
      <w:rFonts w:ascii="仿宋_GB2312" w:hAnsi="Times New Roman" w:eastAsia="仿宋_GB2312" w:cs="Times New Roman"/>
      <w:sz w:val="32"/>
      <w:szCs w:val="20"/>
    </w:rPr>
  </w:style>
  <w:style w:type="character" w:customStyle="1" w:styleId="39">
    <w:name w:val="纯文本 Char1"/>
    <w:link w:val="14"/>
    <w:qFormat/>
    <w:uiPriority w:val="99"/>
    <w:rPr>
      <w:rFonts w:ascii="宋体" w:hAnsi="Courier New" w:eastAsia="宋体" w:cs="Courier New"/>
      <w:szCs w:val="21"/>
    </w:rPr>
  </w:style>
  <w:style w:type="character" w:customStyle="1" w:styleId="40">
    <w:name w:val="日期 Char"/>
    <w:link w:val="15"/>
    <w:semiHidden/>
    <w:qFormat/>
    <w:uiPriority w:val="99"/>
    <w:rPr>
      <w:rFonts w:ascii="Times New Roman" w:hAnsi="Times New Roman"/>
      <w:kern w:val="2"/>
      <w:sz w:val="21"/>
      <w:szCs w:val="24"/>
    </w:rPr>
  </w:style>
  <w:style w:type="character" w:customStyle="1" w:styleId="41">
    <w:name w:val="页脚 Char"/>
    <w:link w:val="17"/>
    <w:qFormat/>
    <w:uiPriority w:val="99"/>
    <w:rPr>
      <w:sz w:val="18"/>
      <w:szCs w:val="18"/>
    </w:rPr>
  </w:style>
  <w:style w:type="character" w:customStyle="1" w:styleId="42">
    <w:name w:val="页眉 Char"/>
    <w:link w:val="18"/>
    <w:qFormat/>
    <w:uiPriority w:val="99"/>
    <w:rPr>
      <w:sz w:val="18"/>
      <w:szCs w:val="18"/>
    </w:rPr>
  </w:style>
  <w:style w:type="character" w:customStyle="1" w:styleId="43">
    <w:name w:val="批注主题 Char"/>
    <w:link w:val="22"/>
    <w:qFormat/>
    <w:uiPriority w:val="99"/>
    <w:rPr>
      <w:rFonts w:ascii="Times New Roman" w:hAnsi="Times New Roman"/>
      <w:b/>
      <w:bCs/>
      <w:kern w:val="2"/>
      <w:sz w:val="21"/>
      <w:szCs w:val="24"/>
    </w:rPr>
  </w:style>
  <w:style w:type="character" w:customStyle="1" w:styleId="44">
    <w:name w:val="正文首行缩进 Char"/>
    <w:link w:val="23"/>
    <w:semiHidden/>
    <w:qFormat/>
    <w:uiPriority w:val="99"/>
  </w:style>
  <w:style w:type="character" w:customStyle="1" w:styleId="45">
    <w:name w:val="标题 1 字符1"/>
    <w:qFormat/>
    <w:uiPriority w:val="0"/>
    <w:rPr>
      <w:b/>
      <w:bCs/>
      <w:kern w:val="44"/>
      <w:sz w:val="44"/>
      <w:szCs w:val="44"/>
    </w:rPr>
  </w:style>
  <w:style w:type="character" w:customStyle="1" w:styleId="46">
    <w:name w:val="textcontents"/>
    <w:qFormat/>
    <w:uiPriority w:val="0"/>
  </w:style>
  <w:style w:type="character" w:customStyle="1" w:styleId="47">
    <w:name w:val="批注文字 Char"/>
    <w:qFormat/>
    <w:uiPriority w:val="0"/>
    <w:rPr>
      <w:rFonts w:ascii="Times New Roman" w:hAnsi="Times New Roman"/>
      <w:kern w:val="2"/>
      <w:sz w:val="21"/>
      <w:szCs w:val="24"/>
    </w:rPr>
  </w:style>
  <w:style w:type="character" w:customStyle="1" w:styleId="48">
    <w:name w:val="纯文本 字符"/>
    <w:qFormat/>
    <w:uiPriority w:val="99"/>
    <w:rPr>
      <w:rFonts w:ascii="宋体" w:hAnsi="Courier New" w:eastAsia="宋体" w:cs="Courier New"/>
      <w:szCs w:val="21"/>
    </w:rPr>
  </w:style>
  <w:style w:type="character" w:customStyle="1" w:styleId="49">
    <w:name w:val="纯文本 Char"/>
    <w:qFormat/>
    <w:uiPriority w:val="0"/>
    <w:rPr>
      <w:rFonts w:ascii="宋体" w:hAnsi="Courier New" w:eastAsia="宋体" w:cs="Courier New"/>
      <w:szCs w:val="21"/>
    </w:rPr>
  </w:style>
  <w:style w:type="character" w:customStyle="1" w:styleId="50">
    <w:name w:val="纯文本 字符2"/>
    <w:qFormat/>
    <w:uiPriority w:val="0"/>
    <w:rPr>
      <w:rFonts w:ascii="宋体" w:hAnsi="Courier New" w:eastAsia="宋体" w:cs="Courier New"/>
      <w:szCs w:val="21"/>
    </w:rPr>
  </w:style>
  <w:style w:type="character" w:customStyle="1" w:styleId="51">
    <w:name w:val="批注文字 字符1"/>
    <w:qFormat/>
    <w:uiPriority w:val="0"/>
    <w:rPr>
      <w:rFonts w:ascii="Times New Roman" w:hAnsi="Times New Roman"/>
      <w:kern w:val="2"/>
      <w:sz w:val="21"/>
      <w:szCs w:val="24"/>
    </w:rPr>
  </w:style>
  <w:style w:type="character" w:customStyle="1" w:styleId="52">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53">
    <w:name w:val="纯文本 字符1"/>
    <w:qFormat/>
    <w:uiPriority w:val="0"/>
    <w:rPr>
      <w:rFonts w:ascii="宋体" w:hAnsi="Courier New"/>
    </w:rPr>
  </w:style>
  <w:style w:type="character" w:customStyle="1" w:styleId="54">
    <w:name w:val="正文文本 Char"/>
    <w:qFormat/>
    <w:uiPriority w:val="99"/>
    <w:rPr>
      <w:rFonts w:ascii="Times New Roman" w:hAnsi="Times New Roman"/>
      <w:kern w:val="2"/>
      <w:sz w:val="21"/>
      <w:szCs w:val="24"/>
    </w:rPr>
  </w:style>
  <w:style w:type="character" w:customStyle="1" w:styleId="55">
    <w:name w:val="批注文字 字符"/>
    <w:qFormat/>
    <w:uiPriority w:val="0"/>
    <w:rPr>
      <w:rFonts w:ascii="Times New Roman" w:hAnsi="Times New Roman"/>
      <w:kern w:val="2"/>
      <w:sz w:val="21"/>
      <w:szCs w:val="24"/>
    </w:rPr>
  </w:style>
  <w:style w:type="character" w:customStyle="1" w:styleId="56">
    <w:name w:val="标题 2 Char"/>
    <w:qFormat/>
    <w:uiPriority w:val="9"/>
    <w:rPr>
      <w:rFonts w:ascii="Cambria" w:hAnsi="Cambria" w:eastAsia="宋体" w:cs="Times New Roman"/>
      <w:b/>
      <w:bCs/>
      <w:kern w:val="2"/>
      <w:sz w:val="32"/>
      <w:szCs w:val="32"/>
    </w:rPr>
  </w:style>
  <w:style w:type="character" w:customStyle="1" w:styleId="57">
    <w:name w:val="标题 8 Char"/>
    <w:qFormat/>
    <w:uiPriority w:val="0"/>
    <w:rPr>
      <w:rFonts w:ascii="Arial" w:hAnsi="Arial" w:eastAsia="黑体"/>
      <w:kern w:val="2"/>
      <w:sz w:val="24"/>
      <w:szCs w:val="24"/>
    </w:rPr>
  </w:style>
  <w:style w:type="character" w:customStyle="1" w:styleId="58">
    <w:name w:val="apple-style-span"/>
    <w:qFormat/>
    <w:uiPriority w:val="0"/>
  </w:style>
  <w:style w:type="paragraph" w:customStyle="1" w:styleId="59">
    <w:name w:val="默认段落字体 Para Char Char Char Char Char Char Char Char Char1 Char Char Char Char"/>
    <w:basedOn w:val="1"/>
    <w:qFormat/>
    <w:uiPriority w:val="0"/>
    <w:rPr>
      <w:rFonts w:ascii="Tahoma" w:hAnsi="Tahoma"/>
      <w:sz w:val="24"/>
      <w:szCs w:val="20"/>
    </w:rPr>
  </w:style>
  <w:style w:type="paragraph" w:customStyle="1" w:styleId="6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61">
    <w:name w:val="List Paragraph"/>
    <w:basedOn w:val="1"/>
    <w:qFormat/>
    <w:uiPriority w:val="34"/>
    <w:pPr>
      <w:ind w:firstLine="420" w:firstLineChars="200"/>
    </w:pPr>
  </w:style>
  <w:style w:type="paragraph" w:customStyle="1" w:styleId="62">
    <w:name w:val="Table Paragraph"/>
    <w:basedOn w:val="1"/>
    <w:qFormat/>
    <w:uiPriority w:val="1"/>
    <w:pPr>
      <w:jc w:val="left"/>
    </w:pPr>
    <w:rPr>
      <w:rFonts w:ascii="Calibri" w:hAnsi="Calibri"/>
      <w:kern w:val="0"/>
      <w:sz w:val="22"/>
      <w:szCs w:val="22"/>
      <w:lang w:eastAsia="en-US"/>
    </w:rPr>
  </w:style>
  <w:style w:type="character" w:customStyle="1" w:styleId="63">
    <w:name w:val="正文文本 字符"/>
    <w:qFormat/>
    <w:uiPriority w:val="0"/>
    <w:rPr>
      <w:rFonts w:ascii="Times New Roman" w:hAnsi="Times New Roman"/>
      <w:kern w:val="2"/>
      <w:sz w:val="21"/>
      <w:szCs w:val="24"/>
    </w:rPr>
  </w:style>
  <w:style w:type="character" w:customStyle="1" w:styleId="64">
    <w:name w:val="批注文字 Char2"/>
    <w:qFormat/>
    <w:uiPriority w:val="0"/>
    <w:rPr>
      <w:rFonts w:ascii="Times New Roman" w:hAnsi="Times New Roman"/>
      <w:kern w:val="2"/>
      <w:sz w:val="21"/>
      <w:szCs w:val="24"/>
    </w:rPr>
  </w:style>
  <w:style w:type="character" w:customStyle="1" w:styleId="65">
    <w:name w:val="正文2 Char Char"/>
    <w:link w:val="66"/>
    <w:qFormat/>
    <w:uiPriority w:val="0"/>
    <w:rPr>
      <w:kern w:val="2"/>
      <w:sz w:val="24"/>
    </w:rPr>
  </w:style>
  <w:style w:type="paragraph" w:customStyle="1" w:styleId="66">
    <w:name w:val="正文2"/>
    <w:basedOn w:val="1"/>
    <w:link w:val="65"/>
    <w:qFormat/>
    <w:uiPriority w:val="0"/>
    <w:pPr>
      <w:adjustRightInd w:val="0"/>
      <w:spacing w:before="156" w:line="360" w:lineRule="auto"/>
      <w:ind w:firstLine="510" w:firstLineChars="200"/>
    </w:pPr>
    <w:rPr>
      <w:sz w:val="24"/>
      <w:szCs w:val="20"/>
    </w:rPr>
  </w:style>
  <w:style w:type="paragraph" w:customStyle="1" w:styleId="6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8">
    <w:name w:val="列出段落1"/>
    <w:basedOn w:val="1"/>
    <w:qFormat/>
    <w:uiPriority w:val="0"/>
    <w:pPr>
      <w:ind w:firstLine="420" w:firstLineChars="200"/>
    </w:pPr>
    <w:rPr>
      <w:szCs w:val="21"/>
    </w:rPr>
  </w:style>
  <w:style w:type="character" w:customStyle="1" w:styleId="69">
    <w:name w:val="15"/>
    <w:qFormat/>
    <w:uiPriority w:val="0"/>
    <w:rPr>
      <w:rFonts w:hint="default" w:ascii="Times New Roman" w:hAnsi="Times New Roman" w:cs="Times New Roman"/>
      <w:sz w:val="21"/>
      <w:szCs w:val="21"/>
    </w:rPr>
  </w:style>
  <w:style w:type="paragraph" w:customStyle="1" w:styleId="70">
    <w:name w:val="_Style 69"/>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Default"/>
    <w:basedOn w:val="1"/>
    <w:qFormat/>
    <w:uiPriority w:val="0"/>
    <w:pPr>
      <w:autoSpaceDE w:val="0"/>
      <w:autoSpaceDN w:val="0"/>
      <w:adjustRightInd w:val="0"/>
      <w:jc w:val="left"/>
    </w:pPr>
    <w:rPr>
      <w:rFonts w:ascii="宋体" w:hAnsi="Calibri" w:cs="宋体"/>
      <w:color w:val="000000"/>
      <w:kern w:val="0"/>
      <w:sz w:val="24"/>
    </w:rPr>
  </w:style>
  <w:style w:type="paragraph" w:customStyle="1" w:styleId="72">
    <w:name w:val="_Style 77"/>
    <w:basedOn w:val="11"/>
    <w:next w:val="23"/>
    <w:unhideWhenUsed/>
    <w:qFormat/>
    <w:uiPriority w:val="99"/>
    <w:pPr>
      <w:ind w:firstLine="420" w:firstLineChars="100"/>
    </w:pPr>
    <w:rPr>
      <w:kern w:val="0"/>
      <w:sz w:val="20"/>
      <w:szCs w:val="20"/>
    </w:rPr>
  </w:style>
  <w:style w:type="paragraph" w:customStyle="1" w:styleId="73">
    <w:name w:val="Normal"/>
    <w:qFormat/>
    <w:uiPriority w:val="0"/>
    <w:pPr>
      <w:jc w:val="both"/>
    </w:pPr>
    <w:rPr>
      <w:rFonts w:ascii="Times New Roman" w:hAnsi="Times New Roman" w:eastAsia="宋体" w:cs="Times New Roman"/>
      <w:kern w:val="2"/>
      <w:sz w:val="21"/>
      <w:szCs w:val="21"/>
      <w:lang w:val="en-US" w:eastAsia="zh-CN" w:bidi="ar-SA"/>
    </w:rPr>
  </w:style>
  <w:style w:type="character" w:customStyle="1" w:styleId="74">
    <w:name w:val="font41"/>
    <w:basedOn w:val="26"/>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2007</Words>
  <Characters>2439</Characters>
  <Lines>1</Lines>
  <Paragraphs>1</Paragraphs>
  <TotalTime>50</TotalTime>
  <ScaleCrop>false</ScaleCrop>
  <LinksUpToDate>false</LinksUpToDate>
  <CharactersWithSpaces>2477</CharactersWithSpaces>
  <Application>WPS Office_12.1.0.28505_F1E327BC-269C-435d-A152-05C5408002CA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2026-06-15T07:36:00Z</dcterms:created>
  <dc:creator>唐冰</dc:creator>
  <cp:lastModifiedBy>Administrator</cp:lastModifiedBy>
  <cp:lastPrinted>2020-04-02T08:20:00Z</cp:lastPrinted>
  <dcterms:modified xsi:type="dcterms:W3CDTF">2026-08-25T10:17:14Z</dcterms:modified>
  <dc:title>竞争性谈判文件规范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656E7D32231B4B8493806CED4E9D9D82_13</vt:lpwstr>
  </property>
  <property fmtid="{D5CDD505-2E9C-101B-9397-08002B2CF9AE}" pid="4" name="KSOTemplateDocerSaveRecord">
    <vt:lpwstr>eyJoZGlkIjoiYzYyMjRjMDY3ZDhkMTU5MTZlMzNhNWNiNGYyZTc4M2EiLCJ1c2VySWQiOiIxNTQ4OTc5NDEzIn0=</vt:lpwstr>
  </property>
</Properties>
</file>